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4"/>
          <w:szCs w:val="34"/>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34"/>
          <w:szCs w:val="3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FORM 10-Q</w:t>
      </w:r>
    </w:p>
    <w:p>
      <w:pPr>
        <w:spacing w:after="0" w:line="47"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October 2, 2022</w:t>
      </w: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5"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______to_______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7138670" cy="769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769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THE HERSHEY COMPANY</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jc w:val="center"/>
              <w:ind w:left="177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tcPr>
          <w:p>
            <w:pPr>
              <w:jc w:val="right"/>
              <w:ind w:right="2194"/>
              <w:spacing w:after="0"/>
              <w:rPr>
                <w:sz w:val="20"/>
                <w:szCs w:val="20"/>
                <w:color w:val="auto"/>
              </w:rPr>
            </w:pPr>
            <w:r>
              <w:rPr>
                <w:rFonts w:ascii="Times New Roman" w:cs="Times New Roman" w:eastAsia="Times New Roman" w:hAnsi="Times New Roman"/>
                <w:sz w:val="17"/>
                <w:szCs w:val="17"/>
                <w:b w:val="1"/>
                <w:bCs w:val="1"/>
                <w:color w:val="auto"/>
              </w:rPr>
              <w:t>23-0691590</w:t>
            </w:r>
          </w:p>
        </w:tc>
      </w:tr>
      <w:tr>
        <w:trPr>
          <w:trHeight w:val="223"/>
        </w:trPr>
        <w:tc>
          <w:tcPr>
            <w:tcW w:w="6920" w:type="dxa"/>
            <w:vAlign w:val="bottom"/>
            <w:gridSpan w:val="5"/>
          </w:tcPr>
          <w:p>
            <w:pPr>
              <w:jc w:val="center"/>
              <w:ind w:right="14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4280" w:type="dxa"/>
            <w:vAlign w:val="bottom"/>
          </w:tcPr>
          <w:p>
            <w:pPr>
              <w:jc w:val="center"/>
              <w:ind w:right="1014"/>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32"/>
        </w:trPr>
        <w:tc>
          <w:tcPr>
            <w:tcW w:w="3600" w:type="dxa"/>
            <w:vAlign w:val="bottom"/>
          </w:tcPr>
          <w:p>
            <w:pPr>
              <w:spacing w:after="0"/>
              <w:rPr>
                <w:sz w:val="20"/>
                <w:szCs w:val="20"/>
                <w:color w:val="auto"/>
              </w:rPr>
            </w:pPr>
          </w:p>
        </w:tc>
        <w:tc>
          <w:tcPr>
            <w:tcW w:w="7600" w:type="dxa"/>
            <w:vAlign w:val="bottom"/>
            <w:gridSpan w:val="5"/>
          </w:tcPr>
          <w:p>
            <w:pPr>
              <w:jc w:val="center"/>
              <w:ind w:right="3434"/>
              <w:spacing w:after="0"/>
              <w:rPr>
                <w:sz w:val="20"/>
                <w:szCs w:val="20"/>
                <w:color w:val="auto"/>
              </w:rPr>
            </w:pPr>
            <w:r>
              <w:rPr>
                <w:rFonts w:ascii="Times New Roman" w:cs="Times New Roman" w:eastAsia="Times New Roman" w:hAnsi="Times New Roman"/>
                <w:sz w:val="17"/>
                <w:szCs w:val="17"/>
                <w:b w:val="1"/>
                <w:bCs w:val="1"/>
                <w:color w:val="auto"/>
                <w:w w:val="99"/>
              </w:rPr>
              <w:t>19 East Chocolate Avenue, Hershey, PA 17033</w:t>
            </w:r>
          </w:p>
        </w:tc>
      </w:tr>
      <w:tr>
        <w:trPr>
          <w:trHeight w:val="168"/>
        </w:trPr>
        <w:tc>
          <w:tcPr>
            <w:tcW w:w="3600" w:type="dxa"/>
            <w:vAlign w:val="bottom"/>
          </w:tcPr>
          <w:p>
            <w:pPr>
              <w:spacing w:after="0"/>
              <w:rPr>
                <w:sz w:val="14"/>
                <w:szCs w:val="14"/>
                <w:color w:val="auto"/>
              </w:rPr>
            </w:pPr>
          </w:p>
        </w:tc>
        <w:tc>
          <w:tcPr>
            <w:tcW w:w="7600" w:type="dxa"/>
            <w:vAlign w:val="bottom"/>
            <w:gridSpan w:val="5"/>
          </w:tcPr>
          <w:p>
            <w:pPr>
              <w:jc w:val="center"/>
              <w:ind w:right="3414"/>
              <w:spacing w:after="0" w:line="167" w:lineRule="exact"/>
              <w:rPr>
                <w:sz w:val="20"/>
                <w:szCs w:val="20"/>
                <w:color w:val="auto"/>
              </w:rPr>
            </w:pPr>
            <w:r>
              <w:rPr>
                <w:rFonts w:ascii="Times New Roman" w:cs="Times New Roman" w:eastAsia="Times New Roman" w:hAnsi="Times New Roman"/>
                <w:sz w:val="17"/>
                <w:szCs w:val="17"/>
                <w:color w:val="auto"/>
              </w:rPr>
              <w:t>(Address of principal executive offices and Zip Code)</w:t>
            </w:r>
          </w:p>
        </w:tc>
      </w:tr>
      <w:tr>
        <w:trPr>
          <w:trHeight w:val="177"/>
        </w:trPr>
        <w:tc>
          <w:tcPr>
            <w:tcW w:w="3600" w:type="dxa"/>
            <w:vAlign w:val="bottom"/>
          </w:tcPr>
          <w:p>
            <w:pPr>
              <w:spacing w:after="0"/>
              <w:rPr>
                <w:sz w:val="15"/>
                <w:szCs w:val="15"/>
                <w:color w:val="auto"/>
              </w:rPr>
            </w:pPr>
          </w:p>
        </w:tc>
        <w:tc>
          <w:tcPr>
            <w:tcW w:w="3220" w:type="dxa"/>
            <w:vAlign w:val="bottom"/>
            <w:gridSpan w:val="3"/>
          </w:tcPr>
          <w:p>
            <w:pPr>
              <w:jc w:val="center"/>
              <w:ind w:left="734"/>
              <w:spacing w:after="0" w:line="177" w:lineRule="exact"/>
              <w:rPr>
                <w:sz w:val="20"/>
                <w:szCs w:val="20"/>
                <w:color w:val="auto"/>
              </w:rPr>
            </w:pPr>
            <w:r>
              <w:rPr>
                <w:rFonts w:ascii="Times New Roman" w:cs="Times New Roman" w:eastAsia="Times New Roman" w:hAnsi="Times New Roman"/>
                <w:sz w:val="17"/>
                <w:szCs w:val="17"/>
                <w:b w:val="1"/>
                <w:bCs w:val="1"/>
                <w:color w:val="auto"/>
              </w:rPr>
              <w:t>(717) 534-4200</w:t>
            </w:r>
          </w:p>
        </w:tc>
        <w:tc>
          <w:tcPr>
            <w:tcW w:w="100" w:type="dxa"/>
            <w:vAlign w:val="bottom"/>
          </w:tcPr>
          <w:p>
            <w:pPr>
              <w:spacing w:after="0"/>
              <w:rPr>
                <w:sz w:val="15"/>
                <w:szCs w:val="15"/>
                <w:color w:val="auto"/>
              </w:rPr>
            </w:pPr>
          </w:p>
        </w:tc>
        <w:tc>
          <w:tcPr>
            <w:tcW w:w="4280" w:type="dxa"/>
            <w:vAlign w:val="bottom"/>
          </w:tcPr>
          <w:p>
            <w:pPr>
              <w:spacing w:after="0"/>
              <w:rPr>
                <w:sz w:val="15"/>
                <w:szCs w:val="15"/>
                <w:color w:val="auto"/>
              </w:rPr>
            </w:pPr>
          </w:p>
        </w:tc>
      </w:tr>
      <w:tr>
        <w:trPr>
          <w:trHeight w:val="171"/>
        </w:trPr>
        <w:tc>
          <w:tcPr>
            <w:tcW w:w="3600" w:type="dxa"/>
            <w:vAlign w:val="bottom"/>
          </w:tcPr>
          <w:p>
            <w:pPr>
              <w:spacing w:after="0"/>
              <w:rPr>
                <w:sz w:val="14"/>
                <w:szCs w:val="14"/>
                <w:color w:val="auto"/>
              </w:rPr>
            </w:pPr>
          </w:p>
        </w:tc>
        <w:tc>
          <w:tcPr>
            <w:tcW w:w="7600" w:type="dxa"/>
            <w:vAlign w:val="bottom"/>
            <w:gridSpan w:val="5"/>
          </w:tcPr>
          <w:p>
            <w:pPr>
              <w:jc w:val="center"/>
              <w:ind w:right="3454"/>
              <w:spacing w:after="0" w:line="172" w:lineRule="exact"/>
              <w:rPr>
                <w:sz w:val="20"/>
                <w:szCs w:val="20"/>
                <w:color w:val="auto"/>
              </w:rPr>
            </w:pPr>
            <w:r>
              <w:rPr>
                <w:rFonts w:ascii="Times New Roman" w:cs="Times New Roman" w:eastAsia="Times New Roman" w:hAnsi="Times New Roman"/>
                <w:sz w:val="17"/>
                <w:szCs w:val="17"/>
                <w:color w:val="auto"/>
              </w:rPr>
              <w:t>(Registrant's telephone number, including area code)</w:t>
            </w:r>
          </w:p>
        </w:tc>
      </w:tr>
      <w:tr>
        <w:trPr>
          <w:trHeight w:val="212"/>
        </w:trPr>
        <w:tc>
          <w:tcPr>
            <w:tcW w:w="69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4280" w:type="dxa"/>
            <w:vAlign w:val="bottom"/>
          </w:tcPr>
          <w:p>
            <w:pPr>
              <w:spacing w:after="0"/>
              <w:rPr>
                <w:sz w:val="18"/>
                <w:szCs w:val="18"/>
                <w:color w:val="auto"/>
              </w:rPr>
            </w:pPr>
          </w:p>
        </w:tc>
      </w:tr>
      <w:tr>
        <w:trPr>
          <w:trHeight w:val="227"/>
        </w:trPr>
        <w:tc>
          <w:tcPr>
            <w:tcW w:w="3600" w:type="dxa"/>
            <w:vAlign w:val="bottom"/>
          </w:tcPr>
          <w:p>
            <w:pPr>
              <w:jc w:val="center"/>
              <w:ind w:left="594"/>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600" w:type="dxa"/>
            <w:vAlign w:val="bottom"/>
            <w:tcBorders>
              <w:top w:val="single" w:sz="8" w:color="auto"/>
            </w:tcBorders>
          </w:tcPr>
          <w:p>
            <w:pPr>
              <w:jc w:val="center"/>
              <w:ind w:left="594"/>
              <w:spacing w:after="0"/>
              <w:rPr>
                <w:sz w:val="20"/>
                <w:szCs w:val="20"/>
                <w:color w:val="auto"/>
              </w:rPr>
            </w:pPr>
            <w:r>
              <w:rPr>
                <w:rFonts w:ascii="Times New Roman" w:cs="Times New Roman" w:eastAsia="Times New Roman" w:hAnsi="Times New Roman"/>
                <w:sz w:val="17"/>
                <w:szCs w:val="17"/>
                <w:color w:val="auto"/>
              </w:rPr>
              <w:t>Common Stock, one dollar par value</w:t>
            </w: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HSY</w:t>
            </w:r>
          </w:p>
        </w:tc>
        <w:tc>
          <w:tcPr>
            <w:tcW w:w="10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289" w:lineRule="exact"/>
        <w:rPr>
          <w:sz w:val="24"/>
          <w:szCs w:val="24"/>
          <w:color w:val="auto"/>
        </w:rPr>
      </w:pPr>
    </w:p>
    <w:p>
      <w:pPr>
        <w:jc w:val="both"/>
        <w:spacing w:after="0" w:line="19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3" w:lineRule="exact"/>
        <w:rPr>
          <w:sz w:val="24"/>
          <w:szCs w:val="24"/>
          <w:color w:val="auto"/>
        </w:rPr>
      </w:pPr>
    </w:p>
    <w:p>
      <w:pPr>
        <w:ind w:right="60"/>
        <w:spacing w:after="0" w:line="20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w:t>
      </w:r>
    </w:p>
    <w:p>
      <w:pPr>
        <w:spacing w:after="0" w:line="3" w:lineRule="exact"/>
        <w:rPr>
          <w:sz w:val="24"/>
          <w:szCs w:val="24"/>
          <w:color w:val="auto"/>
        </w:rPr>
      </w:pPr>
    </w:p>
    <w:p>
      <w:pPr>
        <w:ind w:right="120"/>
        <w:spacing w:after="0" w:line="228" w:lineRule="auto"/>
        <w:rPr>
          <w:sz w:val="20"/>
          <w:szCs w:val="20"/>
          <w:color w:val="auto"/>
        </w:rPr>
      </w:pPr>
      <w:r>
        <w:rPr>
          <w:rFonts w:ascii="Times New Roman" w:cs="Times New Roman" w:eastAsia="Times New Roman" w:hAnsi="Times New Roman"/>
          <w:sz w:val="17"/>
          <w:szCs w:val="17"/>
          <w:color w:val="auto"/>
        </w:rPr>
        <w:t>growth company. See the definitions of “large accelerated filer,” “accelerated filer,” “smaller reporting company” and “emerging growth company” in Rule 12b-2 of the Exchange Act. (Check one):</w:t>
      </w:r>
    </w:p>
    <w:p>
      <w:pPr>
        <w:spacing w:after="0" w:line="59" w:lineRule="exact"/>
        <w:rPr>
          <w:sz w:val="24"/>
          <w:szCs w:val="24"/>
          <w:color w:val="auto"/>
        </w:rPr>
      </w:pPr>
    </w:p>
    <w:p>
      <w:pPr>
        <w:ind w:left="180"/>
        <w:spacing w:after="0" w:line="196" w:lineRule="exact"/>
        <w:tabs>
          <w:tab w:leader="none" w:pos="1980" w:val="left"/>
          <w:tab w:leader="none" w:pos="2320" w:val="left"/>
          <w:tab w:leader="none" w:pos="3680" w:val="left"/>
          <w:tab w:leader="none" w:pos="4080" w:val="left"/>
          <w:tab w:leader="none" w:pos="5760" w:val="left"/>
          <w:tab w:leader="none" w:pos="6180" w:val="left"/>
          <w:tab w:leader="none" w:pos="8320" w:val="left"/>
          <w:tab w:leader="none" w:pos="8780" w:val="left"/>
          <w:tab w:leader="none" w:pos="1094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Arial" w:cs="Arial" w:eastAsia="Arial" w:hAnsi="Arial"/>
          <w:sz w:val="17"/>
          <w:szCs w:val="17"/>
          <w:color w:val="auto"/>
        </w:rPr>
        <w:t>x</w:t>
      </w:r>
      <w:r>
        <w:rPr>
          <w:sz w:val="20"/>
          <w:szCs w:val="20"/>
          <w:color w:val="auto"/>
        </w:rPr>
        <w:tab/>
      </w:r>
      <w:r>
        <w:rPr>
          <w:rFonts w:ascii="Times New Roman" w:cs="Times New Roman" w:eastAsia="Times New Roman" w:hAnsi="Times New Roman"/>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23" w:lineRule="exact"/>
        <w:rPr>
          <w:sz w:val="24"/>
          <w:szCs w:val="24"/>
          <w:color w:val="auto"/>
        </w:rPr>
      </w:pPr>
    </w:p>
    <w:p>
      <w:pPr>
        <w:ind w:right="480"/>
        <w:spacing w:after="0" w:line="20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2"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x</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registrant’s classes of common stock, as of the latest practicable date.</w:t>
      </w:r>
    </w:p>
    <w:p>
      <w:pPr>
        <w:ind w:left="620"/>
        <w:spacing w:after="0" w:line="209" w:lineRule="auto"/>
        <w:rPr>
          <w:sz w:val="20"/>
          <w:szCs w:val="20"/>
          <w:color w:val="auto"/>
        </w:rPr>
      </w:pPr>
      <w:r>
        <w:rPr>
          <w:rFonts w:ascii="Times New Roman" w:cs="Times New Roman" w:eastAsia="Times New Roman" w:hAnsi="Times New Roman"/>
          <w:sz w:val="17"/>
          <w:szCs w:val="17"/>
          <w:color w:val="auto"/>
        </w:rPr>
        <w:t>Common Stock, one dollar par value—146,968,799 shares, as of October 30, 2022.</w:t>
      </w:r>
    </w:p>
    <w:p>
      <w:pPr>
        <w:ind w:left="620"/>
        <w:spacing w:after="0"/>
        <w:rPr>
          <w:sz w:val="20"/>
          <w:szCs w:val="20"/>
          <w:color w:val="auto"/>
        </w:rPr>
      </w:pPr>
      <w:r>
        <w:rPr>
          <w:rFonts w:ascii="Times New Roman" w:cs="Times New Roman" w:eastAsia="Times New Roman" w:hAnsi="Times New Roman"/>
          <w:sz w:val="17"/>
          <w:szCs w:val="17"/>
          <w:color w:val="auto"/>
        </w:rPr>
        <w:t>Class B Common Stock, one dollar par value—58,113,777 shares, as of October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238760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Period Ended October 2, 2022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2500" w:type="dxa"/>
            <w:vAlign w:val="bottom"/>
            <w:tcBorders>
              <w:left w:val="single" w:sz="8" w:color="CCEEFF"/>
              <w:right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5"/>
                <w:szCs w:val="15"/>
                <w:color w:val="0000FF"/>
                <w:w w:val="99"/>
              </w:rPr>
              <w:t>PART I. FINANCIAL INFORMATION</w:t>
            </w:r>
          </w:p>
        </w:tc>
        <w:tc>
          <w:tcPr>
            <w:tcW w:w="5660" w:type="dxa"/>
            <w:vAlign w:val="bottom"/>
            <w:gridSpan w:val="15"/>
            <w:shd w:val="clear" w:color="auto" w:fill="CCEEFF"/>
          </w:tcPr>
          <w:p>
            <w:pPr>
              <w:spacing w:after="0"/>
              <w:rPr>
                <w:sz w:val="15"/>
                <w:szCs w:val="15"/>
                <w:color w:val="auto"/>
              </w:rPr>
            </w:pP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2</w:t>
            </w:r>
          </w:p>
        </w:tc>
      </w:tr>
      <w:tr>
        <w:trPr>
          <w:trHeight w:val="39"/>
        </w:trPr>
        <w:tc>
          <w:tcPr>
            <w:tcW w:w="140" w:type="dxa"/>
            <w:vAlign w:val="bottom"/>
            <w:tcBorders>
              <w:left w:val="single" w:sz="8" w:color="CCEE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500" w:type="dxa"/>
            <w:vAlign w:val="bottom"/>
            <w:gridSpan w:val="13"/>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1. Financial Statements</w:t>
            </w:r>
          </w:p>
        </w:tc>
        <w:tc>
          <w:tcPr>
            <w:tcW w:w="5660" w:type="dxa"/>
            <w:vAlign w:val="bottom"/>
            <w:gridSpan w:val="15"/>
          </w:tcPr>
          <w:p>
            <w:pPr>
              <w:spacing w:after="0"/>
              <w:rPr>
                <w:sz w:val="14"/>
                <w:szCs w:val="14"/>
                <w:color w:val="auto"/>
              </w:rPr>
            </w:pP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2</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20" w:type="dxa"/>
            <w:vAlign w:val="bottom"/>
            <w:gridSpan w:val="27"/>
            <w:shd w:val="clear" w:color="auto" w:fill="CCEEFF"/>
          </w:tcPr>
          <w:p>
            <w:pPr>
              <w:ind w:left="80"/>
              <w:spacing w:after="0"/>
              <w:rPr>
                <w:sz w:val="20"/>
                <w:szCs w:val="20"/>
                <w:color w:val="auto"/>
              </w:rPr>
            </w:pPr>
            <w:r>
              <w:rPr>
                <w:rFonts w:ascii="Times New Roman" w:cs="Times New Roman" w:eastAsia="Times New Roman" w:hAnsi="Times New Roman"/>
                <w:sz w:val="15"/>
                <w:szCs w:val="15"/>
                <w:color w:val="0000FF"/>
              </w:rPr>
              <w:t>Consolidated Statements of Income for the Three and Nine Months Ended October 2, 2022 and October 3, 2021</w:t>
            </w: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2</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2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20" w:type="dxa"/>
            <w:vAlign w:val="bottom"/>
            <w:gridSpan w:val="27"/>
          </w:tcPr>
          <w:p>
            <w:pPr>
              <w:ind w:left="80"/>
              <w:spacing w:after="0" w:line="168" w:lineRule="exact"/>
              <w:rPr>
                <w:sz w:val="20"/>
                <w:szCs w:val="20"/>
                <w:color w:val="auto"/>
              </w:rPr>
            </w:pPr>
            <w:r>
              <w:rPr>
                <w:rFonts w:ascii="Times New Roman" w:cs="Times New Roman" w:eastAsia="Times New Roman" w:hAnsi="Times New Roman"/>
                <w:sz w:val="15"/>
                <w:szCs w:val="15"/>
                <w:color w:val="0000FF"/>
              </w:rPr>
              <w:t>Consolidated Statements of Comprehensive Income for the Three and Nine Months Ended October 2, 2022 and October 3, 2021</w:t>
            </w: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3</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20" w:type="dxa"/>
            <w:vAlign w:val="bottom"/>
            <w:gridSpan w:val="27"/>
            <w:shd w:val="clear" w:color="auto" w:fill="CCEEFF"/>
          </w:tcPr>
          <w:p>
            <w:pPr>
              <w:ind w:left="80"/>
              <w:spacing w:after="0"/>
              <w:rPr>
                <w:sz w:val="20"/>
                <w:szCs w:val="20"/>
                <w:color w:val="auto"/>
              </w:rPr>
            </w:pPr>
            <w:r>
              <w:rPr>
                <w:rFonts w:ascii="Times New Roman" w:cs="Times New Roman" w:eastAsia="Times New Roman" w:hAnsi="Times New Roman"/>
                <w:sz w:val="15"/>
                <w:szCs w:val="15"/>
                <w:color w:val="0000FF"/>
              </w:rPr>
              <w:t>Consolidated Balance Sheets as of October 2, 2022 and December 31, 2021</w:t>
            </w: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4</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20" w:type="dxa"/>
            <w:vAlign w:val="bottom"/>
            <w:gridSpan w:val="27"/>
          </w:tcPr>
          <w:p>
            <w:pPr>
              <w:ind w:left="80"/>
              <w:spacing w:after="0" w:line="168" w:lineRule="exact"/>
              <w:rPr>
                <w:sz w:val="20"/>
                <w:szCs w:val="20"/>
                <w:color w:val="auto"/>
              </w:rPr>
            </w:pPr>
            <w:r>
              <w:rPr>
                <w:rFonts w:ascii="Times New Roman" w:cs="Times New Roman" w:eastAsia="Times New Roman" w:hAnsi="Times New Roman"/>
                <w:sz w:val="15"/>
                <w:szCs w:val="15"/>
                <w:color w:val="0000FF"/>
              </w:rPr>
              <w:t>Consolidated Statements of Cash Flows for the Nine Months Ended October 2, 2022 and October 3, 2021</w:t>
            </w: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5</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20" w:type="dxa"/>
            <w:vAlign w:val="bottom"/>
            <w:gridSpan w:val="27"/>
            <w:shd w:val="clear" w:color="auto" w:fill="CCEEFF"/>
          </w:tcPr>
          <w:p>
            <w:pPr>
              <w:ind w:left="80"/>
              <w:spacing w:after="0"/>
              <w:rPr>
                <w:sz w:val="20"/>
                <w:szCs w:val="20"/>
                <w:color w:val="auto"/>
              </w:rPr>
            </w:pPr>
            <w:r>
              <w:rPr>
                <w:rFonts w:ascii="Times New Roman" w:cs="Times New Roman" w:eastAsia="Times New Roman" w:hAnsi="Times New Roman"/>
                <w:sz w:val="15"/>
                <w:szCs w:val="15"/>
                <w:color w:val="0000FF"/>
              </w:rPr>
              <w:t>Consolidated Statement of Stockholders’ Equity for the Three and Nine Months Ended October 2, 2022 and October 3, 2021</w:t>
            </w: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6</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2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20" w:type="dxa"/>
            <w:vAlign w:val="bottom"/>
            <w:gridSpan w:val="27"/>
          </w:tcPr>
          <w:p>
            <w:pPr>
              <w:ind w:left="80"/>
              <w:spacing w:after="0" w:line="168" w:lineRule="exact"/>
              <w:rPr>
                <w:sz w:val="20"/>
                <w:szCs w:val="20"/>
                <w:color w:val="auto"/>
              </w:rPr>
            </w:pPr>
            <w:r>
              <w:rPr>
                <w:rFonts w:ascii="Times New Roman" w:cs="Times New Roman" w:eastAsia="Times New Roman" w:hAnsi="Times New Roman"/>
                <w:sz w:val="15"/>
                <w:szCs w:val="15"/>
                <w:color w:val="0000FF"/>
              </w:rPr>
              <w:t>Notes to Unaudited Consolidated Financial Statements</w:t>
            </w: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8</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4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1 - Summary of Significant Accounting Policies</w:t>
            </w: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8</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gridSpan w:val="17"/>
          </w:tcPr>
          <w:p>
            <w:pPr>
              <w:spacing w:after="0" w:line="168" w:lineRule="exact"/>
              <w:rPr>
                <w:sz w:val="20"/>
                <w:szCs w:val="20"/>
                <w:color w:val="auto"/>
              </w:rPr>
            </w:pPr>
            <w:r>
              <w:rPr>
                <w:rFonts w:ascii="Times New Roman" w:cs="Times New Roman" w:eastAsia="Times New Roman" w:hAnsi="Times New Roman"/>
                <w:sz w:val="15"/>
                <w:szCs w:val="15"/>
                <w:color w:val="0000FF"/>
              </w:rPr>
              <w:t>Note 2 - Business Acquisitions and Divestiture</w:t>
            </w:r>
          </w:p>
        </w:tc>
        <w:tc>
          <w:tcPr>
            <w:tcW w:w="4320" w:type="dxa"/>
            <w:vAlign w:val="bottom"/>
            <w:gridSpan w:val="8"/>
          </w:tcPr>
          <w:p>
            <w:pPr>
              <w:spacing w:after="0"/>
              <w:rPr>
                <w:sz w:val="14"/>
                <w:szCs w:val="14"/>
                <w:color w:val="auto"/>
              </w:rPr>
            </w:pP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9</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9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3 - Goodwill and Intangible Assets</w:t>
            </w:r>
          </w:p>
        </w:tc>
        <w:tc>
          <w:tcPr>
            <w:tcW w:w="4740" w:type="dxa"/>
            <w:vAlign w:val="bottom"/>
            <w:gridSpan w:val="11"/>
            <w:shd w:val="clear" w:color="auto" w:fill="CCEEFF"/>
          </w:tcPr>
          <w:p>
            <w:pPr>
              <w:spacing w:after="0"/>
              <w:rPr>
                <w:sz w:val="15"/>
                <w:szCs w:val="15"/>
                <w:color w:val="auto"/>
              </w:rPr>
            </w:pP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12</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13"/>
          </w:tcPr>
          <w:p>
            <w:pPr>
              <w:spacing w:after="0" w:line="168" w:lineRule="exact"/>
              <w:rPr>
                <w:sz w:val="20"/>
                <w:szCs w:val="20"/>
                <w:color w:val="auto"/>
              </w:rPr>
            </w:pPr>
            <w:r>
              <w:rPr>
                <w:rFonts w:ascii="Times New Roman" w:cs="Times New Roman" w:eastAsia="Times New Roman" w:hAnsi="Times New Roman"/>
                <w:sz w:val="15"/>
                <w:szCs w:val="15"/>
                <w:color w:val="0000FF"/>
              </w:rPr>
              <w:t>Note 4 - Short and Long-Term Debt</w:t>
            </w:r>
          </w:p>
        </w:tc>
        <w:tc>
          <w:tcPr>
            <w:tcW w:w="5080" w:type="dxa"/>
            <w:vAlign w:val="bottom"/>
            <w:gridSpan w:val="12"/>
          </w:tcPr>
          <w:p>
            <w:pPr>
              <w:spacing w:after="0"/>
              <w:rPr>
                <w:sz w:val="14"/>
                <w:szCs w:val="14"/>
                <w:color w:val="auto"/>
              </w:rPr>
            </w:pP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13</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5 - Derivative Instruments</w:t>
            </w:r>
          </w:p>
        </w:tc>
        <w:tc>
          <w:tcPr>
            <w:tcW w:w="240" w:type="dxa"/>
            <w:vAlign w:val="bottom"/>
            <w:gridSpan w:val="2"/>
            <w:shd w:val="clear" w:color="auto" w:fill="CCEEFF"/>
          </w:tcPr>
          <w:p>
            <w:pPr>
              <w:spacing w:after="0"/>
              <w:rPr>
                <w:sz w:val="15"/>
                <w:szCs w:val="15"/>
                <w:color w:val="auto"/>
              </w:rPr>
            </w:pPr>
          </w:p>
        </w:tc>
        <w:tc>
          <w:tcPr>
            <w:tcW w:w="5420" w:type="dxa"/>
            <w:vAlign w:val="bottom"/>
            <w:tcBorders>
              <w:left w:val="single" w:sz="8" w:color="CCEEFF"/>
            </w:tcBorders>
            <w:gridSpan w:val="13"/>
            <w:shd w:val="clear" w:color="auto" w:fill="CCEEFF"/>
          </w:tcPr>
          <w:p>
            <w:pPr>
              <w:spacing w:after="0"/>
              <w:rPr>
                <w:sz w:val="15"/>
                <w:szCs w:val="15"/>
                <w:color w:val="auto"/>
              </w:rPr>
            </w:pP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14</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40" w:type="dxa"/>
            <w:vAlign w:val="bottom"/>
            <w:gridSpan w:val="25"/>
          </w:tcPr>
          <w:p>
            <w:pPr>
              <w:spacing w:after="0" w:line="168" w:lineRule="exact"/>
              <w:rPr>
                <w:sz w:val="20"/>
                <w:szCs w:val="20"/>
                <w:color w:val="auto"/>
              </w:rPr>
            </w:pPr>
            <w:r>
              <w:rPr>
                <w:rFonts w:ascii="Times New Roman" w:cs="Times New Roman" w:eastAsia="Times New Roman" w:hAnsi="Times New Roman"/>
                <w:sz w:val="15"/>
                <w:szCs w:val="15"/>
                <w:color w:val="0000FF"/>
              </w:rPr>
              <w:t>Note 6 - Fair Value Measurements</w:t>
            </w: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17</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7 - Leases</w:t>
            </w:r>
          </w:p>
        </w:tc>
        <w:tc>
          <w:tcPr>
            <w:tcW w:w="5540" w:type="dxa"/>
            <w:vAlign w:val="bottom"/>
            <w:tcBorders>
              <w:left w:val="single" w:sz="8" w:color="CCEEFF"/>
            </w:tcBorders>
            <w:gridSpan w:val="14"/>
            <w:shd w:val="clear" w:color="auto" w:fill="CCEEFF"/>
          </w:tcPr>
          <w:p>
            <w:pPr>
              <w:spacing w:after="0"/>
              <w:rPr>
                <w:sz w:val="15"/>
                <w:szCs w:val="15"/>
                <w:color w:val="auto"/>
              </w:rPr>
            </w:pP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19</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CCEEFF"/>
            </w:tcBorders>
            <w:shd w:val="clear" w:color="auto" w:fill="0000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40" w:type="dxa"/>
            <w:vAlign w:val="bottom"/>
            <w:gridSpan w:val="25"/>
          </w:tcPr>
          <w:p>
            <w:pPr>
              <w:spacing w:after="0" w:line="168" w:lineRule="exact"/>
              <w:rPr>
                <w:sz w:val="20"/>
                <w:szCs w:val="20"/>
                <w:color w:val="auto"/>
              </w:rPr>
            </w:pPr>
            <w:r>
              <w:rPr>
                <w:rFonts w:ascii="Times New Roman" w:cs="Times New Roman" w:eastAsia="Times New Roman" w:hAnsi="Times New Roman"/>
                <w:sz w:val="15"/>
                <w:szCs w:val="15"/>
                <w:color w:val="0000FF"/>
              </w:rPr>
              <w:t>Note 8 - Investments in Unconsolidated Affiliates</w:t>
            </w: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21</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9 - Business Realignment Activities</w:t>
            </w:r>
          </w:p>
        </w:tc>
        <w:tc>
          <w:tcPr>
            <w:tcW w:w="4560" w:type="dxa"/>
            <w:vAlign w:val="bottom"/>
            <w:gridSpan w:val="10"/>
            <w:shd w:val="clear" w:color="auto" w:fill="CCEEFF"/>
          </w:tcPr>
          <w:p>
            <w:pPr>
              <w:spacing w:after="0"/>
              <w:rPr>
                <w:sz w:val="15"/>
                <w:szCs w:val="15"/>
                <w:color w:val="auto"/>
              </w:rPr>
            </w:pP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21</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13"/>
          </w:tcPr>
          <w:p>
            <w:pPr>
              <w:spacing w:after="0" w:line="168" w:lineRule="exact"/>
              <w:rPr>
                <w:sz w:val="20"/>
                <w:szCs w:val="20"/>
                <w:color w:val="auto"/>
              </w:rPr>
            </w:pPr>
            <w:r>
              <w:rPr>
                <w:rFonts w:ascii="Times New Roman" w:cs="Times New Roman" w:eastAsia="Times New Roman" w:hAnsi="Times New Roman"/>
                <w:sz w:val="15"/>
                <w:szCs w:val="15"/>
                <w:color w:val="0000FF"/>
              </w:rPr>
              <w:t>Note 10 - Income Taxes</w:t>
            </w:r>
          </w:p>
        </w:tc>
        <w:tc>
          <w:tcPr>
            <w:tcW w:w="5080" w:type="dxa"/>
            <w:vAlign w:val="bottom"/>
            <w:gridSpan w:val="12"/>
          </w:tcPr>
          <w:p>
            <w:pPr>
              <w:spacing w:after="0"/>
              <w:rPr>
                <w:sz w:val="14"/>
                <w:szCs w:val="14"/>
                <w:color w:val="auto"/>
              </w:rPr>
            </w:pP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22</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11 - Pension and Other Post-Retirement Benefit Plans</w:t>
            </w:r>
          </w:p>
        </w:tc>
        <w:tc>
          <w:tcPr>
            <w:tcW w:w="3960" w:type="dxa"/>
            <w:vAlign w:val="bottom"/>
            <w:gridSpan w:val="7"/>
            <w:shd w:val="clear" w:color="auto" w:fill="CCEEFF"/>
          </w:tcPr>
          <w:p>
            <w:pPr>
              <w:spacing w:after="0"/>
              <w:rPr>
                <w:sz w:val="15"/>
                <w:szCs w:val="15"/>
                <w:color w:val="auto"/>
              </w:rPr>
            </w:pP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24</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80" w:type="dxa"/>
            <w:vAlign w:val="bottom"/>
            <w:gridSpan w:val="18"/>
          </w:tcPr>
          <w:p>
            <w:pPr>
              <w:spacing w:after="0" w:line="168" w:lineRule="exact"/>
              <w:rPr>
                <w:sz w:val="20"/>
                <w:szCs w:val="20"/>
                <w:color w:val="auto"/>
              </w:rPr>
            </w:pPr>
            <w:r>
              <w:rPr>
                <w:rFonts w:ascii="Times New Roman" w:cs="Times New Roman" w:eastAsia="Times New Roman" w:hAnsi="Times New Roman"/>
                <w:sz w:val="15"/>
                <w:szCs w:val="15"/>
                <w:color w:val="0000FF"/>
              </w:rPr>
              <w:t>Note 12 - Stock Compensation Plans</w:t>
            </w:r>
          </w:p>
        </w:tc>
        <w:tc>
          <w:tcPr>
            <w:tcW w:w="3960" w:type="dxa"/>
            <w:vAlign w:val="bottom"/>
            <w:gridSpan w:val="7"/>
          </w:tcPr>
          <w:p>
            <w:pPr>
              <w:spacing w:after="0"/>
              <w:rPr>
                <w:sz w:val="14"/>
                <w:szCs w:val="14"/>
                <w:color w:val="auto"/>
              </w:rPr>
            </w:pP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25</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13 - Segment Information</w:t>
            </w:r>
          </w:p>
        </w:tc>
        <w:tc>
          <w:tcPr>
            <w:tcW w:w="5420" w:type="dxa"/>
            <w:vAlign w:val="bottom"/>
            <w:tcBorders>
              <w:left w:val="single" w:sz="8" w:color="CCEEFF"/>
            </w:tcBorders>
            <w:gridSpan w:val="13"/>
            <w:shd w:val="clear" w:color="auto" w:fill="CCEEFF"/>
          </w:tcPr>
          <w:p>
            <w:pPr>
              <w:spacing w:after="0"/>
              <w:rPr>
                <w:sz w:val="15"/>
                <w:szCs w:val="15"/>
                <w:color w:val="auto"/>
              </w:rPr>
            </w:pP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27</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40" w:type="dxa"/>
            <w:vAlign w:val="bottom"/>
            <w:gridSpan w:val="25"/>
          </w:tcPr>
          <w:p>
            <w:pPr>
              <w:spacing w:after="0" w:line="168" w:lineRule="exact"/>
              <w:rPr>
                <w:sz w:val="20"/>
                <w:szCs w:val="20"/>
                <w:color w:val="auto"/>
              </w:rPr>
            </w:pPr>
            <w:r>
              <w:rPr>
                <w:rFonts w:ascii="Times New Roman" w:cs="Times New Roman" w:eastAsia="Times New Roman" w:hAnsi="Times New Roman"/>
                <w:sz w:val="15"/>
                <w:szCs w:val="15"/>
                <w:color w:val="0000FF"/>
              </w:rPr>
              <w:t>Note 14 - Treasury Stock Activity</w:t>
            </w: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30</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0000FF"/>
                <w:w w:val="98"/>
              </w:rPr>
              <w:t>Note 15 - Contingencies</w:t>
            </w:r>
          </w:p>
        </w:tc>
        <w:tc>
          <w:tcPr>
            <w:tcW w:w="620" w:type="dxa"/>
            <w:vAlign w:val="bottom"/>
            <w:tcBorders>
              <w:left w:val="single" w:sz="8" w:color="CCEEFF"/>
            </w:tcBorders>
            <w:gridSpan w:val="5"/>
            <w:shd w:val="clear" w:color="auto" w:fill="CCEEFF"/>
          </w:tcPr>
          <w:p>
            <w:pPr>
              <w:spacing w:after="0"/>
              <w:rPr>
                <w:sz w:val="15"/>
                <w:szCs w:val="15"/>
                <w:color w:val="auto"/>
              </w:rPr>
            </w:pPr>
          </w:p>
        </w:tc>
        <w:tc>
          <w:tcPr>
            <w:tcW w:w="5540" w:type="dxa"/>
            <w:vAlign w:val="bottom"/>
            <w:tcBorders>
              <w:left w:val="single" w:sz="8" w:color="CCEEFF"/>
            </w:tcBorders>
            <w:gridSpan w:val="14"/>
            <w:shd w:val="clear" w:color="auto" w:fill="CCEEFF"/>
          </w:tcPr>
          <w:p>
            <w:pPr>
              <w:spacing w:after="0"/>
              <w:rPr>
                <w:sz w:val="15"/>
                <w:szCs w:val="15"/>
                <w:color w:val="auto"/>
              </w:rPr>
            </w:pP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30</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9"/>
          </w:tcPr>
          <w:p>
            <w:pPr>
              <w:spacing w:after="0" w:line="168" w:lineRule="exact"/>
              <w:rPr>
                <w:sz w:val="20"/>
                <w:szCs w:val="20"/>
                <w:color w:val="auto"/>
              </w:rPr>
            </w:pPr>
            <w:r>
              <w:rPr>
                <w:rFonts w:ascii="Times New Roman" w:cs="Times New Roman" w:eastAsia="Times New Roman" w:hAnsi="Times New Roman"/>
                <w:sz w:val="15"/>
                <w:szCs w:val="15"/>
                <w:color w:val="0000FF"/>
              </w:rPr>
              <w:t>Note 16 - Earnings Per Share</w:t>
            </w:r>
          </w:p>
        </w:tc>
        <w:tc>
          <w:tcPr>
            <w:tcW w:w="5820" w:type="dxa"/>
            <w:vAlign w:val="bottom"/>
            <w:gridSpan w:val="16"/>
          </w:tcPr>
          <w:p>
            <w:pPr>
              <w:spacing w:after="0"/>
              <w:rPr>
                <w:sz w:val="14"/>
                <w:szCs w:val="14"/>
                <w:color w:val="auto"/>
              </w:rPr>
            </w:pP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32</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4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17 - Other (Income) Expense, Net</w:t>
            </w: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34</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CCEE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13"/>
          </w:tcPr>
          <w:p>
            <w:pPr>
              <w:spacing w:after="0" w:line="168" w:lineRule="exact"/>
              <w:rPr>
                <w:sz w:val="20"/>
                <w:szCs w:val="20"/>
                <w:color w:val="auto"/>
              </w:rPr>
            </w:pPr>
            <w:r>
              <w:rPr>
                <w:rFonts w:ascii="Times New Roman" w:cs="Times New Roman" w:eastAsia="Times New Roman" w:hAnsi="Times New Roman"/>
                <w:sz w:val="15"/>
                <w:szCs w:val="15"/>
                <w:color w:val="0000FF"/>
              </w:rPr>
              <w:t>Note 18 - Related Party Transactions</w:t>
            </w:r>
          </w:p>
        </w:tc>
        <w:tc>
          <w:tcPr>
            <w:tcW w:w="5080" w:type="dxa"/>
            <w:vAlign w:val="bottom"/>
            <w:gridSpan w:val="12"/>
          </w:tcPr>
          <w:p>
            <w:pPr>
              <w:spacing w:after="0"/>
              <w:rPr>
                <w:sz w:val="14"/>
                <w:szCs w:val="14"/>
                <w:color w:val="auto"/>
              </w:rPr>
            </w:pP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34</w:t>
            </w:r>
          </w:p>
        </w:tc>
      </w:tr>
      <w:tr>
        <w:trPr>
          <w:trHeight w:val="29"/>
        </w:trPr>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0000FF"/>
              </w:rPr>
              <w:t>Note 19 - Supplemental Balance Sheet Information</w:t>
            </w:r>
          </w:p>
        </w:tc>
        <w:tc>
          <w:tcPr>
            <w:tcW w:w="4460" w:type="dxa"/>
            <w:vAlign w:val="bottom"/>
            <w:gridSpan w:val="9"/>
            <w:shd w:val="clear" w:color="auto" w:fill="CCEEFF"/>
          </w:tcPr>
          <w:p>
            <w:pPr>
              <w:spacing w:after="0"/>
              <w:rPr>
                <w:sz w:val="15"/>
                <w:szCs w:val="15"/>
                <w:color w:val="auto"/>
              </w:rPr>
            </w:pP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35</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8160" w:type="dxa"/>
            <w:vAlign w:val="bottom"/>
            <w:gridSpan w:val="28"/>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2. Management’s Discussion and Analysis of Financial Condition and Results of Operations</w:t>
            </w: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36</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8160" w:type="dxa"/>
            <w:vAlign w:val="bottom"/>
            <w:tcBorders>
              <w:left w:val="single" w:sz="8" w:color="CCEEFF"/>
            </w:tcBorders>
            <w:gridSpan w:val="28"/>
            <w:shd w:val="clear" w:color="auto" w:fill="CCEEFF"/>
          </w:tcPr>
          <w:p>
            <w:pPr>
              <w:ind w:left="140"/>
              <w:spacing w:after="0"/>
              <w:rPr>
                <w:sz w:val="20"/>
                <w:szCs w:val="20"/>
                <w:color w:val="auto"/>
              </w:rPr>
            </w:pPr>
            <w:r>
              <w:rPr>
                <w:rFonts w:ascii="Times New Roman" w:cs="Times New Roman" w:eastAsia="Times New Roman" w:hAnsi="Times New Roman"/>
                <w:sz w:val="15"/>
                <w:szCs w:val="15"/>
                <w:color w:val="0000FF"/>
              </w:rPr>
              <w:t>Item 3. Quantitative and Qualitative Disclosures About Market Risk</w:t>
            </w: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50</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8160" w:type="dxa"/>
            <w:vAlign w:val="bottom"/>
            <w:gridSpan w:val="28"/>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4. Controls and Procedures</w:t>
            </w: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51</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240" w:type="dxa"/>
            <w:vAlign w:val="bottom"/>
            <w:tcBorders>
              <w:left w:val="single" w:sz="8" w:color="CCEEFF"/>
            </w:tcBorders>
            <w:gridSpan w:val="11"/>
            <w:shd w:val="clear" w:color="auto" w:fill="CCEEFF"/>
          </w:tcPr>
          <w:p>
            <w:pPr>
              <w:ind w:left="20"/>
              <w:spacing w:after="0"/>
              <w:rPr>
                <w:sz w:val="20"/>
                <w:szCs w:val="20"/>
                <w:color w:val="auto"/>
              </w:rPr>
            </w:pPr>
            <w:r>
              <w:rPr>
                <w:rFonts w:ascii="Times New Roman" w:cs="Times New Roman" w:eastAsia="Times New Roman" w:hAnsi="Times New Roman"/>
                <w:sz w:val="15"/>
                <w:szCs w:val="15"/>
                <w:color w:val="0000FF"/>
              </w:rPr>
              <w:t>PART II. OTHER INFORMATION</w:t>
            </w:r>
          </w:p>
        </w:tc>
        <w:tc>
          <w:tcPr>
            <w:tcW w:w="5920" w:type="dxa"/>
            <w:vAlign w:val="bottom"/>
            <w:gridSpan w:val="17"/>
            <w:shd w:val="clear" w:color="auto" w:fill="CCEEFF"/>
          </w:tcPr>
          <w:p>
            <w:pPr>
              <w:spacing w:after="0"/>
              <w:rPr>
                <w:sz w:val="15"/>
                <w:szCs w:val="15"/>
                <w:color w:val="auto"/>
              </w:rPr>
            </w:pP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52</w:t>
            </w:r>
          </w:p>
        </w:tc>
      </w:tr>
      <w:tr>
        <w:trPr>
          <w:trHeight w:val="39"/>
        </w:trPr>
        <w:tc>
          <w:tcPr>
            <w:tcW w:w="140" w:type="dxa"/>
            <w:vAlign w:val="bottom"/>
            <w:tcBorders>
              <w:left w:val="single" w:sz="8" w:color="CCEE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240" w:type="dxa"/>
            <w:vAlign w:val="bottom"/>
            <w:gridSpan w:val="11"/>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1. Legal Proceedings</w:t>
            </w:r>
          </w:p>
        </w:tc>
        <w:tc>
          <w:tcPr>
            <w:tcW w:w="5920" w:type="dxa"/>
            <w:vAlign w:val="bottom"/>
            <w:gridSpan w:val="17"/>
          </w:tcPr>
          <w:p>
            <w:pPr>
              <w:spacing w:after="0"/>
              <w:rPr>
                <w:sz w:val="14"/>
                <w:szCs w:val="14"/>
                <w:color w:val="auto"/>
              </w:rPr>
            </w:pP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52</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8160" w:type="dxa"/>
            <w:vAlign w:val="bottom"/>
            <w:tcBorders>
              <w:left w:val="single" w:sz="8" w:color="CCEEFF"/>
            </w:tcBorders>
            <w:gridSpan w:val="28"/>
            <w:shd w:val="clear" w:color="auto" w:fill="CCEEFF"/>
          </w:tcPr>
          <w:p>
            <w:pPr>
              <w:ind w:left="140"/>
              <w:spacing w:after="0"/>
              <w:rPr>
                <w:sz w:val="20"/>
                <w:szCs w:val="20"/>
                <w:color w:val="auto"/>
              </w:rPr>
            </w:pPr>
            <w:r>
              <w:rPr>
                <w:rFonts w:ascii="Times New Roman" w:cs="Times New Roman" w:eastAsia="Times New Roman" w:hAnsi="Times New Roman"/>
                <w:sz w:val="15"/>
                <w:szCs w:val="15"/>
                <w:color w:val="0000FF"/>
              </w:rPr>
              <w:t>Item 1A. Risk Factors</w:t>
            </w: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52</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8160" w:type="dxa"/>
            <w:vAlign w:val="bottom"/>
            <w:gridSpan w:val="28"/>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2. Unregistered Sales of Equity Securities and Use of Proceeds</w:t>
            </w: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52</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8160" w:type="dxa"/>
            <w:vAlign w:val="bottom"/>
            <w:tcBorders>
              <w:left w:val="single" w:sz="8" w:color="CCEEFF"/>
            </w:tcBorders>
            <w:gridSpan w:val="28"/>
            <w:shd w:val="clear" w:color="auto" w:fill="CCEEFF"/>
          </w:tcPr>
          <w:p>
            <w:pPr>
              <w:ind w:left="140"/>
              <w:spacing w:after="0"/>
              <w:rPr>
                <w:sz w:val="20"/>
                <w:szCs w:val="20"/>
                <w:color w:val="auto"/>
              </w:rPr>
            </w:pPr>
            <w:r>
              <w:rPr>
                <w:rFonts w:ascii="Times New Roman" w:cs="Times New Roman" w:eastAsia="Times New Roman" w:hAnsi="Times New Roman"/>
                <w:sz w:val="15"/>
                <w:szCs w:val="15"/>
                <w:color w:val="0000FF"/>
              </w:rPr>
              <w:t>Item 3. Defaults Upon Senior Securities</w:t>
            </w: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52</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8160" w:type="dxa"/>
            <w:vAlign w:val="bottom"/>
            <w:gridSpan w:val="28"/>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4. Mine Safety Disclosures</w:t>
            </w: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52</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8160" w:type="dxa"/>
            <w:vAlign w:val="bottom"/>
            <w:tcBorders>
              <w:left w:val="single" w:sz="8" w:color="CCEEFF"/>
            </w:tcBorders>
            <w:gridSpan w:val="28"/>
            <w:shd w:val="clear" w:color="auto" w:fill="CCEEFF"/>
          </w:tcPr>
          <w:p>
            <w:pPr>
              <w:ind w:left="140"/>
              <w:spacing w:after="0"/>
              <w:rPr>
                <w:sz w:val="20"/>
                <w:szCs w:val="20"/>
                <w:color w:val="auto"/>
              </w:rPr>
            </w:pPr>
            <w:r>
              <w:rPr>
                <w:rFonts w:ascii="Times New Roman" w:cs="Times New Roman" w:eastAsia="Times New Roman" w:hAnsi="Times New Roman"/>
                <w:sz w:val="15"/>
                <w:szCs w:val="15"/>
                <w:color w:val="0000FF"/>
              </w:rPr>
              <w:t>Item 5. Other Information</w:t>
            </w: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52</w:t>
            </w:r>
          </w:p>
        </w:tc>
      </w:tr>
      <w:tr>
        <w:trPr>
          <w:trHeight w:val="39"/>
        </w:trPr>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8160" w:type="dxa"/>
            <w:vAlign w:val="bottom"/>
            <w:gridSpan w:val="28"/>
          </w:tcPr>
          <w:p>
            <w:pPr>
              <w:ind w:left="140"/>
              <w:spacing w:after="0" w:line="168" w:lineRule="exact"/>
              <w:rPr>
                <w:sz w:val="20"/>
                <w:szCs w:val="20"/>
                <w:color w:val="auto"/>
              </w:rPr>
            </w:pPr>
            <w:r>
              <w:rPr>
                <w:rFonts w:ascii="Times New Roman" w:cs="Times New Roman" w:eastAsia="Times New Roman" w:hAnsi="Times New Roman"/>
                <w:sz w:val="15"/>
                <w:szCs w:val="15"/>
                <w:color w:val="0000FF"/>
              </w:rPr>
              <w:t>Item 6. Exhibits</w:t>
            </w:r>
          </w:p>
        </w:tc>
        <w:tc>
          <w:tcPr>
            <w:tcW w:w="308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0000FF"/>
              </w:rPr>
              <w:t>53</w:t>
            </w:r>
          </w:p>
        </w:tc>
      </w:tr>
      <w:tr>
        <w:trPr>
          <w:trHeight w:val="29"/>
        </w:trPr>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68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0000FF"/>
              </w:rPr>
              <w:t>Signatures</w:t>
            </w:r>
          </w:p>
        </w:tc>
        <w:tc>
          <w:tcPr>
            <w:tcW w:w="7480" w:type="dxa"/>
            <w:vAlign w:val="bottom"/>
            <w:gridSpan w:val="24"/>
            <w:shd w:val="clear" w:color="auto" w:fill="CCEEFF"/>
          </w:tcPr>
          <w:p>
            <w:pPr>
              <w:spacing w:after="0"/>
              <w:rPr>
                <w:sz w:val="15"/>
                <w:szCs w:val="15"/>
                <w:color w:val="auto"/>
              </w:rPr>
            </w:pPr>
          </w:p>
        </w:tc>
        <w:tc>
          <w:tcPr>
            <w:tcW w:w="3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0000FF"/>
              </w:rPr>
              <w:t>54</w:t>
            </w:r>
          </w:p>
        </w:tc>
      </w:tr>
      <w:tr>
        <w:trPr>
          <w:trHeight w:val="39"/>
        </w:trPr>
        <w:tc>
          <w:tcPr>
            <w:tcW w:w="140" w:type="dxa"/>
            <w:vAlign w:val="bottom"/>
            <w:tcBorders>
              <w:left w:val="single" w:sz="8" w:color="CCEE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614045</wp:posOffset>
            </wp:positionV>
            <wp:extent cx="188595" cy="163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180340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5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19"/>
                <w:szCs w:val="19"/>
                <w:color w:val="auto"/>
              </w:rPr>
            </w:pPr>
          </w:p>
        </w:tc>
        <w:tc>
          <w:tcPr>
            <w:tcW w:w="2340" w:type="dxa"/>
            <w:vAlign w:val="bottom"/>
            <w:gridSpan w:val="4"/>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12"/>
        </w:trPr>
        <w:tc>
          <w:tcPr>
            <w:tcW w:w="5640" w:type="dxa"/>
            <w:vAlign w:val="bottom"/>
          </w:tcPr>
          <w:p>
            <w:pPr>
              <w:spacing w:after="0"/>
              <w:rPr>
                <w:sz w:val="18"/>
                <w:szCs w:val="18"/>
                <w:color w:val="auto"/>
              </w:rPr>
            </w:pPr>
          </w:p>
        </w:tc>
        <w:tc>
          <w:tcPr>
            <w:tcW w:w="13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October 2, 2022</w:t>
            </w: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October 3, 2021</w:t>
            </w:r>
          </w:p>
        </w:tc>
        <w:tc>
          <w:tcPr>
            <w:tcW w:w="120" w:type="dxa"/>
            <w:vAlign w:val="bottom"/>
          </w:tcPr>
          <w:p>
            <w:pPr>
              <w:spacing w:after="0"/>
              <w:rPr>
                <w:sz w:val="18"/>
                <w:szCs w:val="18"/>
                <w:color w:val="auto"/>
              </w:rPr>
            </w:pPr>
          </w:p>
        </w:tc>
        <w:tc>
          <w:tcPr>
            <w:tcW w:w="13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October 2, 2022</w:t>
            </w: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October 3, 2021</w:t>
            </w:r>
          </w:p>
        </w:tc>
      </w:tr>
      <w:tr>
        <w:trPr>
          <w:trHeight w:val="212"/>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2,728,153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2,359,839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7,766,956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6,645,209</w:t>
            </w:r>
          </w:p>
        </w:tc>
      </w:tr>
      <w:tr>
        <w:trPr>
          <w:trHeight w:val="219"/>
        </w:trPr>
        <w:tc>
          <w:tcPr>
            <w:tcW w:w="5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Cost of sales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1,619,653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1,298,504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4,412,977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3,609,478</w:t>
            </w:r>
          </w:p>
        </w:tc>
      </w:tr>
      <w:tr>
        <w:trPr>
          <w:trHeight w:val="212"/>
        </w:trPr>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1,108,500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1,061,335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3,353,979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3,035,731</w:t>
            </w:r>
          </w:p>
        </w:tc>
      </w:tr>
      <w:tr>
        <w:trPr>
          <w:trHeight w:val="219"/>
        </w:trPr>
        <w:tc>
          <w:tcPr>
            <w:tcW w:w="5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Selling, marketing and administrative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551,880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486,139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1,619,564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1,448,433</w:t>
            </w:r>
          </w:p>
        </w:tc>
      </w:tr>
      <w:tr>
        <w:trPr>
          <w:trHeight w:val="219"/>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Business realignment costs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w:t>
            </w:r>
          </w:p>
        </w:tc>
      </w:tr>
      <w:tr>
        <w:trPr>
          <w:trHeight w:val="212"/>
        </w:trPr>
        <w:tc>
          <w:tcPr>
            <w:tcW w:w="56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Operating profit</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556,620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574,831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1,734,141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1,584,550</w:t>
            </w:r>
          </w:p>
        </w:tc>
      </w:tr>
      <w:tr>
        <w:trPr>
          <w:trHeight w:val="219"/>
        </w:trPr>
        <w:tc>
          <w:tcPr>
            <w:tcW w:w="5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97,655</w:t>
            </w:r>
          </w:p>
        </w:tc>
      </w:tr>
      <w:tr>
        <w:trPr>
          <w:trHeight w:val="219"/>
        </w:trPr>
        <w:tc>
          <w:tcPr>
            <w:tcW w:w="56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32,612</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521,673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1,553,949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1,454,283</w:t>
            </w:r>
          </w:p>
        </w:tc>
      </w:tr>
      <w:tr>
        <w:trPr>
          <w:trHeight w:val="219"/>
        </w:trPr>
        <w:tc>
          <w:tcPr>
            <w:tcW w:w="56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305,428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311,255</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including noncontrolling interest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444,927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1,248,521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1,143,028</w:t>
            </w:r>
          </w:p>
        </w:tc>
      </w:tr>
      <w:tr>
        <w:trPr>
          <w:trHeight w:val="219"/>
        </w:trPr>
        <w:tc>
          <w:tcPr>
            <w:tcW w:w="5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Net gain attributable to noncontrolling interest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r>
      <w:tr>
        <w:trPr>
          <w:trHeight w:val="237"/>
        </w:trPr>
        <w:tc>
          <w:tcPr>
            <w:tcW w:w="56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Net income attributable to The Hershey Company</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444,927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1,248,521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1,141,956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share—basic:</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56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Common stock</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r>
      <w:tr>
        <w:trPr>
          <w:trHeight w:val="219"/>
        </w:trPr>
        <w:tc>
          <w:tcPr>
            <w:tcW w:w="5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Class B common stock</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r>
      <w:tr>
        <w:trPr>
          <w:trHeight w:val="258"/>
        </w:trPr>
        <w:tc>
          <w:tcPr>
            <w:tcW w:w="5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share—diluted: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56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Common stock</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w:t>
            </w:r>
          </w:p>
        </w:tc>
      </w:tr>
      <w:tr>
        <w:trPr>
          <w:trHeight w:val="219"/>
        </w:trPr>
        <w:tc>
          <w:tcPr>
            <w:tcW w:w="5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Class B common stock</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r>
      <w:tr>
        <w:trPr>
          <w:trHeight w:val="258"/>
        </w:trPr>
        <w:tc>
          <w:tcPr>
            <w:tcW w:w="5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Dividends paid per share: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56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Common stock</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0.901</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2.838</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2.509</w:t>
            </w:r>
          </w:p>
        </w:tc>
      </w:tr>
      <w:tr>
        <w:trPr>
          <w:trHeight w:val="219"/>
        </w:trPr>
        <w:tc>
          <w:tcPr>
            <w:tcW w:w="5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Class B common stock</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429260</wp:posOffset>
            </wp:positionV>
            <wp:extent cx="188595" cy="163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180340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10"/>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4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2000" w:type="dxa"/>
            <w:vAlign w:val="bottom"/>
            <w:tcBorders>
              <w:bottom w:val="single" w:sz="8" w:color="auto"/>
            </w:tcBorders>
            <w:gridSpan w:val="6"/>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6"/>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820" w:type="dxa"/>
            <w:vAlign w:val="bottom"/>
          </w:tcPr>
          <w:p>
            <w:pPr>
              <w:spacing w:after="0"/>
              <w:rPr>
                <w:sz w:val="15"/>
                <w:szCs w:val="15"/>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October 2, 2022</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October 3, 2021</w:t>
            </w: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7"/>
              </w:rPr>
              <w:t>October 2, 2022</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5"/>
              </w:rPr>
              <w:t>October 3, 2021</w:t>
            </w: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60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85"/>
              </w:rPr>
              <w:t>Tax</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After-Tax</w:t>
            </w:r>
          </w:p>
        </w:tc>
        <w:tc>
          <w:tcPr>
            <w:tcW w:w="80" w:type="dxa"/>
            <w:vAlign w:val="bottom"/>
          </w:tcPr>
          <w:p>
            <w:pPr>
              <w:spacing w:after="0"/>
              <w:rPr>
                <w:sz w:val="11"/>
                <w:szCs w:val="11"/>
                <w:color w:val="auto"/>
              </w:rPr>
            </w:pPr>
          </w:p>
        </w:tc>
        <w:tc>
          <w:tcPr>
            <w:tcW w:w="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6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After-Tax</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31"/>
              <w:spacing w:after="0" w:line="129" w:lineRule="exact"/>
              <w:rPr>
                <w:sz w:val="20"/>
                <w:szCs w:val="20"/>
                <w:color w:val="auto"/>
              </w:rPr>
            </w:pPr>
            <w:r>
              <w:rPr>
                <w:rFonts w:ascii="Times New Roman" w:cs="Times New Roman" w:eastAsia="Times New Roman" w:hAnsi="Times New Roman"/>
                <w:sz w:val="14"/>
                <w:szCs w:val="14"/>
                <w:b w:val="1"/>
                <w:bCs w:val="1"/>
                <w:color w:val="auto"/>
              </w:rPr>
              <w:t>Tax</w:t>
            </w:r>
          </w:p>
        </w:tc>
        <w:tc>
          <w:tcPr>
            <w:tcW w:w="80" w:type="dxa"/>
            <w:vAlign w:val="bottom"/>
          </w:tcPr>
          <w:p>
            <w:pPr>
              <w:spacing w:after="0"/>
              <w:rPr>
                <w:sz w:val="11"/>
                <w:szCs w:val="11"/>
                <w:color w:val="auto"/>
              </w:rPr>
            </w:pP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8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40"/>
        </w:trPr>
        <w:tc>
          <w:tcPr>
            <w:tcW w:w="28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0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(Expense)</w:t>
            </w: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0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(Expense)</w:t>
            </w: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(Expense)</w:t>
            </w: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(Expense)</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3"/>
              </w:rPr>
              <w:t>Benefit</w:t>
            </w:r>
          </w:p>
        </w:tc>
        <w:tc>
          <w:tcPr>
            <w:tcW w:w="8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including noncontrolling interest</w:t>
            </w: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$ 399,487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$ 444,927</w:t>
            </w: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$ 1,248,521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$ 1,143,028</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net of tax:</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Foreign currency translation (losses) gains</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 (13,511)</w:t>
            </w:r>
          </w:p>
        </w:tc>
        <w:tc>
          <w:tcPr>
            <w:tcW w:w="6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(13,511)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(11,571)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(11,571)</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(15,851)</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(15,851)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0" w:type="dxa"/>
            <w:vAlign w:val="bottom"/>
          </w:tcPr>
          <w:p>
            <w:pPr>
              <w:spacing w:after="0"/>
              <w:rPr>
                <w:sz w:val="1"/>
                <w:szCs w:val="1"/>
                <w:color w:val="auto"/>
              </w:rPr>
            </w:pPr>
          </w:p>
        </w:tc>
      </w:tr>
      <w:tr>
        <w:trPr>
          <w:trHeight w:val="183"/>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during period</w:t>
            </w: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2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Reclassification to earnings due to the sale of</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0" w:type="dxa"/>
            <w:vAlign w:val="bottom"/>
          </w:tcPr>
          <w:p>
            <w:pPr>
              <w:spacing w:after="0"/>
              <w:rPr>
                <w:sz w:val="1"/>
                <w:szCs w:val="1"/>
                <w:color w:val="auto"/>
              </w:rPr>
            </w:pPr>
          </w:p>
        </w:tc>
      </w:tr>
      <w:tr>
        <w:trPr>
          <w:trHeight w:val="188"/>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businesses</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post-retirement benefit plans:</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actuarial (loss) gain and service cost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11,912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9,077</w:t>
            </w:r>
          </w:p>
        </w:tc>
        <w:tc>
          <w:tcPr>
            <w:tcW w:w="0" w:type="dxa"/>
            <w:vAlign w:val="bottom"/>
          </w:tcPr>
          <w:p>
            <w:pPr>
              <w:spacing w:after="0"/>
              <w:rPr>
                <w:sz w:val="1"/>
                <w:szCs w:val="1"/>
                <w:color w:val="auto"/>
              </w:rPr>
            </w:pPr>
          </w:p>
        </w:tc>
      </w:tr>
      <w:tr>
        <w:trPr>
          <w:trHeight w:val="186"/>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24,246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(4,739)</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19,507</w:t>
            </w:r>
          </w:p>
        </w:tc>
        <w:tc>
          <w:tcPr>
            <w:tcW w:w="0" w:type="dxa"/>
            <w:vAlign w:val="bottom"/>
          </w:tcPr>
          <w:p>
            <w:pPr>
              <w:spacing w:after="0"/>
              <w:rPr>
                <w:sz w:val="1"/>
                <w:szCs w:val="1"/>
                <w:color w:val="auto"/>
              </w:rPr>
            </w:pPr>
          </w:p>
        </w:tc>
      </w:tr>
      <w:tr>
        <w:trPr>
          <w:trHeight w:val="201"/>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Gains (losses) on cash flow hedging</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(4,512)</w:t>
            </w:r>
          </w:p>
        </w:tc>
        <w:tc>
          <w:tcPr>
            <w:tcW w:w="0" w:type="dxa"/>
            <w:vAlign w:val="bottom"/>
          </w:tcPr>
          <w:p>
            <w:pPr>
              <w:spacing w:after="0"/>
              <w:rPr>
                <w:sz w:val="1"/>
                <w:szCs w:val="1"/>
                <w:color w:val="auto"/>
              </w:rPr>
            </w:pPr>
          </w:p>
        </w:tc>
      </w:tr>
      <w:tr>
        <w:trPr>
          <w:trHeight w:val="183"/>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derivatives</w:t>
            </w: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4,590</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13,527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13,026</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income, net of tax</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(31,367)</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3,698</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(52,838)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(46,835)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55,318</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(10,387)</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44,931</w:t>
            </w:r>
          </w:p>
        </w:tc>
        <w:tc>
          <w:tcPr>
            <w:tcW w:w="0" w:type="dxa"/>
            <w:vAlign w:val="bottom"/>
          </w:tcPr>
          <w:p>
            <w:pPr>
              <w:spacing w:after="0"/>
              <w:rPr>
                <w:sz w:val="1"/>
                <w:szCs w:val="1"/>
                <w:color w:val="auto"/>
              </w:rPr>
            </w:pPr>
          </w:p>
        </w:tc>
      </w:tr>
      <w:tr>
        <w:trPr>
          <w:trHeight w:val="45"/>
        </w:trPr>
        <w:tc>
          <w:tcPr>
            <w:tcW w:w="282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820" w:type="dxa"/>
            <w:vAlign w:val="bottom"/>
            <w:tcBorders>
              <w:top w:val="single" w:sz="8" w:color="CCEEFF"/>
            </w:tcBorders>
            <w:shd w:val="clear" w:color="auto" w:fill="CCEEFF"/>
          </w:tcPr>
          <w:p>
            <w:pPr>
              <w:ind w:left="20"/>
              <w:spacing w:after="0" w:line="76" w:lineRule="exact"/>
              <w:rPr>
                <w:sz w:val="20"/>
                <w:szCs w:val="20"/>
                <w:color w:val="auto"/>
              </w:rPr>
            </w:pPr>
            <w:r>
              <w:rPr>
                <w:rFonts w:ascii="Times New Roman" w:cs="Times New Roman" w:eastAsia="Times New Roman" w:hAnsi="Times New Roman"/>
                <w:sz w:val="8"/>
                <w:szCs w:val="8"/>
                <w:b w:val="1"/>
                <w:bCs w:val="1"/>
                <w:color w:val="auto"/>
              </w:rPr>
              <w:t>Total comprehensive income including</w:t>
            </w:r>
          </w:p>
        </w:tc>
        <w:tc>
          <w:tcPr>
            <w:tcW w:w="6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$ 371,818</w:t>
            </w: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$ 442,658</w:t>
            </w:r>
          </w:p>
        </w:tc>
        <w:tc>
          <w:tcPr>
            <w:tcW w:w="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$ 1,201,686</w:t>
            </w: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$ 1,187,959</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820" w:type="dxa"/>
            <w:vAlign w:val="bottom"/>
          </w:tcPr>
          <w:p>
            <w:pPr>
              <w:ind w:left="140"/>
              <w:spacing w:after="0" w:line="114" w:lineRule="exact"/>
              <w:rPr>
                <w:sz w:val="20"/>
                <w:szCs w:val="20"/>
                <w:color w:val="auto"/>
              </w:rPr>
            </w:pPr>
            <w:r>
              <w:rPr>
                <w:rFonts w:ascii="Times New Roman" w:cs="Times New Roman" w:eastAsia="Times New Roman" w:hAnsi="Times New Roman"/>
                <w:sz w:val="13"/>
                <w:szCs w:val="13"/>
                <w:color w:val="auto"/>
              </w:rPr>
              <w:t>Comprehensive (loss) income attributable to</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6,321</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6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 income attributable to The</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$ 371,818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$ 442,663</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$ 1,201,686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$ 1,181,638</w:t>
            </w:r>
          </w:p>
        </w:tc>
        <w:tc>
          <w:tcPr>
            <w:tcW w:w="0" w:type="dxa"/>
            <w:vAlign w:val="bottom"/>
          </w:tcPr>
          <w:p>
            <w:pPr>
              <w:spacing w:after="0"/>
              <w:rPr>
                <w:sz w:val="1"/>
                <w:szCs w:val="1"/>
                <w:color w:val="auto"/>
              </w:rPr>
            </w:pPr>
          </w:p>
        </w:tc>
      </w:tr>
      <w:tr>
        <w:trPr>
          <w:trHeight w:val="18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Hershey Company</w:t>
            </w: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6010910</wp:posOffset>
            </wp:positionH>
            <wp:positionV relativeFrom="paragraph">
              <wp:posOffset>281940</wp:posOffset>
            </wp:positionV>
            <wp:extent cx="188595" cy="163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480"/>
        <w:spacing w:after="0"/>
        <w:tabs>
          <w:tab w:leader="none" w:pos="392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219"/>
        </w:trPr>
        <w:tc>
          <w:tcPr>
            <w:tcW w:w="6740" w:type="dxa"/>
            <w:vAlign w:val="bottom"/>
          </w:tcPr>
          <w:p>
            <w:pPr>
              <w:jc w:val="center"/>
              <w:ind w:left="4134"/>
              <w:spacing w:after="0"/>
              <w:rPr>
                <w:sz w:val="20"/>
                <w:szCs w:val="20"/>
                <w:color w:val="auto"/>
              </w:rPr>
            </w:pPr>
            <w:r>
              <w:rPr>
                <w:rFonts w:ascii="Times New Roman" w:cs="Times New Roman" w:eastAsia="Times New Roman" w:hAnsi="Times New Roman"/>
                <w:sz w:val="17"/>
                <w:szCs w:val="17"/>
                <w:b w:val="1"/>
                <w:bCs w:val="1"/>
                <w:color w:val="auto"/>
                <w:w w:val="99"/>
              </w:rPr>
              <w:t>THE HERSHEY COMPANY</w:t>
            </w: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80" w:type="dxa"/>
            <w:vAlign w:val="bottom"/>
            <w:gridSpan w:val="2"/>
          </w:tcPr>
          <w:p>
            <w:pPr>
              <w:jc w:val="center"/>
              <w:ind w:left="3794"/>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740" w:type="dxa"/>
            <w:vAlign w:val="bottom"/>
          </w:tcPr>
          <w:p>
            <w:pPr>
              <w:jc w:val="center"/>
              <w:ind w:left="4134"/>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October 2, 2022</w:t>
            </w:r>
          </w:p>
        </w:tc>
        <w:tc>
          <w:tcPr>
            <w:tcW w:w="240" w:type="dxa"/>
            <w:vAlign w:val="bottom"/>
          </w:tcPr>
          <w:p>
            <w:pPr>
              <w:spacing w:after="0"/>
              <w:rPr>
                <w:sz w:val="22"/>
                <w:szCs w:val="22"/>
                <w:color w:val="auto"/>
              </w:rPr>
            </w:pPr>
          </w:p>
        </w:tc>
        <w:tc>
          <w:tcPr>
            <w:tcW w:w="18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12"/>
        </w:trPr>
        <w:tc>
          <w:tcPr>
            <w:tcW w:w="67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329,266</w:t>
            </w:r>
          </w:p>
        </w:tc>
        <w:tc>
          <w:tcPr>
            <w:tcW w:w="0" w:type="dxa"/>
            <w:vAlign w:val="bottom"/>
          </w:tcPr>
          <w:p>
            <w:pPr>
              <w:spacing w:after="0"/>
              <w:rPr>
                <w:sz w:val="1"/>
                <w:szCs w:val="1"/>
                <w:color w:val="auto"/>
              </w:rPr>
            </w:pPr>
          </w:p>
        </w:tc>
      </w:tr>
      <w:tr>
        <w:trPr>
          <w:trHeight w:val="219"/>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receivable—trade, net</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929,482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671,464</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1,184,385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988,511</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251,126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256,965</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2,692,734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2,246,206</w:t>
            </w:r>
          </w:p>
        </w:tc>
        <w:tc>
          <w:tcPr>
            <w:tcW w:w="0" w:type="dxa"/>
            <w:vAlign w:val="bottom"/>
          </w:tcPr>
          <w:p>
            <w:pPr>
              <w:spacing w:after="0"/>
              <w:rPr>
                <w:sz w:val="1"/>
                <w:szCs w:val="1"/>
                <w:color w:val="auto"/>
              </w:rPr>
            </w:pPr>
          </w:p>
        </w:tc>
      </w:tr>
      <w:tr>
        <w:trPr>
          <w:trHeight w:val="219"/>
        </w:trPr>
        <w:tc>
          <w:tcPr>
            <w:tcW w:w="67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Property, plant and equipment, net</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2,622,587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2,586,187</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2,604,889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2,633,174</w:t>
            </w:r>
          </w:p>
        </w:tc>
        <w:tc>
          <w:tcPr>
            <w:tcW w:w="0" w:type="dxa"/>
            <w:vAlign w:val="bottom"/>
          </w:tcPr>
          <w:p>
            <w:pPr>
              <w:spacing w:after="0"/>
              <w:rPr>
                <w:sz w:val="1"/>
                <w:szCs w:val="1"/>
                <w:color w:val="auto"/>
              </w:rPr>
            </w:pPr>
          </w:p>
        </w:tc>
      </w:tr>
      <w:tr>
        <w:trPr>
          <w:trHeight w:val="219"/>
        </w:trPr>
        <w:tc>
          <w:tcPr>
            <w:tcW w:w="67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Other intangibles</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1,985,099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2,037,588</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888,406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868,203</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Deferred income taxes</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40,873</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10,832,907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10,412,231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7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915,299</w:t>
            </w:r>
          </w:p>
        </w:tc>
        <w:tc>
          <w:tcPr>
            <w:tcW w:w="12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692,338</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845,472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855,638</w:t>
            </w:r>
          </w:p>
        </w:tc>
        <w:tc>
          <w:tcPr>
            <w:tcW w:w="0" w:type="dxa"/>
            <w:vAlign w:val="bottom"/>
          </w:tcPr>
          <w:p>
            <w:pPr>
              <w:spacing w:after="0"/>
              <w:rPr>
                <w:sz w:val="1"/>
                <w:szCs w:val="1"/>
                <w:color w:val="auto"/>
              </w:rPr>
            </w:pPr>
          </w:p>
        </w:tc>
      </w:tr>
      <w:tr>
        <w:trPr>
          <w:trHeight w:val="219"/>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income taxes</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debt</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793,871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939,423</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752,201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3,388,614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2,493,313</w:t>
            </w:r>
          </w:p>
        </w:tc>
        <w:tc>
          <w:tcPr>
            <w:tcW w:w="0" w:type="dxa"/>
            <w:vAlign w:val="bottom"/>
          </w:tcPr>
          <w:p>
            <w:pPr>
              <w:spacing w:after="0"/>
              <w:rPr>
                <w:sz w:val="1"/>
                <w:szCs w:val="1"/>
                <w:color w:val="auto"/>
              </w:rPr>
            </w:pPr>
          </w:p>
        </w:tc>
      </w:tr>
      <w:tr>
        <w:trPr>
          <w:trHeight w:val="219"/>
        </w:trPr>
        <w:tc>
          <w:tcPr>
            <w:tcW w:w="67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Long-term debt</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3,340,671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4,086,627</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750,870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787,058</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Deferred income taxes</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269,672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288,004</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7,749,827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7,655,002</w:t>
            </w: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Hershey Company stockholders’ equity</w:t>
            </w: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 shares issued: none in 2022 and 2021</w:t>
            </w:r>
          </w:p>
        </w:tc>
        <w:tc>
          <w:tcPr>
            <w:tcW w:w="3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Common stock, shares issued: 163,439,248 at October 2, 2022 and 160,939,248 at</w:t>
            </w: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2021</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160,939</w:t>
            </w:r>
          </w:p>
        </w:tc>
        <w:tc>
          <w:tcPr>
            <w:tcW w:w="0" w:type="dxa"/>
            <w:vAlign w:val="bottom"/>
          </w:tcPr>
          <w:p>
            <w:pPr>
              <w:spacing w:after="0"/>
              <w:rPr>
                <w:sz w:val="1"/>
                <w:szCs w:val="1"/>
                <w:color w:val="auto"/>
              </w:rPr>
            </w:pPr>
          </w:p>
        </w:tc>
      </w:tr>
      <w:tr>
        <w:trPr>
          <w:trHeight w:val="168"/>
        </w:trPr>
        <w:tc>
          <w:tcPr>
            <w:tcW w:w="674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B common stock, shares issued: 58,113,777 at October 2, 2022 and 60,613,777 at</w:t>
            </w:r>
          </w:p>
        </w:tc>
        <w:tc>
          <w:tcPr>
            <w:tcW w:w="3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2021</w:t>
            </w:r>
          </w:p>
        </w:tc>
        <w:tc>
          <w:tcPr>
            <w:tcW w:w="3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60,614</w:t>
            </w:r>
          </w:p>
        </w:tc>
        <w:tc>
          <w:tcPr>
            <w:tcW w:w="0" w:type="dxa"/>
            <w:vAlign w:val="bottom"/>
          </w:tcPr>
          <w:p>
            <w:pPr>
              <w:spacing w:after="0"/>
              <w:rPr>
                <w:sz w:val="1"/>
                <w:szCs w:val="1"/>
                <w:color w:val="auto"/>
              </w:rPr>
            </w:pPr>
          </w:p>
        </w:tc>
      </w:tr>
      <w:tr>
        <w:trPr>
          <w:trHeight w:val="219"/>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1,280,462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1,260,331</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3,401,198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2,719,936</w:t>
            </w: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Treasury—common stock shares, at cost: 16,484,611 at October 2, 2022 and 15,444,011 at</w:t>
            </w: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2021</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(1,524,083)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(1,195,376)</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(296,050)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(249,215)</w:t>
            </w:r>
          </w:p>
        </w:tc>
        <w:tc>
          <w:tcPr>
            <w:tcW w:w="0" w:type="dxa"/>
            <w:vAlign w:val="bottom"/>
          </w:tcPr>
          <w:p>
            <w:pPr>
              <w:spacing w:after="0"/>
              <w:rPr>
                <w:sz w:val="1"/>
                <w:szCs w:val="1"/>
                <w:color w:val="auto"/>
              </w:rPr>
            </w:pPr>
          </w:p>
        </w:tc>
      </w:tr>
      <w:tr>
        <w:trPr>
          <w:trHeight w:val="212"/>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3,083,080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2,757,229</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10,832,907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10,412,231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6931025</wp:posOffset>
            </wp:positionH>
            <wp:positionV relativeFrom="paragraph">
              <wp:posOffset>281940</wp:posOffset>
            </wp:positionV>
            <wp:extent cx="188595" cy="163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327660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202" w:right="33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80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60" w:type="dxa"/>
            <w:vAlign w:val="bottom"/>
          </w:tcPr>
          <w:p>
            <w:pPr>
              <w:spacing w:after="0"/>
              <w:rPr>
                <w:sz w:val="17"/>
                <w:szCs w:val="17"/>
                <w:color w:val="auto"/>
              </w:rPr>
            </w:pPr>
          </w:p>
        </w:tc>
        <w:tc>
          <w:tcPr>
            <w:tcW w:w="134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0" w:type="dxa"/>
            <w:vAlign w:val="bottom"/>
          </w:tcPr>
          <w:p>
            <w:pPr>
              <w:spacing w:after="0"/>
              <w:rPr>
                <w:sz w:val="1"/>
                <w:szCs w:val="1"/>
                <w:color w:val="auto"/>
              </w:rPr>
            </w:pPr>
          </w:p>
        </w:tc>
      </w:tr>
      <w:tr>
        <w:trPr>
          <w:trHeight w:val="187"/>
        </w:trPr>
        <w:tc>
          <w:tcPr>
            <w:tcW w:w="39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4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Net income including noncontrolling interest</w:t>
            </w:r>
          </w:p>
        </w:tc>
        <w:tc>
          <w:tcPr>
            <w:tcW w:w="4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1,248,521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1,143,028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279,082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231,953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50,640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Deferred income taxes</w:t>
            </w: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Write-down of equity investments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70,754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Other</w:t>
            </w: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92,632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77,548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Changes in assets and liabilities, net of business acquisitions and divestitures: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Accounts receivable—trade, net</w:t>
            </w: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(259,064)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(222,864)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Inventories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(201,425)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11,908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248,230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Accrued income taxes</w:t>
            </w: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124,965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92,236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Contributions to pension and other benefit plans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(38,576)</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92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5"/>
                <w:szCs w:val="15"/>
                <w:color w:val="auto"/>
              </w:rPr>
              <w:t>Other assets and liabilities</w:t>
            </w:r>
          </w:p>
        </w:tc>
        <w:tc>
          <w:tcPr>
            <w:tcW w:w="4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(27,186)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(9,603)</w:t>
            </w: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4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1,560,194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1,403,717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Capital additions (including software)</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(359,993)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Equity investments in tax credit qualifying partnerships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(159,713)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(75,917)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Business acquisitions, net of cash and cash equivalents acquired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(419,501)</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92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4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9,730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3,129</w:t>
            </w: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4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(509,976)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(839,739)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Net (decrease) increase in short-term debt</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Repayment of long-term debt and finance leases</w:t>
            </w: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(438,029)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Cash dividends paid</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(567,989)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(355,271)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(457,946)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Proceeds from exercised stock options</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30,824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39,499</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92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5"/>
                <w:szCs w:val="15"/>
                <w:color w:val="auto"/>
              </w:rPr>
              <w:t>Taxes withheld and paid on employee stock awards</w:t>
            </w:r>
          </w:p>
        </w:tc>
        <w:tc>
          <w:tcPr>
            <w:tcW w:w="4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(16,137)</w:t>
            </w: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4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(1,076,031)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(1,037,826)</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4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24,288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(6,057)</w:t>
            </w:r>
          </w:p>
        </w:tc>
        <w:tc>
          <w:tcPr>
            <w:tcW w:w="0" w:type="dxa"/>
            <w:vAlign w:val="bottom"/>
          </w:tcPr>
          <w:p>
            <w:pPr>
              <w:spacing w:after="0"/>
              <w:rPr>
                <w:sz w:val="1"/>
                <w:szCs w:val="1"/>
                <w:color w:val="auto"/>
              </w:rPr>
            </w:pPr>
          </w:p>
        </w:tc>
      </w:tr>
      <w:tr>
        <w:trPr>
          <w:trHeight w:val="202"/>
        </w:trPr>
        <w:tc>
          <w:tcPr>
            <w:tcW w:w="8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Decrease in cash and cash equivalents, including cash classified as held for sale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(479,905)</w:t>
            </w:r>
          </w:p>
        </w:tc>
        <w:tc>
          <w:tcPr>
            <w:tcW w:w="0" w:type="dxa"/>
            <w:vAlign w:val="bottom"/>
          </w:tcPr>
          <w:p>
            <w:pPr>
              <w:spacing w:after="0"/>
              <w:rPr>
                <w:sz w:val="1"/>
                <w:szCs w:val="1"/>
                <w:color w:val="auto"/>
              </w:rPr>
            </w:pPr>
          </w:p>
        </w:tc>
      </w:tr>
      <w:tr>
        <w:trPr>
          <w:trHeight w:val="203"/>
        </w:trPr>
        <w:tc>
          <w:tcPr>
            <w:tcW w:w="81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Less: Increase in cash and cash equivalents classified as held for sale</w:t>
            </w:r>
          </w:p>
        </w:tc>
        <w:tc>
          <w:tcPr>
            <w:tcW w:w="16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11,434</w:t>
            </w:r>
          </w:p>
        </w:tc>
        <w:tc>
          <w:tcPr>
            <w:tcW w:w="0" w:type="dxa"/>
            <w:vAlign w:val="bottom"/>
          </w:tcPr>
          <w:p>
            <w:pPr>
              <w:spacing w:after="0"/>
              <w:rPr>
                <w:sz w:val="1"/>
                <w:szCs w:val="1"/>
                <w:color w:val="auto"/>
              </w:rPr>
            </w:pPr>
          </w:p>
        </w:tc>
      </w:tr>
      <w:tr>
        <w:trPr>
          <w:trHeight w:val="202"/>
        </w:trPr>
        <w:tc>
          <w:tcPr>
            <w:tcW w:w="39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4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(468,471)</w:t>
            </w:r>
          </w:p>
        </w:tc>
        <w:tc>
          <w:tcPr>
            <w:tcW w:w="0" w:type="dxa"/>
            <w:vAlign w:val="bottom"/>
          </w:tcPr>
          <w:p>
            <w:pPr>
              <w:spacing w:after="0"/>
              <w:rPr>
                <w:sz w:val="1"/>
                <w:szCs w:val="1"/>
                <w:color w:val="auto"/>
              </w:rPr>
            </w:pPr>
          </w:p>
        </w:tc>
      </w:tr>
      <w:tr>
        <w:trPr>
          <w:trHeight w:val="203"/>
        </w:trPr>
        <w:tc>
          <w:tcPr>
            <w:tcW w:w="3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4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329,266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1,143,987</w:t>
            </w:r>
          </w:p>
        </w:tc>
        <w:tc>
          <w:tcPr>
            <w:tcW w:w="0" w:type="dxa"/>
            <w:vAlign w:val="bottom"/>
          </w:tcPr>
          <w:p>
            <w:pPr>
              <w:spacing w:after="0"/>
              <w:rPr>
                <w:sz w:val="1"/>
                <w:szCs w:val="1"/>
                <w:color w:val="auto"/>
              </w:rPr>
            </w:pPr>
          </w:p>
        </w:tc>
      </w:tr>
      <w:tr>
        <w:trPr>
          <w:trHeight w:val="227"/>
        </w:trPr>
        <w:tc>
          <w:tcPr>
            <w:tcW w:w="3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4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327,741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675,516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2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Supplemental Disclosure</w:t>
            </w:r>
          </w:p>
        </w:tc>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3920" w:type="dxa"/>
            <w:vAlign w:val="bottom"/>
            <w:gridSpan w:val="2"/>
            <w:vMerge w:val="continue"/>
          </w:tcPr>
          <w:p>
            <w:pPr>
              <w:spacing w:after="0"/>
              <w:rPr>
                <w:sz w:val="13"/>
                <w:szCs w:val="13"/>
                <w:color w:val="auto"/>
              </w:rPr>
            </w:pPr>
          </w:p>
        </w:tc>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paid</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90,787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92,397</w:t>
            </w:r>
          </w:p>
        </w:tc>
        <w:tc>
          <w:tcPr>
            <w:tcW w:w="0" w:type="dxa"/>
            <w:vAlign w:val="bottom"/>
          </w:tcPr>
          <w:p>
            <w:pPr>
              <w:spacing w:after="0"/>
              <w:rPr>
                <w:sz w:val="1"/>
                <w:szCs w:val="1"/>
                <w:color w:val="auto"/>
              </w:rPr>
            </w:pPr>
          </w:p>
        </w:tc>
      </w:tr>
      <w:tr>
        <w:trPr>
          <w:trHeight w:val="201"/>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Income taxes paid</w:t>
            </w: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190,724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199,735</w:t>
            </w: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20" w:type="dxa"/>
            <w:vAlign w:val="bottom"/>
            <w:gridSpan w:val="2"/>
          </w:tcPr>
          <w:p>
            <w:pPr>
              <w:jc w:val="center"/>
              <w:ind w:left="1914"/>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4"/>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Table of Contents</w:t>
            </w:r>
          </w:p>
        </w:tc>
        <w:tc>
          <w:tcPr>
            <w:tcW w:w="4200" w:type="dxa"/>
            <w:vAlign w:val="bottom"/>
          </w:tcPr>
          <w:p>
            <w:pPr>
              <w:jc w:val="center"/>
              <w:ind w:right="743"/>
              <w:spacing w:after="0"/>
              <w:rPr>
                <w:sz w:val="20"/>
                <w:szCs w:val="20"/>
                <w:color w:val="auto"/>
              </w:rPr>
            </w:pPr>
            <w:r>
              <w:rPr>
                <w:rFonts w:ascii="Times New Roman" w:cs="Times New Roman" w:eastAsia="Times New Roman" w:hAnsi="Times New Roman"/>
                <w:sz w:val="15"/>
                <w:szCs w:val="15"/>
                <w:color w:val="auto"/>
              </w:rPr>
              <w:t>The Hershey Company | Q3 2022 Form 10-Q | Page 5</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-506730</wp:posOffset>
            </wp:positionV>
            <wp:extent cx="188595" cy="163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jc w:val="center"/>
        <w:ind w:right="-119"/>
        <w:spacing w:after="0" w:line="221" w:lineRule="auto"/>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jc w:val="center"/>
        <w:ind w:right="-119"/>
        <w:spacing w:after="0" w:line="206" w:lineRule="auto"/>
        <w:rPr>
          <w:sz w:val="20"/>
          <w:szCs w:val="20"/>
          <w:color w:val="auto"/>
        </w:rPr>
      </w:pPr>
      <w:r>
        <w:rPr>
          <w:rFonts w:ascii="Times New Roman" w:cs="Times New Roman" w:eastAsia="Times New Roman" w:hAnsi="Times New Roman"/>
          <w:sz w:val="17"/>
          <w:szCs w:val="17"/>
          <w:b w:val="1"/>
          <w:bCs w:val="1"/>
          <w:color w:val="auto"/>
        </w:rPr>
        <w:t>For the Three Months Ended October 2, 2022 and October 3, 2021</w:t>
      </w:r>
    </w:p>
    <w:p>
      <w:pPr>
        <w:ind w:left="5160"/>
        <w:spacing w:after="0" w:line="206" w:lineRule="auto"/>
        <w:rPr>
          <w:sz w:val="20"/>
          <w:szCs w:val="20"/>
          <w:color w:val="auto"/>
        </w:rPr>
      </w:pPr>
      <w:r>
        <w:rPr>
          <w:rFonts w:ascii="Times New Roman" w:cs="Times New Roman" w:eastAsia="Times New Roman" w:hAnsi="Times New Roman"/>
          <w:sz w:val="17"/>
          <w:szCs w:val="17"/>
          <w:b w:val="1"/>
          <w:bCs w:val="1"/>
          <w:color w:val="auto"/>
        </w:rPr>
        <w:t>(in thousands)</w:t>
      </w:r>
    </w:p>
    <w:p>
      <w:pPr>
        <w:ind w:left="52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0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3"/>
                <w:szCs w:val="13"/>
                <w:color w:val="auto"/>
              </w:rPr>
            </w:pPr>
          </w:p>
        </w:tc>
        <w:tc>
          <w:tcPr>
            <w:tcW w:w="7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Preferred</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0" w:type="dxa"/>
            <w:vAlign w:val="bottom"/>
          </w:tcPr>
          <w:p>
            <w:pPr>
              <w:spacing w:after="0"/>
              <w:rPr>
                <w:sz w:val="16"/>
                <w:szCs w:val="16"/>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2"/>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3, 2022</w:t>
            </w: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1,258,091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3,208,598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(1,528,121)</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(268,381)</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2,891,740</w:t>
            </w: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399,487</w:t>
            </w:r>
          </w:p>
        </w:tc>
        <w:tc>
          <w:tcPr>
            <w:tcW w:w="0" w:type="dxa"/>
            <w:vAlign w:val="bottom"/>
          </w:tcPr>
          <w:p>
            <w:pPr>
              <w:spacing w:after="0"/>
              <w:rPr>
                <w:sz w:val="1"/>
                <w:szCs w:val="1"/>
                <w:color w:val="auto"/>
              </w:rPr>
            </w:pPr>
          </w:p>
        </w:tc>
      </w:tr>
      <w:tr>
        <w:trPr>
          <w:trHeight w:val="20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(27,669)</w:t>
            </w: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$1.036 per share</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(152,144)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(152,144)</w:t>
            </w:r>
          </w:p>
        </w:tc>
        <w:tc>
          <w:tcPr>
            <w:tcW w:w="0" w:type="dxa"/>
            <w:vAlign w:val="bottom"/>
          </w:tcPr>
          <w:p>
            <w:pPr>
              <w:spacing w:after="0"/>
              <w:rPr>
                <w:sz w:val="1"/>
                <w:szCs w:val="1"/>
                <w:color w:val="auto"/>
              </w:rPr>
            </w:pPr>
          </w:p>
        </w:tc>
      </w:tr>
      <w:tr>
        <w:trPr>
          <w:trHeight w:val="186"/>
        </w:trPr>
        <w:tc>
          <w:tcPr>
            <w:tcW w:w="2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$0.942 per share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(54,743)</w:t>
            </w:r>
          </w:p>
        </w:tc>
        <w:tc>
          <w:tcPr>
            <w:tcW w:w="0" w:type="dxa"/>
            <w:vAlign w:val="bottom"/>
          </w:tcPr>
          <w:p>
            <w:pPr>
              <w:spacing w:after="0"/>
              <w:rPr>
                <w:sz w:val="1"/>
                <w:szCs w:val="1"/>
                <w:color w:val="auto"/>
              </w:rPr>
            </w:pPr>
          </w:p>
        </w:tc>
      </w:tr>
      <w:tr>
        <w:trPr>
          <w:trHeight w:val="20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18,132</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8,277</w:t>
            </w:r>
          </w:p>
        </w:tc>
        <w:tc>
          <w:tcPr>
            <w:tcW w:w="0" w:type="dxa"/>
            <w:vAlign w:val="bottom"/>
          </w:tcPr>
          <w:p>
            <w:pPr>
              <w:spacing w:after="0"/>
              <w:rPr>
                <w:sz w:val="1"/>
                <w:szCs w:val="1"/>
                <w:color w:val="auto"/>
              </w:rPr>
            </w:pPr>
          </w:p>
        </w:tc>
      </w:tr>
      <w:tr>
        <w:trPr>
          <w:trHeight w:val="21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2, 2022</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1,280,462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3,401,198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(1,524,083)</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(296,050)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3,083,080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8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80" w:type="dxa"/>
            <w:vAlign w:val="bottom"/>
          </w:tcPr>
          <w:p>
            <w:pPr>
              <w:spacing w:after="0"/>
              <w:rPr>
                <w:sz w:val="24"/>
                <w:szCs w:val="24"/>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Pr>
          <w:p>
            <w:pPr>
              <w:spacing w:after="0"/>
              <w:rPr>
                <w:sz w:val="24"/>
                <w:szCs w:val="24"/>
                <w:color w:val="auto"/>
              </w:rPr>
            </w:pP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180" w:type="dxa"/>
            <w:vAlign w:val="bottom"/>
          </w:tcPr>
          <w:p>
            <w:pPr>
              <w:spacing w:after="0"/>
              <w:rPr>
                <w:sz w:val="24"/>
                <w:szCs w:val="24"/>
                <w:color w:val="auto"/>
              </w:rPr>
            </w:pPr>
          </w:p>
        </w:tc>
        <w:tc>
          <w:tcPr>
            <w:tcW w:w="7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4"/>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Interests in</w:t>
            </w:r>
          </w:p>
        </w:tc>
        <w:tc>
          <w:tcPr>
            <w:tcW w:w="9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80" w:type="dxa"/>
            <w:vAlign w:val="bottom"/>
          </w:tcPr>
          <w:p>
            <w:pPr>
              <w:spacing w:after="0"/>
              <w:rPr>
                <w:sz w:val="16"/>
                <w:szCs w:val="16"/>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1"/>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4,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1,218,708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2,301,805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(1,180,881)</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(296,136)</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8,844</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2,273,893</w:t>
            </w: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444,927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444,927</w:t>
            </w:r>
          </w:p>
        </w:tc>
        <w:tc>
          <w:tcPr>
            <w:tcW w:w="0" w:type="dxa"/>
            <w:vAlign w:val="bottom"/>
          </w:tcPr>
          <w:p>
            <w:pPr>
              <w:spacing w:after="0"/>
              <w:rPr>
                <w:sz w:val="1"/>
                <w:szCs w:val="1"/>
                <w:color w:val="auto"/>
              </w:rPr>
            </w:pPr>
          </w:p>
        </w:tc>
      </w:tr>
      <w:tr>
        <w:trPr>
          <w:trHeight w:val="20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(2,264)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$0.901 per share</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(131,551)</w:t>
            </w:r>
          </w:p>
        </w:tc>
        <w:tc>
          <w:tcPr>
            <w:tcW w:w="0" w:type="dxa"/>
            <w:vAlign w:val="bottom"/>
          </w:tcPr>
          <w:p>
            <w:pPr>
              <w:spacing w:after="0"/>
              <w:rPr>
                <w:sz w:val="1"/>
                <w:szCs w:val="1"/>
                <w:color w:val="auto"/>
              </w:rPr>
            </w:pPr>
          </w:p>
        </w:tc>
      </w:tr>
      <w:tr>
        <w:trPr>
          <w:trHeight w:val="186"/>
        </w:trPr>
        <w:tc>
          <w:tcPr>
            <w:tcW w:w="2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$0.819 per share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(49,643)</w:t>
            </w:r>
          </w:p>
        </w:tc>
        <w:tc>
          <w:tcPr>
            <w:tcW w:w="0" w:type="dxa"/>
            <w:vAlign w:val="bottom"/>
          </w:tcPr>
          <w:p>
            <w:pPr>
              <w:spacing w:after="0"/>
              <w:rPr>
                <w:sz w:val="1"/>
                <w:szCs w:val="1"/>
                <w:color w:val="auto"/>
              </w:rPr>
            </w:pPr>
          </w:p>
        </w:tc>
      </w:tr>
      <w:tr>
        <w:trPr>
          <w:trHeight w:val="20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18,903</w:t>
            </w:r>
          </w:p>
        </w:tc>
        <w:tc>
          <w:tcPr>
            <w:tcW w:w="0" w:type="dxa"/>
            <w:vAlign w:val="bottom"/>
          </w:tcPr>
          <w:p>
            <w:pPr>
              <w:spacing w:after="0"/>
              <w:rPr>
                <w:sz w:val="1"/>
                <w:szCs w:val="1"/>
                <w:color w:val="auto"/>
              </w:rPr>
            </w:pPr>
          </w:p>
        </w:tc>
      </w:tr>
      <w:tr>
        <w:trPr>
          <w:trHeight w:val="134"/>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stock  options  and  incentive-based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4,072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6,473</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(23,600)</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(23,600)</w:t>
            </w: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3, 2021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1,240,012</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2,565,538</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(1,200,409)</w:t>
            </w:r>
          </w:p>
        </w:tc>
        <w:tc>
          <w:tcPr>
            <w:tcW w:w="80" w:type="dxa"/>
            <w:vAlign w:val="bottom"/>
          </w:tcPr>
          <w:p>
            <w:pPr>
              <w:spacing w:after="0"/>
              <w:rPr>
                <w:sz w:val="16"/>
                <w:szCs w:val="16"/>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(298,400)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2,537,133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6010910</wp:posOffset>
            </wp:positionH>
            <wp:positionV relativeFrom="paragraph">
              <wp:posOffset>421005</wp:posOffset>
            </wp:positionV>
            <wp:extent cx="188595" cy="163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80"/>
        <w:spacing w:after="0"/>
        <w:tabs>
          <w:tab w:leader="none" w:pos="392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jc w:val="center"/>
        <w:ind w:right="-119"/>
        <w:spacing w:after="0" w:line="221" w:lineRule="auto"/>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jc w:val="center"/>
        <w:ind w:right="-119"/>
        <w:spacing w:after="0" w:line="206" w:lineRule="auto"/>
        <w:rPr>
          <w:sz w:val="20"/>
          <w:szCs w:val="20"/>
          <w:color w:val="auto"/>
        </w:rPr>
      </w:pPr>
      <w:r>
        <w:rPr>
          <w:rFonts w:ascii="Times New Roman" w:cs="Times New Roman" w:eastAsia="Times New Roman" w:hAnsi="Times New Roman"/>
          <w:sz w:val="17"/>
          <w:szCs w:val="17"/>
          <w:b w:val="1"/>
          <w:bCs w:val="1"/>
          <w:color w:val="auto"/>
        </w:rPr>
        <w:t>For the Nine Months Ended October 2, 2022 and October 3, 2021</w:t>
      </w:r>
    </w:p>
    <w:p>
      <w:pPr>
        <w:ind w:left="5160"/>
        <w:spacing w:after="0" w:line="206" w:lineRule="auto"/>
        <w:rPr>
          <w:sz w:val="20"/>
          <w:szCs w:val="20"/>
          <w:color w:val="auto"/>
        </w:rPr>
      </w:pPr>
      <w:r>
        <w:rPr>
          <w:rFonts w:ascii="Times New Roman" w:cs="Times New Roman" w:eastAsia="Times New Roman" w:hAnsi="Times New Roman"/>
          <w:sz w:val="17"/>
          <w:szCs w:val="17"/>
          <w:b w:val="1"/>
          <w:bCs w:val="1"/>
          <w:color w:val="auto"/>
        </w:rPr>
        <w:t>(in thousands)</w:t>
      </w:r>
    </w:p>
    <w:p>
      <w:pPr>
        <w:ind w:left="52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8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3"/>
                <w:szCs w:val="13"/>
                <w:color w:val="auto"/>
              </w:rPr>
            </w:pPr>
          </w:p>
        </w:tc>
        <w:tc>
          <w:tcPr>
            <w:tcW w:w="7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Preferred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80" w:type="dxa"/>
            <w:vAlign w:val="bottom"/>
          </w:tcPr>
          <w:p>
            <w:pPr>
              <w:spacing w:after="0"/>
              <w:rPr>
                <w:sz w:val="16"/>
                <w:szCs w:val="16"/>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1,260,331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2,719,936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(1,195,376)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(249,215)</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2,757,229</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1,248,521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1,248,521</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(46,835)</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$2.838 per share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(414,869)</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$2.58 per share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(152,390)</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Class B Common Stock into Common Stock</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7"/>
              </w:rPr>
              <w:t>(2,500)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50,592</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(355,271)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(355,271)</w:t>
            </w:r>
          </w:p>
        </w:tc>
        <w:tc>
          <w:tcPr>
            <w:tcW w:w="0" w:type="dxa"/>
            <w:vAlign w:val="bottom"/>
          </w:tcPr>
          <w:p>
            <w:pPr>
              <w:spacing w:after="0"/>
              <w:rPr>
                <w:sz w:val="1"/>
                <w:szCs w:val="1"/>
                <w:color w:val="auto"/>
              </w:rPr>
            </w:pPr>
          </w:p>
        </w:tc>
      </w:tr>
      <w:tr>
        <w:trPr>
          <w:trHeight w:val="21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2,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58,114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1,280,462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3,401,198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(1,524,083)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(296,050)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3,083,080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Common Stock, $2.509 per share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Class B Common Stock, $2.281 per share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32"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4"/>
          <w:szCs w:val="14"/>
          <w:color w:val="auto"/>
        </w:rPr>
        <w:t>Exercise of stock options and incentive-based transactions</w:t>
      </w:r>
    </w:p>
    <w:p>
      <w:pPr>
        <w:spacing w:after="0" w:line="3" w:lineRule="exact"/>
        <w:rPr>
          <w:sz w:val="20"/>
          <w:szCs w:val="20"/>
          <w:color w:val="auto"/>
        </w:rPr>
      </w:pPr>
    </w:p>
    <w:p>
      <w:pPr>
        <w:ind w:left="20" w:right="760"/>
        <w:spacing w:after="0" w:line="338" w:lineRule="auto"/>
        <w:rPr>
          <w:sz w:val="20"/>
          <w:szCs w:val="20"/>
          <w:color w:val="auto"/>
        </w:rPr>
      </w:pPr>
      <w:r>
        <w:rPr>
          <w:rFonts w:ascii="Times New Roman" w:cs="Times New Roman" w:eastAsia="Times New Roman" w:hAnsi="Times New Roman"/>
          <w:sz w:val="13"/>
          <w:szCs w:val="13"/>
          <w:color w:val="auto"/>
        </w:rPr>
        <w:t>Repurchase of common stock Divestiture of noncontrolling interest</w:t>
      </w:r>
    </w:p>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3, 2021</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8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3"/>
                <w:szCs w:val="13"/>
                <w:color w:val="auto"/>
              </w:rPr>
            </w:pPr>
          </w:p>
        </w:tc>
        <w:tc>
          <w:tcPr>
            <w:tcW w:w="7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80" w:type="dxa"/>
            <w:vAlign w:val="bottom"/>
          </w:tcPr>
          <w:p>
            <w:pPr>
              <w:spacing w:after="0"/>
              <w:rPr>
                <w:sz w:val="12"/>
                <w:szCs w:val="12"/>
                <w:color w:val="auto"/>
              </w:rPr>
            </w:pPr>
          </w:p>
        </w:tc>
        <w:tc>
          <w:tcPr>
            <w:tcW w:w="9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9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6"/>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1,191,200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1,928,673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(768,992)</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(338,082)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center"/>
              <w:ind w:left="351"/>
              <w:spacing w:after="0"/>
              <w:rPr>
                <w:sz w:val="20"/>
                <w:szCs w:val="20"/>
                <w:color w:val="auto"/>
              </w:rPr>
            </w:pPr>
            <w:r>
              <w:rPr>
                <w:rFonts w:ascii="Times New Roman" w:cs="Times New Roman" w:eastAsia="Times New Roman" w:hAnsi="Times New Roman"/>
                <w:sz w:val="14"/>
                <w:szCs w:val="14"/>
                <w:color w:val="auto"/>
                <w:w w:val="95"/>
              </w:rPr>
              <w:t>3,531</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2,237,883</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1,141,956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left="351"/>
              <w:spacing w:after="0"/>
              <w:rPr>
                <w:sz w:val="20"/>
                <w:szCs w:val="20"/>
                <w:color w:val="auto"/>
              </w:rPr>
            </w:pPr>
            <w:r>
              <w:rPr>
                <w:rFonts w:ascii="Times New Roman" w:cs="Times New Roman" w:eastAsia="Times New Roman" w:hAnsi="Times New Roman"/>
                <w:sz w:val="14"/>
                <w:szCs w:val="14"/>
                <w:color w:val="auto"/>
                <w:w w:val="95"/>
              </w:rPr>
              <w:t>1,072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1,143,028</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left="351"/>
              <w:spacing w:after="0"/>
              <w:rPr>
                <w:sz w:val="20"/>
                <w:szCs w:val="20"/>
                <w:color w:val="auto"/>
              </w:rPr>
            </w:pPr>
            <w:r>
              <w:rPr>
                <w:rFonts w:ascii="Times New Roman" w:cs="Times New Roman" w:eastAsia="Times New Roman" w:hAnsi="Times New Roman"/>
                <w:sz w:val="14"/>
                <w:szCs w:val="14"/>
                <w:color w:val="auto"/>
                <w:w w:val="95"/>
              </w:rPr>
              <w:t>5,249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44,931</w:t>
            </w:r>
          </w:p>
        </w:tc>
        <w:tc>
          <w:tcPr>
            <w:tcW w:w="0" w:type="dxa"/>
            <w:vAlign w:val="bottom"/>
          </w:tcPr>
          <w:p>
            <w:pPr>
              <w:spacing w:after="0"/>
              <w:rPr>
                <w:sz w:val="1"/>
                <w:szCs w:val="1"/>
                <w:color w:val="auto"/>
              </w:rPr>
            </w:pPr>
          </w:p>
        </w:tc>
      </w:tr>
      <w:tr>
        <w:trPr>
          <w:trHeight w:val="387"/>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(366,831)</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(138,260)</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51,979</w:t>
            </w: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26,529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23,362</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(457,946)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(457,946)</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left="331"/>
              <w:spacing w:after="0"/>
              <w:rPr>
                <w:sz w:val="20"/>
                <w:szCs w:val="20"/>
                <w:color w:val="auto"/>
              </w:rPr>
            </w:pPr>
            <w:r>
              <w:rPr>
                <w:rFonts w:ascii="Times New Roman" w:cs="Times New Roman" w:eastAsia="Times New Roman" w:hAnsi="Times New Roman"/>
                <w:sz w:val="14"/>
                <w:szCs w:val="14"/>
                <w:color w:val="auto"/>
                <w:w w:val="97"/>
              </w:rPr>
              <w:t>(1,013)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1,240,012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2,565,538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(1,200,409)</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(298,400)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center"/>
              <w:ind w:left="351"/>
              <w:spacing w:after="0"/>
              <w:rPr>
                <w:sz w:val="20"/>
                <w:szCs w:val="20"/>
                <w:color w:val="auto"/>
              </w:rPr>
            </w:pPr>
            <w:r>
              <w:rPr>
                <w:rFonts w:ascii="Times New Roman" w:cs="Times New Roman" w:eastAsia="Times New Roman" w:hAnsi="Times New Roman"/>
                <w:sz w:val="14"/>
                <w:szCs w:val="14"/>
                <w:color w:val="auto"/>
                <w:w w:val="95"/>
              </w:rPr>
              <w:t>8,839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2,537,133</w:t>
            </w:r>
          </w:p>
        </w:tc>
        <w:tc>
          <w:tcPr>
            <w:tcW w:w="0" w:type="dxa"/>
            <w:vAlign w:val="bottom"/>
          </w:tcPr>
          <w:p>
            <w:pPr>
              <w:spacing w:after="0"/>
              <w:rPr>
                <w:sz w:val="1"/>
                <w:szCs w:val="1"/>
                <w:color w:val="auto"/>
              </w:rPr>
            </w:pPr>
          </w:p>
        </w:tc>
      </w:tr>
      <w:tr>
        <w:trPr>
          <w:trHeight w:val="26"/>
        </w:trPr>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-1480820</wp:posOffset>
            </wp:positionV>
            <wp:extent cx="7138670" cy="130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-1227455</wp:posOffset>
            </wp:positionV>
            <wp:extent cx="7138670" cy="122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-981710</wp:posOffset>
            </wp:positionV>
            <wp:extent cx="7138670" cy="122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-735965</wp:posOffset>
            </wp:positionV>
            <wp:extent cx="7138670" cy="122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-408940</wp:posOffset>
            </wp:positionV>
            <wp:extent cx="7138670" cy="122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-163195</wp:posOffset>
            </wp:positionV>
            <wp:extent cx="7138670" cy="147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100"/>
            <w:col w:w="8320"/>
          </w:cols>
          <w:pgMar w:left="320" w:top="1183" w:right="339" w:bottom="1440" w:gutter="0" w:footer="0" w:header="0"/>
          <w:type w:val="continuous"/>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6010910</wp:posOffset>
            </wp:positionH>
            <wp:positionV relativeFrom="paragraph">
              <wp:posOffset>568325</wp:posOffset>
            </wp:positionV>
            <wp:extent cx="188595" cy="16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80"/>
        <w:spacing w:after="0"/>
        <w:tabs>
          <w:tab w:leader="none" w:pos="392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SUMMARY OF 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2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5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Operating results for the quarter ended October 2, 2022 may not be indicative of the results that may be expected for the year ending December 31, 2022 because of seasonal effects on our business. These financial statements should be read in conjunction with our Annual Report on Form 10-K for the year ended December 31, 2021 (our “2021 Annual Report on Form 10-K”), which provides a more complete understanding of our accounting policies, financial position, operating results and other matters.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On March 11, 2020, the World Health Organization designated coronavirus disease 2019 (“COVID-19”) as a global pandemic. We continue to actively monitor COVID-19 and its potential impact on our operations and financial results. Employee health and safety remains our first priority while we continue our efforts to support community food supplies. Since the onset of COVID-19, there has been minimal disruption to our supply chain network, and all our manufacturing plants are currently open. However, beginning in 2021 and throughout 2022, ongoing strong demand for consumer goods and the effects of COVID-19 mitigation strategies have led to broad-based supply chain disruptions across the U.S. and globally, including inflation on many consumer products, labor shortages and demand outpacing supply. We continue to work closely with our business units, contract manufacturers, distributors, contractors and other external business partners to minimize the potential impact on our business.</w:t>
      </w:r>
    </w:p>
    <w:p>
      <w:pPr>
        <w:spacing w:after="0" w:line="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ultimate impact that COVID-19 will have on our consolidated financial statements remains uncertain and ultimately will be dictated by the length and severity of the pandemic, including broad-based supply chain disruptions, rising levels of inflation, the spread of COVID-19 variants or resurgences, as well as the economic recovery and actions taken in response by local, state and national governments around the world, including the distribution of vaccinations. We will continue to evaluate the nature and extent of these potential and evolving impacts to our business and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 xml:space="preserve">In March 2020, the Financial Accounting Standards Board (“FASB”) issued Accounting Standards Update (“ASU”) No. 2020-04, </w:t>
      </w:r>
      <w:r>
        <w:rPr>
          <w:rFonts w:ascii="Times New Roman" w:cs="Times New Roman" w:eastAsia="Times New Roman" w:hAnsi="Times New Roman"/>
          <w:sz w:val="17"/>
          <w:szCs w:val="17"/>
          <w:i w:val="1"/>
          <w:iCs w:val="1"/>
          <w:color w:val="auto"/>
        </w:rPr>
        <w:t>Reference Rate Reform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848): Facilitation of the Effects of Reference Rate Reform on Financial Reporting</w:t>
      </w:r>
      <w:r>
        <w:rPr>
          <w:rFonts w:ascii="Times New Roman" w:cs="Times New Roman" w:eastAsia="Times New Roman" w:hAnsi="Times New Roman"/>
          <w:sz w:val="17"/>
          <w:szCs w:val="17"/>
          <w:color w:val="auto"/>
        </w:rPr>
        <w:t>. The ASU is intended to provide temporary optional expedients and exceptions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GAAP guidance on contract modifications and hedge accounting to ease the financial reporting burdens related to the expected market transition from the London Interbank Offered Rate (LIBOR) and other interbank offered rates to alternative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248285</wp:posOffset>
            </wp:positionV>
            <wp:extent cx="188595"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rates. Entities may apply this ASU upon issuance through December 31, 2022 on a prospective basis. We early adopted the provisions of this ASU in the first quarter of 2022. Adoption of the new standard did not have a material impact on our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 xml:space="preserve">In October 2021, the FASB issued ASU No. 2021-08, </w:t>
      </w:r>
      <w:r>
        <w:rPr>
          <w:rFonts w:ascii="Times New Roman" w:cs="Times New Roman" w:eastAsia="Times New Roman" w:hAnsi="Times New Roman"/>
          <w:sz w:val="17"/>
          <w:szCs w:val="17"/>
          <w:i w:val="1"/>
          <w:iCs w:val="1"/>
          <w:color w:val="auto"/>
        </w:rPr>
        <w:t>Business Combinations (Topic 805): Accounting for Contract Assets and Contract Liabilities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with Customers. </w:t>
      </w:r>
      <w:r>
        <w:rPr>
          <w:rFonts w:ascii="Times New Roman" w:cs="Times New Roman" w:eastAsia="Times New Roman" w:hAnsi="Times New Roman"/>
          <w:sz w:val="17"/>
          <w:szCs w:val="17"/>
          <w:color w:val="auto"/>
        </w:rPr>
        <w:t>This ASU requires an acquirer to recognize and measure contract assets and contract liabilities acquired in a business combination in accordance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with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xml:space="preserve"> rather than adjust them to fair value at the acquisition date. ASU 2021-08 is effective for annual periods beginning after December 15, 2022 and interim periods within those annual periods. This ASU should be applied prospectively to business combinations occurring on or after the date of adoption. Evaluation of this new standard is dependent on multiple circumstances including the timing and complexity of completed business combinations. As a result, we intend to adopt the provisions of this ASU in the first quarter of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September 2022, the FASB issued ASU No. 2022-04, </w:t>
      </w:r>
      <w:r>
        <w:rPr>
          <w:rFonts w:ascii="Times New Roman" w:cs="Times New Roman" w:eastAsia="Times New Roman" w:hAnsi="Times New Roman"/>
          <w:sz w:val="17"/>
          <w:szCs w:val="17"/>
          <w:i w:val="1"/>
          <w:iCs w:val="1"/>
          <w:color w:val="auto"/>
        </w:rPr>
        <w:t>Liabilities—Supplier Finance Programs (Subtopic 405-50):</w:t>
      </w:r>
    </w:p>
    <w:p>
      <w:pPr>
        <w:spacing w:after="0" w:line="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i w:val="1"/>
          <w:iCs w:val="1"/>
          <w:color w:val="auto"/>
        </w:rPr>
        <w:t>Disclosure of Supplier Finance Program Obligations</w:t>
      </w:r>
      <w:r>
        <w:rPr>
          <w:rFonts w:ascii="Times New Roman" w:cs="Times New Roman" w:eastAsia="Times New Roman" w:hAnsi="Times New Roman"/>
          <w:sz w:val="17"/>
          <w:szCs w:val="17"/>
          <w:color w:val="auto"/>
        </w:rPr>
        <w:t>. This ASU requires a buyer in a supplier finance program to disclose qualitative and quantitative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about the program including the program’s nature, activity during the period, changes from period to period and potential magnitude. ASU 2022-04 is effective for annual periods beginning after December 15, 2022 and interim periods within those annual periods. A rollforward of obligations during the annual period, including the amount of obligations confirmed and obligations subsequently paid, is effective for annual periods beginning after December 15, 2023 with early adoption permitted. This ASU should be applied retrospectively to each period in which a balance sheet is presented, except for the amendment on rollforward information, which should be applied prospectively. Adoption of the new standard is not expected to have a material impact on our consolidated financial statements.</w:t>
      </w:r>
    </w:p>
    <w:p>
      <w:pPr>
        <w:spacing w:after="0" w:line="336"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No other new accounting pronouncement issued or effective during the fiscal year had or is expected to have a material impact on our consolidated financial statements or disclosures.</w:t>
      </w:r>
    </w:p>
    <w:p>
      <w:pPr>
        <w:spacing w:after="0" w:line="186" w:lineRule="exact"/>
        <w:rPr>
          <w:sz w:val="20"/>
          <w:szCs w:val="20"/>
          <w:color w:val="auto"/>
        </w:rPr>
      </w:pPr>
    </w:p>
    <w:p>
      <w:pPr>
        <w:ind w:right="7280" w:firstLine="3"/>
        <w:spacing w:after="0" w:line="445" w:lineRule="auto"/>
        <w:tabs>
          <w:tab w:leader="none" w:pos="172"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AND DIVESTITURE 2021 Activity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Pretzels Inc.</w:t>
      </w:r>
    </w:p>
    <w:p>
      <w:pPr>
        <w:spacing w:after="0" w:line="16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December 14,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The cash consideration paid for Pretzels totaled $304,334 and consisted of cash on hand and short-term borrowings. Acquisition-related costs for the Pretzels acquisition were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497205</wp:posOffset>
            </wp:positionV>
            <wp:extent cx="188595" cy="163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20"/>
        <w:spacing w:after="0" w:line="287" w:lineRule="auto"/>
        <w:rPr>
          <w:sz w:val="20"/>
          <w:szCs w:val="20"/>
          <w:color w:val="auto"/>
        </w:rPr>
      </w:pPr>
      <w:r>
        <w:rPr>
          <w:rFonts w:ascii="Times New Roman" w:cs="Times New Roman" w:eastAsia="Times New Roman" w:hAnsi="Times New Roman"/>
          <w:sz w:val="17"/>
          <w:szCs w:val="17"/>
          <w:color w:val="auto"/>
        </w:rPr>
        <w:t>The acquisition has been accounted for as a business combination and, accordingly, Pretzels has been included within the North America Salty Snacks segment from the date of acquisition. The purchase consideration was allocated to assets acquired and liabilities assumed based on their respective fair values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Initial Allocation (1)</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Final Allocation</w:t>
            </w:r>
          </w:p>
        </w:tc>
      </w:tr>
      <w:tr>
        <w:trPr>
          <w:trHeight w:val="21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165,301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19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166,191</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(6,000)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26,100</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 acquired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30,835</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96,099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100,716</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 primarily operating lease ROU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111,787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111,787</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 assumed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(22,713)</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primarily operating lease liabilities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(109,355)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(109,355)</w:t>
            </w:r>
          </w:p>
        </w:tc>
      </w:tr>
      <w:tr>
        <w:trPr>
          <w:trHeight w:val="237"/>
        </w:trPr>
        <w:tc>
          <w:tcPr>
            <w:tcW w:w="52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assets acquired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ind w:right="119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304,334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As reported in the Company’s 2021 Annual Report on Form 10-K.</w:t>
      </w:r>
    </w:p>
    <w:p>
      <w:pPr>
        <w:spacing w:after="0" w:line="8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The purchase price allocation presented above has been finalized as of the third quarter of 2022. The measurement period adjustments to the initial allocation were based on more detailed information obtained about the specific assets acquired and liabilities assumed, specifically, post-closing adjustments to the working capital acquired including certain holdbacks.</w:t>
      </w:r>
    </w:p>
    <w:p>
      <w:pPr>
        <w:spacing w:after="0" w:line="114"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Goodwill was determined as the excess of the purchase price over the fair value of the net assets acquired (including the identifiable intangible assets). A portion of goodwill derived from this acquisition is deductible for tax purposes and reflects the value of leveraging our brand building expertise, supply chain capabilities and retail relationships to accelerate growth and access to the portfolio of Pretzels’ products.</w:t>
      </w:r>
    </w:p>
    <w:p>
      <w:pPr>
        <w:spacing w:after="0" w:line="11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Other intangible assets include trademarks valued at $5,700 and customer relationships valued at $20,400. Trademarks were assigned an estimated useful life of five years and customer relationships were assigned an estimated useful life of 19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Dot's Pretzels, LLC</w:t>
      </w:r>
    </w:p>
    <w:p>
      <w:pPr>
        <w:spacing w:after="0" w:line="16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 xml:space="preserve">On December 13, 2021, we completed the acquisition of Dot’s Pretzels, LLC (“Dot’s”), previously a privately held company that produces and sells pretzels and other snack food products to retailers and distributors in the United States, with </w:t>
      </w:r>
      <w:r>
        <w:rPr>
          <w:rFonts w:ascii="Times New Roman" w:cs="Times New Roman" w:eastAsia="Times New Roman" w:hAnsi="Times New Roman"/>
          <w:sz w:val="17"/>
          <w:szCs w:val="17"/>
          <w:i w:val="1"/>
          <w:iCs w:val="1"/>
          <w:color w:val="auto"/>
        </w:rPr>
        <w:t>Dot’s Homestyle Pretzels</w:t>
      </w:r>
      <w:r>
        <w:rPr>
          <w:rFonts w:ascii="Times New Roman" w:cs="Times New Roman" w:eastAsia="Times New Roman" w:hAnsi="Times New Roman"/>
          <w:sz w:val="17"/>
          <w:szCs w:val="17"/>
          <w:color w:val="auto"/>
        </w:rPr>
        <w:t xml:space="preserve"> snacks as its primary product. Dot’s is the fastest-growing scale brand in the pretzel category and complements Hershey’s snacks portfolio. The cash consideration paid for Dot’s totaled $891,169 and consisted of cash on hand and short-term borrowings. Acquisition-related costs for the Dot’s acquisition were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504190</wp:posOffset>
            </wp:positionV>
            <wp:extent cx="188595"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acquisition has been accounted for as a business combination and, accordingly, Dot’s has been included within the North America Salty Snacks segment from the date of acquisition. The purchase consideration was allocated to assets acquired and liabilities assumed based on their respective fair values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Initial Allocation (1)</w:t>
            </w:r>
          </w:p>
        </w:tc>
        <w:tc>
          <w:tcPr>
            <w:tcW w:w="32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280" w:type="dxa"/>
            <w:vAlign w:val="bottom"/>
          </w:tcPr>
          <w:p>
            <w:pPr>
              <w:spacing w:after="0"/>
              <w:rPr>
                <w:sz w:val="17"/>
                <w:szCs w:val="17"/>
                <w:color w:val="auto"/>
              </w:rPr>
            </w:pPr>
          </w:p>
        </w:tc>
        <w:tc>
          <w:tcPr>
            <w:tcW w:w="164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Final Allocation</w:t>
            </w:r>
          </w:p>
        </w:tc>
      </w:tr>
      <w:tr>
        <w:trPr>
          <w:trHeight w:val="21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303,345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284,427</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543,100</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 acquired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51,121</w:t>
            </w: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40,266</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w:t>
            </w:r>
          </w:p>
        </w:tc>
      </w:tr>
      <w:tr>
        <w:trPr>
          <w:trHeight w:val="219"/>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 assumed, primarily current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(29,946)</w:t>
            </w:r>
          </w:p>
        </w:tc>
      </w:tr>
      <w:tr>
        <w:trPr>
          <w:trHeight w:val="237"/>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894,166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891,169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As reported in the Company’s 2021 Annual Report on Form 10-K.</w:t>
      </w:r>
    </w:p>
    <w:p>
      <w:pPr>
        <w:spacing w:after="0" w:line="8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purchase price allocation presented above has been finalized as of the third quarter of 2022. The measurement period adjustments to the initial allocation were based on more detailed information obtained about the specific assets acquired and liabilities assumed, specifically, the refinement of certain assumptions in the value of customer relationships based on an analysis of historical customer-specific data and post-closing adjustments to the working capital acquired including certain holdbacks.</w:t>
      </w:r>
    </w:p>
    <w:p>
      <w:pPr>
        <w:spacing w:after="0" w:line="12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Goodwill was determined as the excess of the purchase price over the fair value of the net assets acquired (including the identifiable intangible assets). The goodwill derived from this acquisition is deductible for tax purposes and reflects the value of leveraging our brand building expertise, supply chain capabilities and retail relationships to accelerate growth and access to the portfolio of Dot’s products.</w:t>
      </w:r>
    </w:p>
    <w:p>
      <w:pPr>
        <w:spacing w:after="0" w:line="11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Other intangible assets include trademarks valued at $336,600 and customer relationships valued at $206,500. Trademarks were assigned an estimated useful life of 33 years and customer relationships were assigned an estimated useful life of 18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Lily's Sweets, LLC</w:t>
      </w:r>
    </w:p>
    <w:p>
      <w:pPr>
        <w:spacing w:after="0" w:line="16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On June 25,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 The cash consideration paid for Lily’s totaled $422,210 and the Company may be required to pay additional cash consideration if certain defined targets related to net sales and gross margin were exceeded during the period from the closing date through December 31, 2021. As of the acquisition date, the estimated fair value of the contingent consideration obligation was classified as a liability of $5,000 and was determined using a scenario-based analysis on forecasted future results. Based on financial results through December 31, 2021, the fair value was reduced during the fourth quarter of 2021 to $1,250, with the adjustment to fair value recorded in the selling, marketing and administrative (“SM&amp;A”) expense caption within the Consolidated Statements of Income. We paid this contingent consideration during the second quarter of 2022. Acquisition-related costs for the Lily’s acquisition were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557530</wp:posOffset>
            </wp:positionV>
            <wp:extent cx="188595" cy="163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58"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The acquisition has been accounted for as a business combination and, accordingly, Lily’s has been included within the North America Confectionery segment from the date of acquisition. The purchase consideration, inclusive of the acquisition date fair value of the contingent consideration, was allocated to assets acquired and liabilities assumed based on their respective fair values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175,826</w:t>
            </w:r>
          </w:p>
        </w:tc>
      </w:tr>
      <w:tr>
        <w:trPr>
          <w:trHeight w:val="219"/>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235,800</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acquired, primarily current assets</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33,092</w:t>
            </w:r>
          </w:p>
        </w:tc>
      </w:tr>
      <w:tr>
        <w:trPr>
          <w:trHeight w:val="219"/>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 assumed, primarily current liabilities</w:t>
            </w: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(9,620)</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7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(7,888)</w:t>
            </w:r>
          </w:p>
        </w:tc>
      </w:tr>
      <w:tr>
        <w:trPr>
          <w:trHeight w:val="212"/>
        </w:trPr>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assets acquired</w:t>
            </w:r>
          </w:p>
        </w:tc>
        <w:tc>
          <w:tcPr>
            <w:tcW w:w="7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427,210</w:t>
            </w: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purchase price allocation presented above has been finalized as of the fourth quarter of 2021 and includes an immaterial amount of measurement period adjustments. The measurement period adjustments to the initial allocation were based on more detailed information obtained about the specific assets acquired and liabilities assumed.</w:t>
      </w:r>
    </w:p>
    <w:p>
      <w:pPr>
        <w:spacing w:after="0" w:line="191"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Goodwill was determined as the excess of the purchase price over the fair value of the net assets acquired (including the identifiable intangible assets). The majority of goodwill derived from this acquisition is deductible for tax purposes and reflects the value of leveraging our brand building expertise, supply chain capabilities and retail relationships to accelerate growth and access to the portfolio of Lily’s products.</w:t>
      </w:r>
    </w:p>
    <w:p>
      <w:pPr>
        <w:spacing w:after="0" w:line="19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Other intangible assets include trademarks valued at $151,600 and customer relationships valued at $84,200. Trademarks were assigned an estimated useful life of 33 years and customer relationships were assigned estimated useful lives ranging from 17 to 18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Lotte Shanghai Foods Co., Ltd.</w:t>
      </w:r>
    </w:p>
    <w:p>
      <w:pPr>
        <w:spacing w:after="0" w:line="16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In January 2021, we completed the divestiture of Lotte Shanghai Foods Co., Ltd., which was previously included within the International segment results in our consolidated financial statements. Total proceeds from the divestiture and the impact on our consolidated financial statements were immaterial and were recorded in the SM&amp;A expense caption within the Consolidated Statements of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GOODWILL AND INTANGIBLE ASSETS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value of goodwill by reportable segment for the nine months ended October 2, 2022 are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North America</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North America Salty</w:t>
            </w:r>
          </w:p>
        </w:tc>
        <w:tc>
          <w:tcPr>
            <w:tcW w:w="240" w:type="dxa"/>
            <w:vAlign w:val="bottom"/>
          </w:tcPr>
          <w:p>
            <w:pPr>
              <w:spacing w:after="0"/>
              <w:rPr>
                <w:sz w:val="16"/>
                <w:szCs w:val="16"/>
                <w:color w:val="auto"/>
              </w:rPr>
            </w:pP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International</w:t>
            </w:r>
          </w:p>
        </w:tc>
        <w:tc>
          <w:tcPr>
            <w:tcW w:w="400" w:type="dxa"/>
            <w:vAlign w:val="bottom"/>
          </w:tcPr>
          <w:p>
            <w:pPr>
              <w:spacing w:after="0"/>
              <w:rPr>
                <w:sz w:val="16"/>
                <w:szCs w:val="16"/>
                <w:color w:val="auto"/>
              </w:rPr>
            </w:pPr>
          </w:p>
        </w:tc>
        <w:tc>
          <w:tcPr>
            <w:tcW w:w="1400" w:type="dxa"/>
            <w:vAlign w:val="bottom"/>
            <w:vMerge w:val="restart"/>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2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Confectionery</w:t>
            </w:r>
          </w:p>
        </w:tc>
        <w:tc>
          <w:tcPr>
            <w:tcW w:w="360" w:type="dxa"/>
            <w:vAlign w:val="bottom"/>
          </w:tcPr>
          <w:p>
            <w:pPr>
              <w:spacing w:after="0"/>
              <w:rPr>
                <w:sz w:val="20"/>
                <w:szCs w:val="20"/>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Snacks</w:t>
            </w:r>
          </w:p>
        </w:tc>
        <w:tc>
          <w:tcPr>
            <w:tcW w:w="240" w:type="dxa"/>
            <w:vAlign w:val="bottom"/>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6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2,026,006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589,798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2,633,174</w:t>
            </w:r>
          </w:p>
        </w:tc>
        <w:tc>
          <w:tcPr>
            <w:tcW w:w="0" w:type="dxa"/>
            <w:vAlign w:val="bottom"/>
          </w:tcPr>
          <w:p>
            <w:pPr>
              <w:spacing w:after="0"/>
              <w:rPr>
                <w:sz w:val="1"/>
                <w:szCs w:val="1"/>
                <w:color w:val="auto"/>
              </w:rPr>
            </w:pPr>
          </w:p>
        </w:tc>
      </w:tr>
      <w:tr>
        <w:trPr>
          <w:trHeight w:val="190"/>
        </w:trPr>
        <w:tc>
          <w:tcPr>
            <w:tcW w:w="36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7"/>
                <w:szCs w:val="17"/>
                <w:color w:val="auto"/>
              </w:rPr>
              <w:t xml:space="preserve">Measurement period adjustments (see </w:t>
            </w:r>
            <w:r>
              <w:rPr>
                <w:rFonts w:ascii="Times New Roman" w:cs="Times New Roman" w:eastAsia="Times New Roman" w:hAnsi="Times New Roman"/>
                <w:sz w:val="17"/>
                <w:szCs w:val="17"/>
                <w:color w:val="0000FF"/>
              </w:rPr>
              <w:t>Note 2</w:t>
            </w:r>
            <w:r>
              <w:rPr>
                <w:rFonts w:ascii="Times New Roman" w:cs="Times New Roman" w:eastAsia="Times New Roman" w:hAnsi="Times New Roman"/>
                <w:sz w:val="17"/>
                <w:szCs w:val="17"/>
                <w:color w:val="auto"/>
              </w:rPr>
              <w:t>)</w:t>
            </w:r>
          </w:p>
        </w:tc>
        <w:tc>
          <w:tcPr>
            <w:tcW w:w="180" w:type="dxa"/>
            <w:vAlign w:val="bottom"/>
          </w:tcPr>
          <w:p>
            <w:pPr>
              <w:spacing w:after="0"/>
              <w:rPr>
                <w:sz w:val="16"/>
                <w:szCs w:val="16"/>
                <w:color w:val="auto"/>
              </w:rPr>
            </w:pPr>
          </w:p>
        </w:tc>
        <w:tc>
          <w:tcPr>
            <w:tcW w:w="176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6"/>
                <w:szCs w:val="16"/>
                <w:color w:val="auto"/>
              </w:rPr>
            </w:pPr>
          </w:p>
        </w:tc>
        <w:tc>
          <w:tcPr>
            <w:tcW w:w="14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(18,028)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6"/>
                <w:szCs w:val="16"/>
                <w:color w:val="auto"/>
              </w:rPr>
            </w:pPr>
          </w:p>
        </w:tc>
        <w:tc>
          <w:tcPr>
            <w:tcW w:w="14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(18,028)</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460" w:type="dxa"/>
            <w:vAlign w:val="bottom"/>
            <w:tcBorders>
              <w:top w:val="single" w:sz="8" w:color="0000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(10,257)</w:t>
            </w:r>
          </w:p>
        </w:tc>
        <w:tc>
          <w:tcPr>
            <w:tcW w:w="0" w:type="dxa"/>
            <w:vAlign w:val="bottom"/>
          </w:tcPr>
          <w:p>
            <w:pPr>
              <w:spacing w:after="0"/>
              <w:rPr>
                <w:sz w:val="1"/>
                <w:szCs w:val="1"/>
                <w:color w:val="auto"/>
              </w:rPr>
            </w:pPr>
          </w:p>
        </w:tc>
      </w:tr>
      <w:tr>
        <w:trPr>
          <w:trHeight w:val="212"/>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October 2, 2022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2,016,273</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571,770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16,846</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2,604,889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466725</wp:posOffset>
            </wp:positionV>
            <wp:extent cx="188595" cy="163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The following table provides the gross carrying amount and accumulated amortization for each major class of intangible asset: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5"/>
        </w:trPr>
        <w:tc>
          <w:tcPr>
            <w:tcW w:w="4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80" w:type="dxa"/>
            <w:vAlign w:val="bottom"/>
            <w:gridSpan w:val="5"/>
          </w:tcPr>
          <w:p>
            <w:pPr>
              <w:ind w:left="880"/>
              <w:spacing w:after="0"/>
              <w:rPr>
                <w:sz w:val="20"/>
                <w:szCs w:val="20"/>
                <w:color w:val="auto"/>
              </w:rPr>
            </w:pPr>
            <w:r>
              <w:rPr>
                <w:rFonts w:ascii="Times New Roman" w:cs="Times New Roman" w:eastAsia="Times New Roman" w:hAnsi="Times New Roman"/>
                <w:sz w:val="17"/>
                <w:szCs w:val="17"/>
                <w:b w:val="1"/>
                <w:bCs w:val="1"/>
                <w:color w:val="auto"/>
              </w:rPr>
              <w:t>October 2, 2022</w:t>
            </w:r>
          </w:p>
        </w:tc>
        <w:tc>
          <w:tcPr>
            <w:tcW w:w="160" w:type="dxa"/>
            <w:vAlign w:val="bottom"/>
          </w:tcPr>
          <w:p>
            <w:pPr>
              <w:spacing w:after="0"/>
              <w:rPr>
                <w:sz w:val="21"/>
                <w:szCs w:val="21"/>
                <w:color w:val="auto"/>
              </w:rPr>
            </w:pPr>
          </w:p>
        </w:tc>
        <w:tc>
          <w:tcPr>
            <w:tcW w:w="3060" w:type="dxa"/>
            <w:vAlign w:val="bottom"/>
            <w:gridSpan w:val="4"/>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160"/>
        </w:trPr>
        <w:tc>
          <w:tcPr>
            <w:tcW w:w="4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94"/>
              <w:spacing w:after="0" w:line="161"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94"/>
              <w:spacing w:after="0" w:line="161"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94"/>
              <w:spacing w:after="0" w:line="161" w:lineRule="exact"/>
              <w:rPr>
                <w:sz w:val="20"/>
                <w:szCs w:val="20"/>
                <w:color w:val="auto"/>
              </w:rPr>
            </w:pPr>
            <w:r>
              <w:rPr>
                <w:rFonts w:ascii="Times New Roman" w:cs="Times New Roman" w:eastAsia="Times New Roman" w:hAnsi="Times New Roman"/>
                <w:sz w:val="17"/>
                <w:szCs w:val="17"/>
                <w:b w:val="1"/>
                <w:bCs w:val="1"/>
                <w:color w:val="auto"/>
              </w:rPr>
              <w:t>Accumulated</w:t>
            </w:r>
          </w:p>
        </w:tc>
      </w:tr>
      <w:tr>
        <w:trPr>
          <w:trHeight w:val="230"/>
        </w:trPr>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60" w:type="dxa"/>
            <w:vAlign w:val="bottom"/>
          </w:tcPr>
          <w:p>
            <w:pPr>
              <w:spacing w:after="0"/>
              <w:rPr>
                <w:sz w:val="19"/>
                <w:szCs w:val="19"/>
                <w:color w:val="auto"/>
              </w:rPr>
            </w:pP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02"/>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subject to amortization:</w:t>
            </w: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9"/>
        </w:trPr>
        <w:tc>
          <w:tcPr>
            <w:tcW w:w="4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Trademarks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1,700,950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1,705,390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(141,760)</w:t>
            </w:r>
          </w:p>
        </w:tc>
      </w:tr>
      <w:tr>
        <w:trPr>
          <w:trHeight w:val="219"/>
        </w:trPr>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Customer-related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512,539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504,667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(65,131)</w:t>
            </w:r>
          </w:p>
        </w:tc>
      </w:tr>
      <w:tr>
        <w:trPr>
          <w:trHeight w:val="219"/>
        </w:trPr>
        <w:tc>
          <w:tcPr>
            <w:tcW w:w="4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Patents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(8,623)</w:t>
            </w: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2,221,379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2,218,680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(215,514)</w:t>
            </w:r>
          </w:p>
        </w:tc>
      </w:tr>
      <w:tr>
        <w:trPr>
          <w:trHeight w:val="258"/>
        </w:trPr>
        <w:tc>
          <w:tcPr>
            <w:tcW w:w="4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not subject to amortization:</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4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Trademarks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1,985,099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2,037,588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Total amortization expense for the three months ended October 2, 2022 and October 3, 2021 was $19,909 and $13,936, respectively. Total amortization expense for the nine months ended October 2, 2022 and October 3, 2021 was $59,827 and $37,192, respectively. In 2022, our amortization expense increased as a result of our 2021 business combination activity (see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SHORT AND LONG-TERM DEBT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Short-term Debt</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5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financial and other covenants, customary representations, warranties and events of default. As of October 2, 2022, we were in compliance with all covenants pertaining to the credit agreement, and we had no significant compensating balance agreements that legally restricted these funds. For more information, refer to the Consolidated Financial Statements included in our 2021 Annual Report on Form 10-K.</w:t>
      </w:r>
    </w:p>
    <w:p>
      <w:pPr>
        <w:spacing w:after="0" w:line="281"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17"/>
          <w:szCs w:val="17"/>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300" w:type="dxa"/>
            <w:vAlign w:val="bottom"/>
          </w:tcPr>
          <w:p>
            <w:pPr>
              <w:spacing w:after="0"/>
              <w:rPr>
                <w:sz w:val="17"/>
                <w:szCs w:val="17"/>
                <w:color w:val="auto"/>
              </w:rPr>
            </w:pPr>
          </w:p>
        </w:tc>
        <w:tc>
          <w:tcPr>
            <w:tcW w:w="1920" w:type="dxa"/>
            <w:vAlign w:val="bottom"/>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0" w:type="dxa"/>
            <w:vAlign w:val="bottom"/>
          </w:tcPr>
          <w:p>
            <w:pPr>
              <w:spacing w:after="0"/>
              <w:rPr>
                <w:sz w:val="1"/>
                <w:szCs w:val="1"/>
                <w:color w:val="auto"/>
              </w:rPr>
            </w:pPr>
          </w:p>
        </w:tc>
      </w:tr>
      <w:tr>
        <w:trPr>
          <w:trHeight w:val="215"/>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foreign bank borrowings against lines of credit</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130,343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119,038</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U.S. commercial paper</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663,528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820,385</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debt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793,871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939,423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on outstanding commercial paper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611505</wp:posOffset>
            </wp:positionV>
            <wp:extent cx="188595" cy="163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Long-term Debt</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Long-term debt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8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Debt Type and Rate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2.625%</w:t>
            </w:r>
          </w:p>
        </w:tc>
        <w:tc>
          <w:tcPr>
            <w:tcW w:w="21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4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ind w:right="215"/>
              <w:spacing w:after="0"/>
              <w:rPr>
                <w:sz w:val="20"/>
                <w:szCs w:val="20"/>
                <w:color w:val="auto"/>
              </w:rPr>
            </w:pPr>
            <w:r>
              <w:rPr>
                <w:rFonts w:ascii="Times New Roman" w:cs="Times New Roman" w:eastAsia="Times New Roman" w:hAnsi="Times New Roman"/>
                <w:sz w:val="17"/>
                <w:szCs w:val="17"/>
                <w:color w:val="auto"/>
              </w:rPr>
              <w:t>May 1, 2023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3.375%</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color w:val="auto"/>
              </w:rPr>
              <w:t>May 15, 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2.050%</w:t>
            </w:r>
          </w:p>
        </w:tc>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7"/>
                <w:szCs w:val="17"/>
                <w:color w:val="auto"/>
              </w:rPr>
              <w:t>November 15, 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0.900%</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color w:val="auto"/>
              </w:rPr>
              <w:t>June 1, 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3.200%</w:t>
            </w:r>
          </w:p>
        </w:tc>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440"/>
              <w:spacing w:after="0"/>
              <w:rPr>
                <w:sz w:val="20"/>
                <w:szCs w:val="20"/>
                <w:color w:val="auto"/>
              </w:rPr>
            </w:pPr>
            <w:r>
              <w:rPr>
                <w:rFonts w:ascii="Times New Roman" w:cs="Times New Roman" w:eastAsia="Times New Roman" w:hAnsi="Times New Roman"/>
                <w:sz w:val="17"/>
                <w:szCs w:val="17"/>
                <w:color w:val="auto"/>
              </w:rPr>
              <w:t>August 21, 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2.300%</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rPr>
              <w:t>August 15, 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7.200%</w:t>
            </w:r>
          </w:p>
        </w:tc>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Debentures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440"/>
              <w:spacing w:after="0"/>
              <w:rPr>
                <w:sz w:val="20"/>
                <w:szCs w:val="20"/>
                <w:color w:val="auto"/>
              </w:rPr>
            </w:pPr>
            <w:r>
              <w:rPr>
                <w:rFonts w:ascii="Times New Roman" w:cs="Times New Roman" w:eastAsia="Times New Roman" w:hAnsi="Times New Roman"/>
                <w:sz w:val="17"/>
                <w:szCs w:val="17"/>
                <w:color w:val="auto"/>
              </w:rPr>
              <w:t>August 15, 2027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193,639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2.450%</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color w:val="auto"/>
              </w:rPr>
              <w:t>November 15, 2029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1.700%</w:t>
            </w:r>
          </w:p>
        </w:tc>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7"/>
                <w:szCs w:val="17"/>
                <w:color w:val="auto"/>
              </w:rPr>
              <w:t>June 1, 2030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3.375%</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color w:val="auto"/>
              </w:rPr>
              <w:t>August 15, 2046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3.125%</w:t>
            </w:r>
          </w:p>
        </w:tc>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7"/>
                <w:szCs w:val="17"/>
                <w:color w:val="auto"/>
              </w:rPr>
              <w:t>November 15, 2049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2.650%</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color w:val="auto"/>
              </w:rPr>
              <w:t>June 1, 2050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gridSpan w:val="4"/>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 xml:space="preserve">Finance lease obligations (see </w:t>
            </w:r>
            <w:r>
              <w:rPr>
                <w:rFonts w:ascii="Times New Roman" w:cs="Times New Roman" w:eastAsia="Times New Roman" w:hAnsi="Times New Roman"/>
                <w:sz w:val="17"/>
                <w:szCs w:val="17"/>
                <w:color w:val="0000FF"/>
              </w:rPr>
              <w:t>Note 7</w:t>
            </w: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69,719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69,146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900" w:type="dxa"/>
            <w:vAlign w:val="bottom"/>
            <w:gridSpan w:val="9"/>
          </w:tcPr>
          <w:p>
            <w:pPr>
              <w:ind w:left="20"/>
              <w:spacing w:after="0" w:line="167" w:lineRule="exact"/>
              <w:rPr>
                <w:sz w:val="20"/>
                <w:szCs w:val="20"/>
                <w:color w:val="auto"/>
              </w:rPr>
            </w:pPr>
            <w:r>
              <w:rPr>
                <w:rFonts w:ascii="Times New Roman" w:cs="Times New Roman" w:eastAsia="Times New Roman" w:hAnsi="Times New Roman"/>
                <w:sz w:val="17"/>
                <w:szCs w:val="17"/>
                <w:color w:val="auto"/>
              </w:rPr>
              <w:t>Net impact of interest rate swaps, debt issuance costs and</w:t>
            </w: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unamortized debt discounts</w:t>
            </w:r>
          </w:p>
        </w:tc>
        <w:tc>
          <w:tcPr>
            <w:tcW w:w="4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(20,486)</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4,092,872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4,089,471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Less—current portion</w:t>
            </w:r>
          </w:p>
        </w:tc>
        <w:tc>
          <w:tcPr>
            <w:tcW w:w="4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752,201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portion</w:t>
            </w:r>
          </w:p>
        </w:tc>
        <w:tc>
          <w:tcPr>
            <w:tcW w:w="4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3,340,671</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4,086,627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4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276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2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Net interest expense consists of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40" w:type="dxa"/>
            <w:vAlign w:val="bottom"/>
            <w:gridSpan w:val="8"/>
          </w:tcPr>
          <w:p>
            <w:pPr>
              <w:ind w:left="9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20" w:type="dxa"/>
            <w:vAlign w:val="bottom"/>
            <w:gridSpan w:val="7"/>
          </w:tcPr>
          <w:p>
            <w:pPr>
              <w:jc w:val="right"/>
              <w:ind w:right="142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6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38,520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33,066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109,526</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106,597</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(2,487)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(2,380)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(6,155)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36,033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30,686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103,371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(1,401)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35,378</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30,154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101,970</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97,655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6956425</wp:posOffset>
            </wp:positionH>
            <wp:positionV relativeFrom="paragraph">
              <wp:posOffset>769620</wp:posOffset>
            </wp:positionV>
            <wp:extent cx="188595" cy="163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392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00" w:top="119"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DERIVATIVE INSTRUMENTS</w:t>
      </w:r>
    </w:p>
    <w:p>
      <w:pPr>
        <w:spacing w:after="0" w:line="16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14" w:lineRule="exact"/>
        <w:rPr>
          <w:sz w:val="20"/>
          <w:szCs w:val="20"/>
          <w:color w:val="auto"/>
        </w:rPr>
      </w:pPr>
    </w:p>
    <w:p>
      <w:pPr>
        <w:jc w:val="both"/>
        <w:ind w:right="340"/>
        <w:spacing w:after="0" w:line="264" w:lineRule="auto"/>
        <w:rPr>
          <w:sz w:val="20"/>
          <w:szCs w:val="20"/>
          <w:color w:val="auto"/>
        </w:rPr>
      </w:pPr>
      <w:r>
        <w:rPr>
          <w:rFonts w:ascii="Times New Roman" w:cs="Times New Roman" w:eastAsia="Times New Roman" w:hAnsi="Times New Roman"/>
          <w:sz w:val="17"/>
          <w:szCs w:val="17"/>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 Risk</w:t>
      </w:r>
    </w:p>
    <w:p>
      <w:pPr>
        <w:spacing w:after="0" w:line="169"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$679,205 as of October 2, 2022 and $313,200 as of December 31, 2021.</w:t>
      </w:r>
    </w:p>
    <w:p>
      <w:pPr>
        <w:spacing w:after="0" w:line="114"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7"/>
          <w:szCs w:val="17"/>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Times New Roman" w:cs="Times New Roman" w:eastAsia="Times New Roman" w:hAnsi="Times New Roman"/>
          <w:sz w:val="17"/>
          <w:szCs w:val="17"/>
          <w:u w:val="single" w:color="auto"/>
          <w:color w:val="0000FF"/>
        </w:rPr>
        <w:t>Note 13</w:t>
      </w:r>
      <w:r>
        <w:rPr>
          <w:rFonts w:ascii="Times New Roman" w:cs="Times New Roman" w:eastAsia="Times New Roman" w:hAnsi="Times New Roman"/>
          <w:sz w:val="17"/>
          <w:szCs w:val="17"/>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Exchange Price Risk</w:t>
      </w:r>
    </w:p>
    <w:p>
      <w:pPr>
        <w:spacing w:after="0" w:line="9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$33,002 at October 2, 2022 and $94,623 at December 31, 2021.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$537 at October 2, 2022 and $2,993 at December 31, 2021. The change in fair value on these instruments is recorded directly in cost of sales or selling, marketing and administrative expense, depending on the nature of the underlying exposure.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Price Risk</w:t>
      </w:r>
    </w:p>
    <w:p>
      <w:pPr>
        <w:spacing w:after="0" w:line="1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October 2, 2022 and December 31, 2021 was $19,768 and $24,975,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252095</wp:posOffset>
            </wp:positionV>
            <wp:extent cx="188595" cy="163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classification of derivative assets and liabilities within the Consolidated Balance Sheets as of October 2, 2022 and December 31, 2021: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gridSpan w:val="5"/>
          </w:tcPr>
          <w:p>
            <w:pPr>
              <w:ind w:left="780"/>
              <w:spacing w:after="0"/>
              <w:rPr>
                <w:sz w:val="20"/>
                <w:szCs w:val="20"/>
                <w:color w:val="auto"/>
              </w:rPr>
            </w:pPr>
            <w:r>
              <w:rPr>
                <w:rFonts w:ascii="Times New Roman" w:cs="Times New Roman" w:eastAsia="Times New Roman" w:hAnsi="Times New Roman"/>
                <w:sz w:val="17"/>
                <w:szCs w:val="17"/>
                <w:b w:val="1"/>
                <w:bCs w:val="1"/>
                <w:color w:val="auto"/>
              </w:rPr>
              <w:t>October 2, 2022</w:t>
            </w:r>
          </w:p>
        </w:tc>
        <w:tc>
          <w:tcPr>
            <w:tcW w:w="260" w:type="dxa"/>
            <w:vAlign w:val="bottom"/>
          </w:tcPr>
          <w:p>
            <w:pPr>
              <w:spacing w:after="0"/>
              <w:rPr>
                <w:sz w:val="19"/>
                <w:szCs w:val="19"/>
                <w:color w:val="auto"/>
              </w:rPr>
            </w:pPr>
          </w:p>
        </w:tc>
        <w:tc>
          <w:tcPr>
            <w:tcW w:w="298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2"/>
        </w:trPr>
        <w:tc>
          <w:tcPr>
            <w:tcW w:w="4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Assets (1)</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Liabilities (1)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Assets (1)</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Liabilities (1)</w:t>
            </w:r>
          </w:p>
        </w:tc>
      </w:tr>
      <w:tr>
        <w:trPr>
          <w:trHeight w:val="19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designated as cash flow hedging instruments:</w:t>
            </w: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8,383</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4,945</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58"/>
        </w:trPr>
        <w:tc>
          <w:tcPr>
            <w:tcW w:w="4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derivatives</w:t>
            </w:r>
          </w:p>
        </w:tc>
        <w:tc>
          <w:tcPr>
            <w:tcW w:w="2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1,376</w:t>
            </w: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460" w:right="540" w:hanging="302"/>
        <w:spacing w:after="0" w:line="284" w:lineRule="auto"/>
        <w:tabs>
          <w:tab w:leader="none" w:pos="45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Derivative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Times New Roman" w:cs="Times New Roman" w:eastAsia="Times New Roman" w:hAnsi="Times New Roman"/>
          <w:sz w:val="17"/>
          <w:szCs w:val="17"/>
          <w:color w:val="auto"/>
        </w:rPr>
      </w:pPr>
    </w:p>
    <w:p>
      <w:pPr>
        <w:ind w:left="460" w:right="240" w:hanging="302"/>
        <w:spacing w:after="0" w:line="261" w:lineRule="auto"/>
        <w:tabs>
          <w:tab w:leader="none" w:pos="45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October 2, 2022, amounts reflected on a net basis in liabilities were assets of $44,502 and liabilities of $39,740, which are associated with cash transfers receivable or payable on commodities futures contracts reflecting the change in quoted market prices on the last trading day for the period. The comparable amounts reflected on a net basis in liabilities at December 31, 2021 were assets of $31,774 and liabilities of $32,701. At October 2, 2022 and December 31, 2021, the remaining amount reflected in assets and liabilities related to the fair value of other non-exchange traded derivative instruments,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Statement Impact of Derivative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 of derivative instruments on the Consolidated Statements of Income for the three months ended October 2, 2022 and October 3, 2021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center"/>
              <w:ind w:right="196"/>
              <w:spacing w:after="0"/>
              <w:rPr>
                <w:sz w:val="20"/>
                <w:szCs w:val="20"/>
                <w:color w:val="auto"/>
              </w:rPr>
            </w:pPr>
            <w:r>
              <w:rPr>
                <w:rFonts w:ascii="Times New Roman" w:cs="Times New Roman" w:eastAsia="Times New Roman" w:hAnsi="Times New Roman"/>
                <w:sz w:val="15"/>
                <w:szCs w:val="15"/>
                <w:b w:val="1"/>
                <w:bCs w:val="1"/>
                <w:color w:val="auto"/>
              </w:rPr>
              <w:t>Non-designated Hedges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Cash Flow Hedges</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Gains (losses) recognized in income</w:t>
            </w:r>
          </w:p>
        </w:tc>
        <w:tc>
          <w:tcPr>
            <w:tcW w:w="140" w:type="dxa"/>
            <w:vAlign w:val="bottom"/>
          </w:tcPr>
          <w:p>
            <w:pPr>
              <w:spacing w:after="0"/>
              <w:rPr>
                <w:sz w:val="13"/>
                <w:szCs w:val="13"/>
                <w:color w:val="auto"/>
              </w:rPr>
            </w:pPr>
          </w:p>
        </w:tc>
        <w:tc>
          <w:tcPr>
            <w:tcW w:w="248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Gains (losses) recognized in other</w:t>
            </w:r>
          </w:p>
        </w:tc>
        <w:tc>
          <w:tcPr>
            <w:tcW w:w="120" w:type="dxa"/>
            <w:vAlign w:val="bottom"/>
          </w:tcPr>
          <w:p>
            <w:pPr>
              <w:spacing w:after="0"/>
              <w:rPr>
                <w:sz w:val="13"/>
                <w:szCs w:val="13"/>
                <w:color w:val="auto"/>
              </w:rPr>
            </w:pPr>
          </w:p>
        </w:tc>
        <w:tc>
          <w:tcPr>
            <w:tcW w:w="2360" w:type="dxa"/>
            <w:vAlign w:val="bottom"/>
            <w:gridSpan w:val="4"/>
          </w:tcPr>
          <w:p>
            <w:pPr>
              <w:jc w:val="center"/>
              <w:ind w:right="36"/>
              <w:spacing w:after="0" w:line="151" w:lineRule="exact"/>
              <w:rPr>
                <w:sz w:val="20"/>
                <w:szCs w:val="20"/>
                <w:color w:val="auto"/>
              </w:rPr>
            </w:pPr>
            <w:r>
              <w:rPr>
                <w:rFonts w:ascii="Times New Roman" w:cs="Times New Roman" w:eastAsia="Times New Roman" w:hAnsi="Times New Roman"/>
                <w:sz w:val="15"/>
                <w:szCs w:val="15"/>
                <w:b w:val="1"/>
                <w:bCs w:val="1"/>
                <w:color w:val="auto"/>
              </w:rPr>
              <w:t>Gains (losses) reclassified from</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0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5"/>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accumulated OCI (“AOCI”) into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jc w:val="center"/>
              <w:ind w:left="558"/>
              <w:spacing w:after="0"/>
              <w:rPr>
                <w:sz w:val="20"/>
                <w:szCs w:val="20"/>
                <w:color w:val="auto"/>
              </w:rPr>
            </w:pPr>
            <w:r>
              <w:rPr>
                <w:rFonts w:ascii="Times New Roman" w:cs="Times New Roman" w:eastAsia="Times New Roman" w:hAnsi="Times New Roman"/>
                <w:sz w:val="15"/>
                <w:szCs w:val="15"/>
                <w:b w:val="1"/>
                <w:bCs w:val="1"/>
                <w:color w:val="auto"/>
              </w:rPr>
              <w:t>(a)</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comprehensive income (“OCI”)</w:t>
            </w:r>
          </w:p>
        </w:tc>
        <w:tc>
          <w:tcPr>
            <w:tcW w:w="120" w:type="dxa"/>
            <w:vAlign w:val="bottom"/>
          </w:tcPr>
          <w:p>
            <w:pPr>
              <w:spacing w:after="0"/>
              <w:rPr>
                <w:sz w:val="17"/>
                <w:szCs w:val="17"/>
                <w:color w:val="auto"/>
              </w:rPr>
            </w:pPr>
          </w:p>
        </w:tc>
        <w:tc>
          <w:tcPr>
            <w:tcW w:w="1540" w:type="dxa"/>
            <w:vAlign w:val="bottom"/>
            <w:gridSpan w:val="3"/>
          </w:tcPr>
          <w:p>
            <w:pPr>
              <w:jc w:val="center"/>
              <w:ind w:left="598"/>
              <w:spacing w:after="0"/>
              <w:rPr>
                <w:sz w:val="20"/>
                <w:szCs w:val="20"/>
                <w:color w:val="auto"/>
              </w:rPr>
            </w:pPr>
            <w:r>
              <w:rPr>
                <w:rFonts w:ascii="Times New Roman" w:cs="Times New Roman" w:eastAsia="Times New Roman" w:hAnsi="Times New Roman"/>
                <w:sz w:val="15"/>
                <w:szCs w:val="15"/>
                <w:b w:val="1"/>
                <w:bCs w:val="1"/>
                <w:color w:val="auto"/>
              </w:rPr>
              <w:t>income (b)</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Commodities futures and options</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 agreements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Deferred compensation derivatives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Table of Contents</w:t>
            </w:r>
          </w:p>
        </w:tc>
        <w:tc>
          <w:tcPr>
            <w:tcW w:w="280" w:type="dxa"/>
            <w:vAlign w:val="bottom"/>
          </w:tcPr>
          <w:p>
            <w:pPr>
              <w:spacing w:after="0"/>
              <w:rPr>
                <w:sz w:val="24"/>
                <w:szCs w:val="24"/>
                <w:color w:val="auto"/>
              </w:rPr>
            </w:pPr>
          </w:p>
        </w:tc>
        <w:tc>
          <w:tcPr>
            <w:tcW w:w="3640" w:type="dxa"/>
            <w:vAlign w:val="bottom"/>
            <w:gridSpan w:val="8"/>
          </w:tcPr>
          <w:p>
            <w:pPr>
              <w:ind w:left="160"/>
              <w:spacing w:after="0"/>
              <w:rPr>
                <w:sz w:val="20"/>
                <w:szCs w:val="20"/>
                <w:color w:val="auto"/>
              </w:rPr>
            </w:pPr>
            <w:r>
              <w:rPr>
                <w:rFonts w:ascii="Times New Roman" w:cs="Times New Roman" w:eastAsia="Times New Roman" w:hAnsi="Times New Roman"/>
                <w:sz w:val="15"/>
                <w:szCs w:val="15"/>
                <w:color w:val="auto"/>
              </w:rPr>
              <w:t>The Hershey Company | Q3 2022 Form 10-Q | Page 16</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-498475</wp:posOffset>
            </wp:positionV>
            <wp:extent cx="188595" cy="163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 of derivative instruments on the Consolidated Statements of Income for the nine months ended October 2, 2022 and October 3, 2021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center"/>
              <w:ind w:right="176"/>
              <w:spacing w:after="0"/>
              <w:rPr>
                <w:sz w:val="20"/>
                <w:szCs w:val="20"/>
                <w:color w:val="auto"/>
              </w:rPr>
            </w:pPr>
            <w:r>
              <w:rPr>
                <w:rFonts w:ascii="Times New Roman" w:cs="Times New Roman" w:eastAsia="Times New Roman" w:hAnsi="Times New Roman"/>
                <w:sz w:val="15"/>
                <w:szCs w:val="15"/>
                <w:b w:val="1"/>
                <w:bCs w:val="1"/>
                <w:color w:val="auto"/>
              </w:rPr>
              <w:t>Non-designated Hedges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5"/>
                <w:szCs w:val="15"/>
                <w:b w:val="1"/>
                <w:bCs w:val="1"/>
                <w:color w:val="auto"/>
              </w:rPr>
              <w:t>Cash Flow Hedges</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480" w:type="dxa"/>
            <w:vAlign w:val="bottom"/>
          </w:tcPr>
          <w:p>
            <w:pPr>
              <w:spacing w:after="0"/>
              <w:rPr>
                <w:sz w:val="13"/>
                <w:szCs w:val="13"/>
                <w:color w:val="auto"/>
              </w:rPr>
            </w:pPr>
          </w:p>
        </w:tc>
        <w:tc>
          <w:tcPr>
            <w:tcW w:w="26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Gains (losses) recognized in income</w:t>
            </w:r>
          </w:p>
        </w:tc>
        <w:tc>
          <w:tcPr>
            <w:tcW w:w="120" w:type="dxa"/>
            <w:vAlign w:val="bottom"/>
          </w:tcPr>
          <w:p>
            <w:pPr>
              <w:spacing w:after="0"/>
              <w:rPr>
                <w:sz w:val="13"/>
                <w:szCs w:val="13"/>
                <w:color w:val="auto"/>
              </w:rPr>
            </w:pPr>
          </w:p>
        </w:tc>
        <w:tc>
          <w:tcPr>
            <w:tcW w:w="248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Gains (losses) recognized in other</w:t>
            </w:r>
          </w:p>
        </w:tc>
        <w:tc>
          <w:tcPr>
            <w:tcW w:w="140" w:type="dxa"/>
            <w:vAlign w:val="bottom"/>
          </w:tcPr>
          <w:p>
            <w:pPr>
              <w:spacing w:after="0"/>
              <w:rPr>
                <w:sz w:val="13"/>
                <w:szCs w:val="13"/>
                <w:color w:val="auto"/>
              </w:rPr>
            </w:pPr>
          </w:p>
        </w:tc>
        <w:tc>
          <w:tcPr>
            <w:tcW w:w="2360" w:type="dxa"/>
            <w:vAlign w:val="bottom"/>
            <w:gridSpan w:val="4"/>
          </w:tcPr>
          <w:p>
            <w:pPr>
              <w:jc w:val="center"/>
              <w:ind w:right="56"/>
              <w:spacing w:after="0" w:line="151" w:lineRule="exact"/>
              <w:rPr>
                <w:sz w:val="20"/>
                <w:szCs w:val="20"/>
                <w:color w:val="auto"/>
              </w:rPr>
            </w:pPr>
            <w:r>
              <w:rPr>
                <w:rFonts w:ascii="Times New Roman" w:cs="Times New Roman" w:eastAsia="Times New Roman" w:hAnsi="Times New Roman"/>
                <w:sz w:val="15"/>
                <w:szCs w:val="15"/>
                <w:b w:val="1"/>
                <w:bCs w:val="1"/>
                <w:color w:val="auto"/>
              </w:rPr>
              <w:t>Gains (losses) reclassified from</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260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4"/>
          </w:tcPr>
          <w:p>
            <w:pPr>
              <w:jc w:val="center"/>
              <w:ind w:right="56"/>
              <w:spacing w:after="0" w:line="155" w:lineRule="exact"/>
              <w:rPr>
                <w:sz w:val="20"/>
                <w:szCs w:val="20"/>
                <w:color w:val="auto"/>
              </w:rPr>
            </w:pPr>
            <w:r>
              <w:rPr>
                <w:rFonts w:ascii="Times New Roman" w:cs="Times New Roman" w:eastAsia="Times New Roman" w:hAnsi="Times New Roman"/>
                <w:sz w:val="15"/>
                <w:szCs w:val="15"/>
                <w:b w:val="1"/>
                <w:bCs w:val="1"/>
                <w:color w:val="auto"/>
              </w:rPr>
              <w:t>accumulated OCI (“AOCI”) into</w:t>
            </w:r>
          </w:p>
        </w:tc>
        <w:tc>
          <w:tcPr>
            <w:tcW w:w="0" w:type="dxa"/>
            <w:vAlign w:val="bottom"/>
          </w:tcPr>
          <w:p>
            <w:pPr>
              <w:spacing w:after="0"/>
              <w:rPr>
                <w:sz w:val="1"/>
                <w:szCs w:val="1"/>
                <w:color w:val="auto"/>
              </w:rPr>
            </w:pPr>
          </w:p>
        </w:tc>
      </w:tr>
      <w:tr>
        <w:trPr>
          <w:trHeight w:val="205"/>
        </w:trPr>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3"/>
          </w:tcPr>
          <w:p>
            <w:pPr>
              <w:jc w:val="center"/>
              <w:ind w:left="557"/>
              <w:spacing w:after="0"/>
              <w:rPr>
                <w:sz w:val="20"/>
                <w:szCs w:val="20"/>
                <w:color w:val="auto"/>
              </w:rPr>
            </w:pPr>
            <w:r>
              <w:rPr>
                <w:rFonts w:ascii="Times New Roman" w:cs="Times New Roman" w:eastAsia="Times New Roman" w:hAnsi="Times New Roman"/>
                <w:sz w:val="15"/>
                <w:szCs w:val="15"/>
                <w:b w:val="1"/>
                <w:bCs w:val="1"/>
                <w:color w:val="auto"/>
              </w:rPr>
              <w:t>(a)</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comprehensive income (“OCI”)</w:t>
            </w:r>
          </w:p>
        </w:tc>
        <w:tc>
          <w:tcPr>
            <w:tcW w:w="140" w:type="dxa"/>
            <w:vAlign w:val="bottom"/>
          </w:tcPr>
          <w:p>
            <w:pPr>
              <w:spacing w:after="0"/>
              <w:rPr>
                <w:sz w:val="17"/>
                <w:szCs w:val="17"/>
                <w:color w:val="auto"/>
              </w:rPr>
            </w:pPr>
          </w:p>
        </w:tc>
        <w:tc>
          <w:tcPr>
            <w:tcW w:w="1540" w:type="dxa"/>
            <w:vAlign w:val="bottom"/>
            <w:gridSpan w:val="3"/>
          </w:tcPr>
          <w:p>
            <w:pPr>
              <w:jc w:val="center"/>
              <w:ind w:left="598"/>
              <w:spacing w:after="0"/>
              <w:rPr>
                <w:sz w:val="20"/>
                <w:szCs w:val="20"/>
                <w:color w:val="auto"/>
              </w:rPr>
            </w:pPr>
            <w:r>
              <w:rPr>
                <w:rFonts w:ascii="Times New Roman" w:cs="Times New Roman" w:eastAsia="Times New Roman" w:hAnsi="Times New Roman"/>
                <w:sz w:val="15"/>
                <w:szCs w:val="15"/>
                <w:b w:val="1"/>
                <w:bCs w:val="1"/>
                <w:color w:val="auto"/>
              </w:rPr>
              <w:t>income (b)</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Commodities futures and options</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(2,200)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(5,174)</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 agreements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(8,353)</w:t>
            </w: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derivatives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(2,200)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ind w:left="320" w:hanging="317"/>
        <w:spacing w:after="0" w:line="270" w:lineRule="auto"/>
        <w:tabs>
          <w:tab w:leader="none" w:pos="31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0" w:lineRule="exact"/>
        <w:rPr>
          <w:rFonts w:ascii="Times New Roman" w:cs="Times New Roman" w:eastAsia="Times New Roman" w:hAnsi="Times New Roman"/>
          <w:sz w:val="17"/>
          <w:szCs w:val="17"/>
          <w:color w:val="auto"/>
        </w:rPr>
      </w:pPr>
    </w:p>
    <w:p>
      <w:pPr>
        <w:ind w:left="320" w:right="220" w:hanging="317"/>
        <w:spacing w:after="0" w:line="287" w:lineRule="auto"/>
        <w:tabs>
          <w:tab w:leader="none" w:pos="31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10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amount of pre-tax net losses on derivative instruments, including interest rate swap agreements and foreign currency forward exchange contracts expected to be reclassified into earnings in the next 12 months was approximately $7,479 as of October 2, 2022. This amount is primarily associated with interest rate swap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FAIR VALUE MEASUREMENTS</w:t>
      </w:r>
    </w:p>
    <w:p>
      <w:pPr>
        <w:spacing w:after="0" w:line="10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Accounting guidance on fair value measurements requires that financial assets and liabilities be classified and disclosed in one of the following categories of the fair value hierarchy: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 Based on unadjusted quoted prices for identical assets or liabilities in an active market.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Based on observable market-based inputs or unobservable inputs that are corroborated by market data.</w:t>
      </w:r>
    </w:p>
    <w:p>
      <w:pPr>
        <w:spacing w:after="0" w:line="24" w:lineRule="exact"/>
        <w:rPr>
          <w:sz w:val="20"/>
          <w:szCs w:val="20"/>
          <w:color w:val="auto"/>
        </w:rPr>
      </w:pPr>
    </w:p>
    <w:p>
      <w:pPr>
        <w:ind w:left="20" w:right="60"/>
        <w:spacing w:after="0" w:line="237"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Based on unobservable inputs that reflect the entity’s own assumptions about the assumptions that a market participant would use in pricing the asset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279400</wp:posOffset>
            </wp:positionV>
            <wp:extent cx="188595" cy="163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The following table presents assets and liabilities that were measured at fair value in the Consolidated Balance Sheets on a recurring basis as of October 2, 2022 and December 31, 2021:</w:t>
      </w: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517"/>
              <w:spacing w:after="0"/>
              <w:rPr>
                <w:sz w:val="20"/>
                <w:szCs w:val="20"/>
                <w:color w:val="auto"/>
              </w:rPr>
            </w:pPr>
            <w:r>
              <w:rPr>
                <w:rFonts w:ascii="Times New Roman" w:cs="Times New Roman" w:eastAsia="Times New Roman" w:hAnsi="Times New Roman"/>
                <w:sz w:val="15"/>
                <w:szCs w:val="15"/>
                <w:b w:val="1"/>
                <w:bCs w:val="1"/>
                <w:color w:val="auto"/>
              </w:rPr>
              <w:t>Assets (Liabilities)</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1"/>
        </w:trPr>
        <w:tc>
          <w:tcPr>
            <w:tcW w:w="4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368"/>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October 2, 2022:</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1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Foreign exchange contracts (1)</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8,763</w:t>
            </w:r>
          </w:p>
        </w:tc>
        <w:tc>
          <w:tcPr>
            <w:tcW w:w="120" w:type="dxa"/>
            <w:vAlign w:val="bottom"/>
          </w:tcPr>
          <w:p>
            <w:pPr>
              <w:spacing w:after="0"/>
              <w:rPr>
                <w:sz w:val="19"/>
                <w:szCs w:val="19"/>
                <w:color w:val="auto"/>
              </w:rPr>
            </w:pP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8,763</w:t>
            </w:r>
          </w:p>
        </w:tc>
      </w:tr>
      <w:tr>
        <w:trPr>
          <w:trHeight w:val="219"/>
        </w:trPr>
        <w:tc>
          <w:tcPr>
            <w:tcW w:w="4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5,797</w:t>
            </w:r>
          </w:p>
        </w:tc>
      </w:tr>
      <w:tr>
        <w:trPr>
          <w:trHeight w:val="219"/>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Liabilities: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4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exchange contracts (1)</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w:t>
            </w:r>
          </w:p>
        </w:tc>
      </w:tr>
      <w:tr>
        <w:trPr>
          <w:trHeight w:val="219"/>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Deferred compensation derivatives (2)</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r>
      <w:tr>
        <w:trPr>
          <w:trHeight w:val="219"/>
        </w:trPr>
        <w:tc>
          <w:tcPr>
            <w:tcW w:w="4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458"/>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Foreign exchange contracts (1)</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3,499</w:t>
            </w:r>
          </w:p>
        </w:tc>
        <w:tc>
          <w:tcPr>
            <w:tcW w:w="120" w:type="dxa"/>
            <w:vAlign w:val="bottom"/>
          </w:tcPr>
          <w:p>
            <w:pPr>
              <w:spacing w:after="0"/>
              <w:rPr>
                <w:sz w:val="19"/>
                <w:szCs w:val="19"/>
                <w:color w:val="auto"/>
              </w:rPr>
            </w:pP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3,499</w:t>
            </w:r>
          </w:p>
        </w:tc>
      </w:tr>
      <w:tr>
        <w:trPr>
          <w:trHeight w:val="219"/>
        </w:trPr>
        <w:tc>
          <w:tcPr>
            <w:tcW w:w="4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w:t>
            </w:r>
          </w:p>
        </w:tc>
      </w:tr>
      <w:tr>
        <w:trPr>
          <w:trHeight w:val="219"/>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w:t>
            </w:r>
          </w:p>
        </w:tc>
      </w:tr>
      <w:tr>
        <w:trPr>
          <w:trHeight w:val="219"/>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19"/>
        </w:trPr>
        <w:tc>
          <w:tcPr>
            <w:tcW w:w="4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r>
    </w:tbl>
    <w:p>
      <w:pPr>
        <w:spacing w:after="0" w:line="61" w:lineRule="exact"/>
        <w:rPr>
          <w:sz w:val="20"/>
          <w:szCs w:val="20"/>
          <w:color w:val="auto"/>
        </w:rPr>
      </w:pPr>
    </w:p>
    <w:p>
      <w:pPr>
        <w:ind w:left="620" w:right="20" w:hanging="307"/>
        <w:spacing w:after="0" w:line="270" w:lineRule="auto"/>
        <w:tabs>
          <w:tab w:leader="none" w:pos="6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10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deferred compensation derivatives is based on quoted prices for market interest rates and a broad market equity index.</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commodities futures and options contracts is based on quoted market prices.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Financial Instruments</w:t>
      </w:r>
    </w:p>
    <w:p>
      <w:pPr>
        <w:spacing w:after="0" w:line="3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accounts payable and short-term debt approximated fair values as of October 2, 2022 and December 31, 2021 because of the relatively short maturity of these instruments.</w:t>
      </w:r>
    </w:p>
    <w:p>
      <w:pPr>
        <w:spacing w:after="0" w:line="10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4"/>
          </w:tcPr>
          <w:p>
            <w:pPr>
              <w:jc w:val="right"/>
              <w:ind w:right="1336"/>
              <w:spacing w:after="0"/>
              <w:rPr>
                <w:sz w:val="20"/>
                <w:szCs w:val="20"/>
                <w:color w:val="auto"/>
              </w:rPr>
            </w:pPr>
            <w:r>
              <w:rPr>
                <w:rFonts w:ascii="Times New Roman" w:cs="Times New Roman" w:eastAsia="Times New Roman" w:hAnsi="Times New Roman"/>
                <w:sz w:val="15"/>
                <w:szCs w:val="15"/>
                <w:b w:val="1"/>
                <w:bCs w:val="1"/>
                <w:color w:val="auto"/>
              </w:rPr>
              <w:t>Carrying Value</w:t>
            </w:r>
          </w:p>
        </w:tc>
      </w:tr>
      <w:tr>
        <w:trPr>
          <w:trHeight w:val="201"/>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300" w:type="dxa"/>
            <w:vAlign w:val="bottom"/>
          </w:tcPr>
          <w:p>
            <w:pPr>
              <w:spacing w:after="0"/>
              <w:rPr>
                <w:sz w:val="17"/>
                <w:szCs w:val="17"/>
                <w:color w:val="auto"/>
              </w:rPr>
            </w:pPr>
          </w:p>
        </w:tc>
        <w:tc>
          <w:tcPr>
            <w:tcW w:w="1580" w:type="dxa"/>
            <w:vAlign w:val="bottom"/>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220" w:type="dxa"/>
            <w:vAlign w:val="bottom"/>
          </w:tcPr>
          <w:p>
            <w:pPr>
              <w:spacing w:after="0"/>
              <w:rPr>
                <w:sz w:val="17"/>
                <w:szCs w:val="17"/>
                <w:color w:val="auto"/>
              </w:rPr>
            </w:pPr>
          </w:p>
        </w:tc>
        <w:tc>
          <w:tcPr>
            <w:tcW w:w="1640" w:type="dxa"/>
            <w:vAlign w:val="bottom"/>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1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745,579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752,201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2,844</w:t>
            </w:r>
          </w:p>
        </w:tc>
      </w:tr>
      <w:tr>
        <w:trPr>
          <w:trHeight w:val="21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2,827,974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4,274,304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3,340,671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4,086,627</w:t>
            </w: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3,573,553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4,277,148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4,092,872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4,089,471</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695960</wp:posOffset>
            </wp:positionV>
            <wp:extent cx="188595" cy="163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Fair Value Measurements</w:t>
      </w:r>
    </w:p>
    <w:p>
      <w:pPr>
        <w:spacing w:after="0" w:line="3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In addition to assets and liabilities that are recorded at fair value on a recurring basis, GAAP requires that, under certain circumstances, we also record assets and liabilities at fair value on a nonrecurring basis.</w:t>
      </w:r>
    </w:p>
    <w:p>
      <w:pPr>
        <w:spacing w:after="0" w:line="10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 xml:space="preserve">In connection with the acquisitions of Pretzels, Dot’s and Lily’s during 2021, as discussed in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nine months ended October 2, 2022 and October 3, 2021, we recorded no impairment charges.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LEASES</w:t>
      </w:r>
    </w:p>
    <w:p>
      <w:pPr>
        <w:spacing w:after="0" w:line="157"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7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0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As most of our leases do not provide an implicit rate, we use our estimated incremental borrowing rate in determining the present value of lease payments. The estimated incremental borrowing rate is derived from information available at the lease commencement date.</w:t>
      </w:r>
    </w:p>
    <w:p>
      <w:pPr>
        <w:spacing w:after="0" w:line="8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8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expense for the three months ended October 2, 2022 and October 3, 2021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4"/>
          </w:tcPr>
          <w:p>
            <w:pPr>
              <w:jc w:val="right"/>
              <w:ind w:right="1356"/>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Lease expense</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300" w:type="dxa"/>
            <w:vAlign w:val="bottom"/>
          </w:tcPr>
          <w:p>
            <w:pPr>
              <w:spacing w:after="0"/>
              <w:rPr>
                <w:sz w:val="17"/>
                <w:szCs w:val="17"/>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300" w:type="dxa"/>
            <w:vAlign w:val="bottom"/>
          </w:tcPr>
          <w:p>
            <w:pPr>
              <w:spacing w:after="0"/>
              <w:rPr>
                <w:sz w:val="17"/>
                <w:szCs w:val="17"/>
                <w:color w:val="auto"/>
              </w:rPr>
            </w:pPr>
          </w:p>
        </w:tc>
        <w:tc>
          <w:tcPr>
            <w:tcW w:w="1780" w:type="dxa"/>
            <w:vAlign w:val="bottom"/>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October 3, 2021</w:t>
            </w:r>
          </w:p>
        </w:tc>
      </w:tr>
      <w:tr>
        <w:trPr>
          <w:trHeight w:val="21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 or SM&amp;A (1)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10,764</w:t>
            </w:r>
          </w:p>
        </w:tc>
      </w:tr>
      <w:tr>
        <w:trPr>
          <w:trHeight w:val="21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9"/>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ROU assets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(1)</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r>
      <w:tr>
        <w:trPr>
          <w:trHeight w:val="219"/>
        </w:trPr>
        <w:tc>
          <w:tcPr>
            <w:tcW w:w="3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w:t>
            </w:r>
          </w:p>
        </w:tc>
      </w:tr>
      <w:tr>
        <w:trPr>
          <w:trHeight w:val="23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lease cost (2)</w:t>
            </w:r>
          </w:p>
        </w:tc>
        <w:tc>
          <w:tcPr>
            <w:tcW w:w="3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13,835</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638810</wp:posOffset>
            </wp:positionV>
            <wp:extent cx="188595" cy="163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expense for the nine months ended October 2, 2022 and October 3, 2021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4"/>
          </w:tcPr>
          <w:p>
            <w:pPr>
              <w:jc w:val="right"/>
              <w:ind w:right="1396"/>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Lease expense</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300" w:type="dxa"/>
            <w:vAlign w:val="bottom"/>
          </w:tcPr>
          <w:p>
            <w:pPr>
              <w:spacing w:after="0"/>
              <w:rPr>
                <w:sz w:val="17"/>
                <w:szCs w:val="17"/>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300" w:type="dxa"/>
            <w:vAlign w:val="bottom"/>
          </w:tcPr>
          <w:p>
            <w:pPr>
              <w:spacing w:after="0"/>
              <w:rPr>
                <w:sz w:val="17"/>
                <w:szCs w:val="17"/>
                <w:color w:val="auto"/>
              </w:rPr>
            </w:pPr>
          </w:p>
        </w:tc>
        <w:tc>
          <w:tcPr>
            <w:tcW w:w="1780" w:type="dxa"/>
            <w:vAlign w:val="bottom"/>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October 3, 2021</w:t>
            </w:r>
          </w:p>
        </w:tc>
      </w:tr>
      <w:tr>
        <w:trPr>
          <w:trHeight w:val="21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 or SM&amp;A (1)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33,318</w:t>
            </w:r>
          </w:p>
        </w:tc>
      </w:tr>
      <w:tr>
        <w:trPr>
          <w:trHeight w:val="21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9"/>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ROU assets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(1)</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r>
      <w:tr>
        <w:trPr>
          <w:trHeight w:val="219"/>
        </w:trPr>
        <w:tc>
          <w:tcPr>
            <w:tcW w:w="3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3,321</w:t>
            </w:r>
          </w:p>
        </w:tc>
      </w:tr>
      <w:tr>
        <w:trPr>
          <w:trHeight w:val="23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lease cost (2)</w:t>
            </w:r>
          </w:p>
        </w:tc>
        <w:tc>
          <w:tcPr>
            <w:tcW w:w="3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42,671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460" w:hanging="302"/>
        <w:spacing w:after="0"/>
        <w:tabs>
          <w:tab w:leader="none" w:pos="4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chain-related amounts were included in cost of sales.</w:t>
      </w:r>
    </w:p>
    <w:p>
      <w:pPr>
        <w:spacing w:after="0" w:line="62" w:lineRule="exact"/>
        <w:rPr>
          <w:rFonts w:ascii="Times New Roman" w:cs="Times New Roman" w:eastAsia="Times New Roman" w:hAnsi="Times New Roman"/>
          <w:sz w:val="17"/>
          <w:szCs w:val="17"/>
          <w:color w:val="auto"/>
        </w:rPr>
      </w:pPr>
    </w:p>
    <w:p>
      <w:pPr>
        <w:ind w:right="2680" w:firstLine="158"/>
        <w:spacing w:after="0" w:line="308" w:lineRule="auto"/>
        <w:tabs>
          <w:tab w:leader="none" w:pos="45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lease cost does not include short-term leases, variable lease costs or sublease income, all of which are immaterial. Information regarding our lease terms and discount rates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1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1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58"/>
        </w:trPr>
        <w:tc>
          <w:tcPr>
            <w:tcW w:w="70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1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1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leases were as follows:</w:t>
      </w:r>
    </w:p>
    <w:p>
      <w:pPr>
        <w:sectPr>
          <w:pgSz w:w="11900" w:h="16838" w:orient="portrait"/>
          <w:cols w:equalWidth="0" w:num="1">
            <w:col w:w="11240"/>
          </w:cols>
          <w:pgMar w:left="320" w:top="119"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Leases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Operating lease ROU assets</w:t>
      </w:r>
    </w:p>
    <w:p>
      <w:pPr>
        <w:spacing w:after="0" w:line="2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at cost</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Accumulated amortization</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net</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leased assets</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Current</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Operating</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Finance</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Non-current</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Operating</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Finance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lease liabilities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43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328,098</w:t>
            </w:r>
          </w:p>
        </w:tc>
        <w:tc>
          <w:tcPr>
            <w:tcW w:w="120" w:type="dxa"/>
            <w:vAlign w:val="bottom"/>
          </w:tcPr>
          <w:p>
            <w:pPr>
              <w:spacing w:after="0"/>
              <w:rPr>
                <w:sz w:val="24"/>
                <w:szCs w:val="24"/>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351,712</w:t>
            </w:r>
          </w:p>
        </w:tc>
      </w:tr>
      <w:tr>
        <w:trPr>
          <w:trHeight w:val="47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gross</w:t>
            </w:r>
          </w:p>
        </w:tc>
        <w:tc>
          <w:tcPr>
            <w:tcW w:w="2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84,073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89,190</w:t>
            </w:r>
          </w:p>
        </w:tc>
      </w:tr>
      <w:tr>
        <w:trPr>
          <w:trHeight w:val="22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(14,396)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(16,694)</w:t>
            </w:r>
          </w:p>
        </w:tc>
      </w:tr>
      <w:tr>
        <w:trPr>
          <w:trHeight w:val="21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72,496</w:t>
            </w:r>
          </w:p>
        </w:tc>
      </w:tr>
      <w:tr>
        <w:trPr>
          <w:trHeight w:val="254"/>
        </w:trPr>
        <w:tc>
          <w:tcPr>
            <w:tcW w:w="3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12"/>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397,775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424,208</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87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31,415</w:t>
            </w:r>
          </w:p>
        </w:tc>
        <w:tc>
          <w:tcPr>
            <w:tcW w:w="120" w:type="dxa"/>
            <w:vAlign w:val="bottom"/>
          </w:tcPr>
          <w:p>
            <w:pPr>
              <w:spacing w:after="0"/>
              <w:rPr>
                <w:sz w:val="24"/>
                <w:szCs w:val="24"/>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36,292</w:t>
            </w:r>
          </w:p>
        </w:tc>
      </w:tr>
      <w:tr>
        <w:trPr>
          <w:trHeight w:val="22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3,564</w:t>
            </w:r>
          </w:p>
        </w:tc>
      </w:tr>
      <w:tr>
        <w:trPr>
          <w:trHeight w:val="43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295,694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310,899</w:t>
            </w:r>
          </w:p>
        </w:tc>
      </w:tr>
      <w:tr>
        <w:trPr>
          <w:trHeight w:val="22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66,785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65,582</w:t>
            </w:r>
          </w:p>
        </w:tc>
      </w:tr>
      <w:tr>
        <w:trPr>
          <w:trHeight w:val="212"/>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396,828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416,337</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-2233930</wp:posOffset>
            </wp:positionV>
            <wp:extent cx="7138670" cy="163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-1931035</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-1644650</wp:posOffset>
            </wp:positionV>
            <wp:extent cx="7138670" cy="163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-1317625</wp:posOffset>
            </wp:positionV>
            <wp:extent cx="7138670" cy="163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-1014730</wp:posOffset>
            </wp:positionV>
            <wp:extent cx="7138670" cy="139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-735965</wp:posOffset>
            </wp:positionV>
            <wp:extent cx="7138670" cy="139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-457835</wp:posOffset>
            </wp:positionV>
            <wp:extent cx="7138670" cy="139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-179705</wp:posOffset>
            </wp:positionV>
            <wp:extent cx="7138670" cy="163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-2520950</wp:posOffset>
            </wp:positionV>
            <wp:extent cx="7138670" cy="147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466725</wp:posOffset>
            </wp:positionV>
            <wp:extent cx="188595" cy="163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19" w:right="33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maturity of our lease liabilities as of October 2, 2022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Finance leases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tcPr>
          <w:p>
            <w:pPr>
              <w:jc w:val="right"/>
              <w:ind w:right="91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 (rest of year)</w:t>
            </w: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10,184</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4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12,044</w:t>
            </w:r>
          </w:p>
        </w:tc>
      </w:tr>
      <w:tr>
        <w:trPr>
          <w:trHeight w:val="219"/>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40,229</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46,723</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37,277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42,837</w:t>
            </w:r>
          </w:p>
        </w:tc>
      </w:tr>
      <w:tr>
        <w:trPr>
          <w:trHeight w:val="219"/>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26,118</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30,516</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26,283</w:t>
            </w:r>
          </w:p>
        </w:tc>
      </w:tr>
      <w:tr>
        <w:trPr>
          <w:trHeight w:val="21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284,584</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146,082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430,666</w:t>
            </w:r>
          </w:p>
        </w:tc>
      </w:tr>
      <w:tr>
        <w:trPr>
          <w:trHeight w:val="212"/>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3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420,650</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168,419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589,069</w:t>
            </w:r>
          </w:p>
        </w:tc>
      </w:tr>
      <w:tr>
        <w:trPr>
          <w:trHeight w:val="21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93,541</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98,700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192,241</w:t>
            </w:r>
          </w:p>
        </w:tc>
      </w:tr>
      <w:tr>
        <w:trPr>
          <w:trHeight w:val="237"/>
        </w:trPr>
        <w:tc>
          <w:tcPr>
            <w:tcW w:w="3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lease liabilities</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327,109</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4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69,719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396,828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and other information related to leases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4"/>
          </w:tcPr>
          <w:p>
            <w:pPr>
              <w:jc w:val="right"/>
              <w:ind w:right="1276"/>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7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280" w:type="dxa"/>
            <w:vAlign w:val="bottom"/>
          </w:tcPr>
          <w:p>
            <w:pPr>
              <w:spacing w:after="0"/>
              <w:rPr>
                <w:sz w:val="17"/>
                <w:szCs w:val="17"/>
                <w:color w:val="auto"/>
              </w:rPr>
            </w:pPr>
          </w:p>
        </w:tc>
        <w:tc>
          <w:tcPr>
            <w:tcW w:w="1680" w:type="dxa"/>
            <w:vAlign w:val="bottom"/>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October 3, 2021</w:t>
            </w:r>
          </w:p>
        </w:tc>
      </w:tr>
      <w:tr>
        <w:trPr>
          <w:trHeight w:val="20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3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9"/>
        </w:trPr>
        <w:tc>
          <w:tcPr>
            <w:tcW w:w="7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34,528</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32,243</w:t>
            </w: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w:t>
            </w:r>
          </w:p>
        </w:tc>
      </w:tr>
      <w:tr>
        <w:trPr>
          <w:trHeight w:val="219"/>
        </w:trPr>
        <w:tc>
          <w:tcPr>
            <w:tcW w:w="7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3,313</w:t>
            </w:r>
          </w:p>
        </w:tc>
      </w:tr>
      <w:tr>
        <w:trPr>
          <w:trHeight w:val="258"/>
        </w:trPr>
        <w:tc>
          <w:tcPr>
            <w:tcW w:w="7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ROU assets obtained in exchange for lease liabilities:</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7,013</w:t>
            </w:r>
          </w:p>
        </w:tc>
      </w:tr>
      <w:tr>
        <w:trPr>
          <w:trHeight w:val="223"/>
        </w:trPr>
        <w:tc>
          <w:tcPr>
            <w:tcW w:w="7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INVESTMENTS IN UNCONSOLIDATED AFFILIATES</w:t>
      </w:r>
    </w:p>
    <w:p>
      <w:pPr>
        <w:spacing w:after="0" w:line="10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Times New Roman" w:cs="Times New Roman" w:eastAsia="Times New Roman" w:hAnsi="Times New Roman"/>
          <w:sz w:val="17"/>
          <w:szCs w:val="17"/>
          <w:u w:val="single" w:color="auto"/>
          <w:color w:val="0000FF"/>
        </w:rPr>
        <w:t>Note 17</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00"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17"/>
          <w:szCs w:val="17"/>
          <w:color w:val="auto"/>
        </w:rPr>
        <w:t>Both equity and cost method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$132,226 and $93,089 as of October 2,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557530</wp:posOffset>
            </wp:positionV>
            <wp:extent cx="188595" cy="163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BUSINESS REALIGNMENT ACTIVITIES</w:t>
      </w:r>
    </w:p>
    <w:p>
      <w:pPr>
        <w:spacing w:after="0" w:line="16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5"/>
          </w:tcPr>
          <w:p>
            <w:pPr>
              <w:ind w:left="6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2820" w:type="dxa"/>
            <w:vAlign w:val="bottom"/>
            <w:gridSpan w:val="4"/>
          </w:tcPr>
          <w:p>
            <w:pPr>
              <w:jc w:val="right"/>
              <w:ind w:right="736"/>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5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October 3, 2021</w:t>
            </w: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w:t>
            </w: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marketing and administrative expense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Business realignment costs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associated with business realignment activities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13,793</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recorded by program during the three and nine months ended October 2, 2022 and October 3, 2021 related to these activities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5"/>
          </w:tcPr>
          <w:p>
            <w:pPr>
              <w:ind w:left="6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2820" w:type="dxa"/>
            <w:vAlign w:val="bottom"/>
            <w:gridSpan w:val="4"/>
          </w:tcPr>
          <w:p>
            <w:pPr>
              <w:jc w:val="right"/>
              <w:ind w:right="736"/>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5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October 3, 2021</w:t>
            </w:r>
          </w:p>
        </w:tc>
      </w:tr>
      <w:tr>
        <w:trPr>
          <w:trHeight w:val="200"/>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International Optimization Program:</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19"/>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Severance and employee benefit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3,199</w:t>
            </w: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program costs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10,594</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13,793</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7"/>
          <w:szCs w:val="17"/>
          <w:color w:val="auto"/>
        </w:rPr>
        <w:t>Amounts classified as liabilities qualifying as exit and disposal costs primarily represent employee-related and certain third-party service provider charges, however, such amounts at October 2, 2022 are not significant.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2020 International Optimization Program</w:t>
      </w:r>
    </w:p>
    <w:p>
      <w:pPr>
        <w:spacing w:after="0" w:line="16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International Optimization Program is expected to be completed by the end of 2023, with total pre-tax costs anticipated to be $50,000 to $75,000. Cash costs are expected to be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segment. However, segment operating results do not include these business realignment expenses because we evaluate segment performance excluding such costs.</w:t>
      </w:r>
    </w:p>
    <w:p>
      <w:pPr>
        <w:spacing w:after="0" w:line="12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For the nine months ended October 2, 2022 and October 3, 2021, we recognized total costs associated with the International Optimization Program of $2,373 and $13,793, respectively. These charges predominantly included third-party charges in support of our initiative to transform our China operating model, as well as severance and employee benefit costs. Since inception, we have incurred pre-tax charges to execute the program totaling $48,315.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549275</wp:posOffset>
            </wp:positionV>
            <wp:extent cx="188595" cy="163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6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majority of our taxable income is generated in the United States and taxed at the United States statutory rate of 21%. The effective tax rates for the nine months ended October 2, 2022 and October 3, 2021 were 19.7% and 21.4%, respectively. Relative to the statutory rate, the 2022 effective tax rate was impacted by investment tax credits, partially offset by state taxes.</w:t>
      </w:r>
    </w:p>
    <w:p>
      <w:pPr>
        <w:spacing w:after="0" w:line="1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Malaysia, Mexico, China, Canada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$15,220 within the next 12 months because of the expiration of statutes of limitations and settlements of tax audits.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Inflation Reduction Act</w:t>
      </w:r>
    </w:p>
    <w:p>
      <w:pPr>
        <w:spacing w:after="0" w:line="16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On August 16, 2022, the Inflation Reduction Act (“IRA”) was signed into law. The IRA enacted a 15% corporate minimum tax on certain corporations and an excise tax on share repurchases after December 31, 2022, and created and extended certain energy-related tax credits and incentives. We currently do not expect the tax-related provisions of the IRA to have a material impact on our consolidated financial statements, including our annual effective tax rate, or on our liquidity. We will continue to monitor and assess the impact the IRA may have on our business and financial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American Rescue Plan Act</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On March 11, 2021, the American Rescue Plan Act (“ARPA”) was signed into law. The ARPA strengthens and extends certain federal programs enacted through the Coronavirus Aid, Relief, and Economic Security (“CARES”) Act and other COVID-19 relief measures, and establishes new federal programs, including provisions on taxes, healthcare and unemployment benefits. The ARPA did not have a material impact on our consolidated financial statements for the nine months ended October 3,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Coronavirus Aid, Relief, and Economic Security Act</w:t>
      </w:r>
    </w:p>
    <w:p>
      <w:pPr>
        <w:spacing w:after="0" w:line="16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On March 27, 2020, the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nine months ended October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246380</wp:posOffset>
            </wp:positionV>
            <wp:extent cx="188595" cy="163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PENSION AND OTHER POST-RETIREMENT BENEFIT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Periodic Benefit Cost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net periodic benefit cost for the three months ended October 2, 2022 and October 3, 2021 were as follows:</w:t>
      </w:r>
    </w:p>
    <w:p>
      <w:pPr>
        <w:spacing w:after="0" w:line="140" w:lineRule="exact"/>
        <w:rPr>
          <w:sz w:val="20"/>
          <w:szCs w:val="20"/>
          <w:color w:val="auto"/>
        </w:rPr>
      </w:pPr>
    </w:p>
    <w:p>
      <w:pPr>
        <w:jc w:val="right"/>
        <w:ind w:right="1100"/>
        <w:spacing w:after="0"/>
        <w:tabs>
          <w:tab w:leader="none" w:pos="960" w:val="left"/>
        </w:tabs>
        <w:rPr>
          <w:sz w:val="20"/>
          <w:szCs w:val="20"/>
          <w:color w:val="auto"/>
        </w:rPr>
      </w:pPr>
      <w:r>
        <w:rPr>
          <w:rFonts w:ascii="Times New Roman" w:cs="Times New Roman" w:eastAsia="Times New Roman" w:hAnsi="Times New Roman"/>
          <w:sz w:val="15"/>
          <w:szCs w:val="15"/>
          <w:b w:val="1"/>
          <w:bCs w:val="1"/>
          <w:color w:val="auto"/>
        </w:rPr>
        <w:t>Pension Benefits</w:t>
      </w:r>
      <w:r>
        <w:rPr>
          <w:sz w:val="20"/>
          <w:szCs w:val="20"/>
          <w:color w:val="auto"/>
        </w:rPr>
        <w:tab/>
      </w:r>
      <w:r>
        <w:rPr>
          <w:rFonts w:ascii="Times New Roman" w:cs="Times New Roman" w:eastAsia="Times New Roman" w:hAnsi="Times New Roman"/>
          <w:sz w:val="15"/>
          <w:szCs w:val="15"/>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23495</wp:posOffset>
            </wp:positionV>
            <wp:extent cx="4101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01465"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47"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23495</wp:posOffset>
            </wp:positionV>
            <wp:extent cx="20059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7" w:lineRule="exact"/>
        <w:rPr>
          <w:sz w:val="20"/>
          <w:szCs w:val="20"/>
          <w:color w:val="auto"/>
        </w:rPr>
      </w:pPr>
    </w:p>
    <w:p>
      <w:pPr>
        <w:ind w:left="5020"/>
        <w:spacing w:after="0"/>
        <w:tabs>
          <w:tab w:leader="none" w:pos="6640" w:val="left"/>
        </w:tabs>
        <w:rPr>
          <w:sz w:val="20"/>
          <w:szCs w:val="20"/>
          <w:color w:val="auto"/>
        </w:rPr>
      </w:pPr>
      <w:r>
        <w:rPr>
          <w:rFonts w:ascii="Times New Roman" w:cs="Times New Roman" w:eastAsia="Times New Roman" w:hAnsi="Times New Roman"/>
          <w:sz w:val="15"/>
          <w:szCs w:val="15"/>
          <w:b w:val="1"/>
          <w:bCs w:val="1"/>
          <w:color w:val="auto"/>
        </w:rPr>
        <w:t>October 2, 2022</w:t>
      </w:r>
      <w:r>
        <w:rPr>
          <w:sz w:val="20"/>
          <w:szCs w:val="20"/>
          <w:color w:val="auto"/>
        </w:rPr>
        <w:tab/>
      </w:r>
      <w:r>
        <w:rPr>
          <w:rFonts w:ascii="Times New Roman" w:cs="Times New Roman" w:eastAsia="Times New Roman" w:hAnsi="Times New Roman"/>
          <w:sz w:val="15"/>
          <w:szCs w:val="15"/>
          <w:b w:val="1"/>
          <w:bCs w:val="1"/>
          <w:color w:val="auto"/>
        </w:rPr>
        <w:t>October 3, 2021</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23495</wp:posOffset>
            </wp:positionV>
            <wp:extent cx="20218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27"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5"/>
          <w:szCs w:val="15"/>
          <w:b w:val="1"/>
          <w:bCs w:val="1"/>
          <w:color w:val="auto"/>
        </w:rPr>
        <w:t>October 2, 2022</w:t>
      </w:r>
      <w:r>
        <w:rPr>
          <w:sz w:val="20"/>
          <w:szCs w:val="20"/>
          <w:color w:val="auto"/>
        </w:rPr>
        <w:tab/>
      </w:r>
      <w:r>
        <w:rPr>
          <w:rFonts w:ascii="Times New Roman" w:cs="Times New Roman" w:eastAsia="Times New Roman" w:hAnsi="Times New Roman"/>
          <w:sz w:val="15"/>
          <w:szCs w:val="15"/>
          <w:b w:val="1"/>
          <w:bCs w:val="1"/>
          <w:color w:val="auto"/>
        </w:rPr>
        <w:t>October 3, 2021</w:t>
      </w:r>
    </w:p>
    <w:p>
      <w:pPr>
        <w:spacing w:after="0" w:line="31" w:lineRule="exact"/>
        <w:rPr>
          <w:sz w:val="20"/>
          <w:szCs w:val="20"/>
          <w:color w:val="auto"/>
        </w:rPr>
      </w:pPr>
    </w:p>
    <w:p>
      <w:pPr>
        <w:sectPr>
          <w:pgSz w:w="11900" w:h="16838" w:orient="portrait"/>
          <w:cols w:equalWidth="0" w:num="2">
            <w:col w:w="7700" w:space="600"/>
            <w:col w:w="29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5,256</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prior service credit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net loss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Settlement loss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periodic benefit cost</w:t>
            </w: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made contributions of $824 and $1,484 to the pension plans and other benefits plans, respectively, during the third quarter of 2022. In the third quarter of 2021, we made contributions of $25,711 and $3,527 to our pension plans and other benefit plans, respectively. The contributions in 2022 and 2021 also included benefit payments from our non-qualified pension plans and post-retirement benefit plans.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net periodic benefit cost for the nine months ended October 2, 2022 and October 3, 2021 were as follows:</w:t>
      </w:r>
    </w:p>
    <w:p>
      <w:pPr>
        <w:spacing w:after="0" w:line="321" w:lineRule="exact"/>
        <w:rPr>
          <w:sz w:val="20"/>
          <w:szCs w:val="20"/>
          <w:color w:val="auto"/>
        </w:rPr>
      </w:pPr>
    </w:p>
    <w:p>
      <w:pPr>
        <w:ind w:left="5820"/>
        <w:spacing w:after="0"/>
        <w:tabs>
          <w:tab w:leader="none" w:pos="9140" w:val="left"/>
        </w:tabs>
        <w:rPr>
          <w:sz w:val="20"/>
          <w:szCs w:val="20"/>
          <w:color w:val="auto"/>
        </w:rPr>
      </w:pPr>
      <w:r>
        <w:rPr>
          <w:rFonts w:ascii="Times New Roman" w:cs="Times New Roman" w:eastAsia="Times New Roman" w:hAnsi="Times New Roman"/>
          <w:sz w:val="15"/>
          <w:szCs w:val="15"/>
          <w:b w:val="1"/>
          <w:bCs w:val="1"/>
          <w:color w:val="auto"/>
        </w:rPr>
        <w:t>Pension Benefits</w:t>
      </w:r>
      <w:r>
        <w:rPr>
          <w:sz w:val="20"/>
          <w:szCs w:val="20"/>
          <w:color w:val="auto"/>
        </w:rPr>
        <w:tab/>
      </w:r>
      <w:r>
        <w:rPr>
          <w:rFonts w:ascii="Times New Roman" w:cs="Times New Roman" w:eastAsia="Times New Roman" w:hAnsi="Times New Roman"/>
          <w:sz w:val="15"/>
          <w:szCs w:val="15"/>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23495</wp:posOffset>
            </wp:positionV>
            <wp:extent cx="4101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01465"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p>
      <w:pPr>
        <w:spacing w:after="0" w:line="47"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23495</wp:posOffset>
            </wp:positionV>
            <wp:extent cx="2005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7" w:lineRule="exact"/>
        <w:rPr>
          <w:sz w:val="20"/>
          <w:szCs w:val="20"/>
          <w:color w:val="auto"/>
        </w:rPr>
      </w:pPr>
    </w:p>
    <w:p>
      <w:pPr>
        <w:ind w:left="5020"/>
        <w:spacing w:after="0"/>
        <w:tabs>
          <w:tab w:leader="none" w:pos="6640" w:val="left"/>
        </w:tabs>
        <w:rPr>
          <w:sz w:val="20"/>
          <w:szCs w:val="20"/>
          <w:color w:val="auto"/>
        </w:rPr>
      </w:pPr>
      <w:r>
        <w:rPr>
          <w:rFonts w:ascii="Times New Roman" w:cs="Times New Roman" w:eastAsia="Times New Roman" w:hAnsi="Times New Roman"/>
          <w:sz w:val="15"/>
          <w:szCs w:val="15"/>
          <w:b w:val="1"/>
          <w:bCs w:val="1"/>
          <w:color w:val="auto"/>
        </w:rPr>
        <w:t>October 2, 2022</w:t>
      </w:r>
      <w:r>
        <w:rPr>
          <w:sz w:val="20"/>
          <w:szCs w:val="20"/>
          <w:color w:val="auto"/>
        </w:rPr>
        <w:tab/>
      </w:r>
      <w:r>
        <w:rPr>
          <w:rFonts w:ascii="Times New Roman" w:cs="Times New Roman" w:eastAsia="Times New Roman" w:hAnsi="Times New Roman"/>
          <w:sz w:val="15"/>
          <w:szCs w:val="15"/>
          <w:b w:val="1"/>
          <w:bCs w:val="1"/>
          <w:color w:val="auto"/>
        </w:rPr>
        <w:t>October 3, 2021</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23495</wp:posOffset>
            </wp:positionV>
            <wp:extent cx="20218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27"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5"/>
          <w:szCs w:val="15"/>
          <w:b w:val="1"/>
          <w:bCs w:val="1"/>
          <w:color w:val="auto"/>
        </w:rPr>
        <w:t>October 2, 2022</w:t>
      </w:r>
      <w:r>
        <w:rPr>
          <w:sz w:val="20"/>
          <w:szCs w:val="20"/>
          <w:color w:val="auto"/>
        </w:rPr>
        <w:tab/>
      </w:r>
      <w:r>
        <w:rPr>
          <w:rFonts w:ascii="Times New Roman" w:cs="Times New Roman" w:eastAsia="Times New Roman" w:hAnsi="Times New Roman"/>
          <w:sz w:val="15"/>
          <w:szCs w:val="15"/>
          <w:b w:val="1"/>
          <w:bCs w:val="1"/>
          <w:color w:val="auto"/>
        </w:rPr>
        <w:t>October 3, 2021</w:t>
      </w:r>
    </w:p>
    <w:p>
      <w:pPr>
        <w:spacing w:after="0" w:line="31" w:lineRule="exact"/>
        <w:rPr>
          <w:sz w:val="20"/>
          <w:szCs w:val="20"/>
          <w:color w:val="auto"/>
        </w:rPr>
      </w:pPr>
    </w:p>
    <w:p>
      <w:pPr>
        <w:sectPr>
          <w:pgSz w:w="11900" w:h="16838" w:orient="portrait"/>
          <w:cols w:equalWidth="0" w:num="2">
            <w:col w:w="7700" w:space="600"/>
            <w:col w:w="29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13,639</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16,178</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2,893</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(36,788)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(36,861)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prior service credit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net loss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Settlement loss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periodic benefit cost</w:t>
            </w: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made contributions of $4,580 and $12,059 to the pension plans and other benefits plans, respectively, during the first nine months of 2022. In the first nine months of 2021, we made contributions of $26,894 and $11,682 to our pension plans and other benefit plans, respectively. The contributions in 2022 and 2021 also included benefit payments from our non-qualified pension plans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246380</wp:posOffset>
            </wp:positionV>
            <wp:extent cx="188595" cy="163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 xml:space="preserve">The non-service cost components of net periodic benefit cost relating to pension and other post-retirement benefit plans is reflected within other (income) expense, net in the Consolidated Statements of Income (see </w:t>
      </w:r>
      <w:r>
        <w:rPr>
          <w:rFonts w:ascii="Times New Roman" w:cs="Times New Roman" w:eastAsia="Times New Roman" w:hAnsi="Times New Roman"/>
          <w:sz w:val="17"/>
          <w:szCs w:val="17"/>
          <w:u w:val="single" w:color="auto"/>
          <w:color w:val="0000FF"/>
        </w:rPr>
        <w:t>Note 17</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During the first nine months of 2022, we recognized pension settlement charges in our hourly retirement plan and salaried retirement plan due to lump sum withdrawals by employees retiring or leaving the Company.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third quarter 2022 settlements, the related plan assets and liabilities were remeasured using a discount rate as of the remeasurement date that was 288 basis points higher than the rate as of December 31, 2021 and an expected rate of return on plan assets of 5.8%.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STOCK COMPENSATION PLANS</w:t>
      </w:r>
    </w:p>
    <w:p>
      <w:pPr>
        <w:spacing w:after="0" w:line="16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14"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Non-qualified stock options (“stock options”);</w:t>
      </w:r>
    </w:p>
    <w:p>
      <w:pPr>
        <w:spacing w:after="0" w:line="3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Performance stock units (“PSUs”) and performance stock;</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Stock appreciation rights;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Restricted stock units (“RSUs”) and restricted stock; and</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Other stock-based awards.</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1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14"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7"/>
          <w:szCs w:val="17"/>
          <w:color w:val="auto"/>
        </w:rPr>
        <w:t>For the periods presented, compensation expense for all types of stock-based compensation programs and the related income tax benefit recognized were as follows:</w:t>
      </w: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20" w:type="dxa"/>
            <w:vAlign w:val="bottom"/>
            <w:gridSpan w:val="5"/>
          </w:tcPr>
          <w:p>
            <w:pPr>
              <w:ind w:left="10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80" w:type="dxa"/>
            <w:vAlign w:val="bottom"/>
          </w:tcPr>
          <w:p>
            <w:pPr>
              <w:spacing w:after="0"/>
              <w:rPr>
                <w:sz w:val="17"/>
                <w:szCs w:val="17"/>
                <w:color w:val="auto"/>
              </w:rPr>
            </w:pPr>
          </w:p>
        </w:tc>
        <w:tc>
          <w:tcPr>
            <w:tcW w:w="3700" w:type="dxa"/>
            <w:vAlign w:val="bottom"/>
            <w:gridSpan w:val="4"/>
          </w:tcPr>
          <w:p>
            <w:pPr>
              <w:jc w:val="right"/>
              <w:ind w:right="1237"/>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3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October 3, 2021</w:t>
            </w:r>
          </w:p>
        </w:tc>
      </w:tr>
      <w:tr>
        <w:trPr>
          <w:trHeight w:val="21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Pre-tax compensation expense</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50,640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51,009</w:t>
            </w: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Related income tax benefit</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10,814</w:t>
            </w:r>
          </w:p>
        </w:tc>
      </w:tr>
    </w:tbl>
    <w:p>
      <w:pPr>
        <w:spacing w:after="0" w:line="22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Compensation expenses for stock compensation plans are primarily included in selling, marketing and administrative expense. As of October 2, 2022, total stock-based compensation expense related to non-vested awards not yet recognized was $93,265 and the weighted-average period over which this amount is expected to be recognized was approximately 1.8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246380</wp:posOffset>
            </wp:positionV>
            <wp:extent cx="188595" cy="163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exercise price of each stock option awarded under the EICP equals the closing price of our Common Stock on the New York Stock Exchange on the date of</w:t>
      </w:r>
    </w:p>
    <w:p>
      <w:pPr>
        <w:spacing w:after="0" w:line="49"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activity relating to grants of stock options for the period ended October 2, 2022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200" w:type="dxa"/>
            <w:vAlign w:val="bottom"/>
          </w:tcPr>
          <w:p>
            <w:pPr>
              <w:spacing w:after="0"/>
              <w:rPr>
                <w:sz w:val="17"/>
                <w:szCs w:val="17"/>
                <w:color w:val="auto"/>
              </w:rPr>
            </w:pPr>
          </w:p>
        </w:tc>
        <w:tc>
          <w:tcPr>
            <w:tcW w:w="158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75"/>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70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780" w:type="dxa"/>
            <w:vAlign w:val="bottom"/>
          </w:tcPr>
          <w:p>
            <w:pPr>
              <w:ind w:left="160"/>
              <w:spacing w:after="0" w:line="175"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5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2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40" w:type="dxa"/>
            <w:vAlign w:val="bottom"/>
            <w:tcBorders>
              <w:bottom w:val="single" w:sz="8" w:color="CCEEFF"/>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7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Contractual Term</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beginning of the period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1,332,956</w:t>
            </w:r>
          </w:p>
        </w:tc>
        <w:tc>
          <w:tcPr>
            <w:tcW w:w="1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$102.78</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 years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4,025</w:t>
            </w: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$202.03</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(315,250)</w:t>
            </w:r>
          </w:p>
        </w:tc>
        <w:tc>
          <w:tcPr>
            <w:tcW w:w="1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$98.38</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$102.97</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1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$103.07</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October 2, 2022</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1,016,000</w:t>
            </w: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$104.53</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 years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117,793</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exercisable as of October 2, 2022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978,507</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$102.65</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115,291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7"/>
          <w:szCs w:val="17"/>
          <w:color w:val="auto"/>
        </w:rPr>
        <w:t>The weighted-average fair value of options granted was $37.28 and $24.12 per share for the periods ended October 2, 2022 and October 3, 2021, respectively. The fair value was estimated on the date of grant using a Black-Scholes option-pricing model and the following weighted-average assumptions:</w:t>
      </w:r>
    </w:p>
    <w:p>
      <w:pPr>
        <w:ind w:left="826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26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October 3, 2021</w:t>
            </w:r>
          </w:p>
        </w:tc>
      </w:tr>
      <w:tr>
        <w:trPr>
          <w:trHeight w:val="21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1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21.1 %</w:t>
            </w:r>
          </w:p>
        </w:tc>
        <w:tc>
          <w:tcPr>
            <w:tcW w:w="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21.8 %</w:t>
            </w:r>
          </w:p>
        </w:tc>
      </w:tr>
      <w:tr>
        <w:trPr>
          <w:trHeight w:val="21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intrinsic value of options exercised was $36,362 and $28,416 for the periods ended October 2, 2022 and October 3, 2021,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Stock Units and Restricted Stock Units</w:t>
      </w:r>
    </w:p>
    <w:p>
      <w:pPr>
        <w:spacing w:after="0" w:line="16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2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nine months ended October 2, 2022 and October 3, 2021 can range from 0% to 250% of the targeted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252095</wp:posOffset>
            </wp:positionV>
            <wp:extent cx="188595" cy="163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During the nine months ended October 2, 2022 and October 3, 2021, we awarded RSUs to certain executive officers and other key employees under the EICP. We also awarded RSUs to non-employee directors.</w:t>
      </w:r>
    </w:p>
    <w:p>
      <w:pPr>
        <w:spacing w:after="0" w:line="10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We recognize the compensation expenses associated with employee RSUs over a specified award vesting period based on the grant date fair value of our Common Stock. We recognize expense for employee RSUs based on the straight- line method. The compensation expenses associated with non-employee director RSUs is recognized ratably over the vesting period, net of estimated forfeitures.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activity relating to grants of PSUs and RSUs for the period ended October 2, 2022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Performance Stock Units and Restricted Stock Units</w:t>
            </w:r>
          </w:p>
        </w:tc>
        <w:tc>
          <w:tcPr>
            <w:tcW w:w="1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5"/>
                <w:szCs w:val="15"/>
                <w:b w:val="1"/>
                <w:bCs w:val="1"/>
                <w:color w:val="auto"/>
              </w:rPr>
              <w:t>Number of units</w:t>
            </w:r>
          </w:p>
        </w:tc>
        <w:tc>
          <w:tcPr>
            <w:tcW w:w="100" w:type="dxa"/>
            <w:vAlign w:val="bottom"/>
          </w:tcPr>
          <w:p>
            <w:pPr>
              <w:spacing w:after="0"/>
              <w:rPr>
                <w:sz w:val="15"/>
                <w:szCs w:val="15"/>
                <w:color w:val="auto"/>
              </w:rPr>
            </w:pPr>
          </w:p>
        </w:tc>
        <w:tc>
          <w:tcPr>
            <w:tcW w:w="3520" w:type="dxa"/>
            <w:vAlign w:val="bottom"/>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Weighted-average grant date fair value for equity</w:t>
            </w:r>
          </w:p>
        </w:tc>
        <w:tc>
          <w:tcPr>
            <w:tcW w:w="0" w:type="dxa"/>
            <w:vAlign w:val="bottom"/>
          </w:tcPr>
          <w:p>
            <w:pPr>
              <w:spacing w:after="0"/>
              <w:rPr>
                <w:sz w:val="1"/>
                <w:szCs w:val="1"/>
                <w:color w:val="auto"/>
              </w:rPr>
            </w:pPr>
          </w:p>
        </w:tc>
      </w:tr>
      <w:tr>
        <w:trPr>
          <w:trHeight w:val="205"/>
        </w:trPr>
        <w:tc>
          <w:tcPr>
            <w:tcW w:w="586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Pr>
          <w:p>
            <w:pPr>
              <w:jc w:val="right"/>
              <w:ind w:right="1100"/>
              <w:spacing w:after="0"/>
              <w:rPr>
                <w:sz w:val="20"/>
                <w:szCs w:val="20"/>
                <w:color w:val="auto"/>
              </w:rPr>
            </w:pPr>
            <w:r>
              <w:rPr>
                <w:rFonts w:ascii="Times New Roman" w:cs="Times New Roman" w:eastAsia="Times New Roman" w:hAnsi="Times New Roman"/>
                <w:sz w:val="15"/>
                <w:szCs w:val="15"/>
                <w:b w:val="1"/>
                <w:bCs w:val="1"/>
                <w:color w:val="auto"/>
              </w:rPr>
              <w:t>awards (per unit)</w:t>
            </w:r>
          </w:p>
        </w:tc>
        <w:tc>
          <w:tcPr>
            <w:tcW w:w="0" w:type="dxa"/>
            <w:vAlign w:val="bottom"/>
          </w:tcPr>
          <w:p>
            <w:pPr>
              <w:spacing w:after="0"/>
              <w:rPr>
                <w:sz w:val="1"/>
                <w:szCs w:val="1"/>
                <w:color w:val="auto"/>
              </w:rPr>
            </w:pPr>
          </w:p>
        </w:tc>
      </w:tr>
      <w:tr>
        <w:trPr>
          <w:trHeight w:val="213"/>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beginning of year</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1,303,521</w:t>
            </w:r>
          </w:p>
        </w:tc>
        <w:tc>
          <w:tcPr>
            <w:tcW w:w="10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$146.96</w:t>
            </w:r>
          </w:p>
        </w:tc>
        <w:tc>
          <w:tcPr>
            <w:tcW w:w="0" w:type="dxa"/>
            <w:vAlign w:val="bottom"/>
          </w:tcPr>
          <w:p>
            <w:pPr>
              <w:spacing w:after="0"/>
              <w:rPr>
                <w:sz w:val="1"/>
                <w:szCs w:val="1"/>
                <w:color w:val="auto"/>
              </w:rPr>
            </w:pPr>
          </w:p>
        </w:tc>
      </w:tr>
      <w:tr>
        <w:trPr>
          <w:trHeight w:val="21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305,109</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$211.29</w:t>
            </w:r>
          </w:p>
        </w:tc>
        <w:tc>
          <w:tcPr>
            <w:tcW w:w="0" w:type="dxa"/>
            <w:vAlign w:val="bottom"/>
          </w:tcPr>
          <w:p>
            <w:pPr>
              <w:spacing w:after="0"/>
              <w:rPr>
                <w:sz w:val="1"/>
                <w:szCs w:val="1"/>
                <w:color w:val="auto"/>
              </w:rPr>
            </w:pPr>
          </w:p>
        </w:tc>
      </w:tr>
      <w:tr>
        <w:trPr>
          <w:trHeight w:val="21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assumption change (1)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105,143</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$245.93</w:t>
            </w:r>
          </w:p>
        </w:tc>
        <w:tc>
          <w:tcPr>
            <w:tcW w:w="0" w:type="dxa"/>
            <w:vAlign w:val="bottom"/>
          </w:tcPr>
          <w:p>
            <w:pPr>
              <w:spacing w:after="0"/>
              <w:rPr>
                <w:sz w:val="1"/>
                <w:szCs w:val="1"/>
                <w:color w:val="auto"/>
              </w:rPr>
            </w:pPr>
          </w:p>
        </w:tc>
      </w:tr>
      <w:tr>
        <w:trPr>
          <w:trHeight w:val="21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(505,135)</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$130.07</w:t>
            </w:r>
          </w:p>
        </w:tc>
        <w:tc>
          <w:tcPr>
            <w:tcW w:w="0" w:type="dxa"/>
            <w:vAlign w:val="bottom"/>
          </w:tcPr>
          <w:p>
            <w:pPr>
              <w:spacing w:after="0"/>
              <w:rPr>
                <w:sz w:val="1"/>
                <w:szCs w:val="1"/>
                <w:color w:val="auto"/>
              </w:rPr>
            </w:pPr>
          </w:p>
        </w:tc>
      </w:tr>
      <w:tr>
        <w:trPr>
          <w:trHeight w:val="21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(27,016)</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$163.35</w:t>
            </w:r>
          </w:p>
        </w:tc>
        <w:tc>
          <w:tcPr>
            <w:tcW w:w="0" w:type="dxa"/>
            <w:vAlign w:val="bottom"/>
          </w:tcPr>
          <w:p>
            <w:pPr>
              <w:spacing w:after="0"/>
              <w:rPr>
                <w:sz w:val="1"/>
                <w:szCs w:val="1"/>
                <w:color w:val="auto"/>
              </w:rPr>
            </w:pPr>
          </w:p>
        </w:tc>
      </w:tr>
      <w:tr>
        <w:trPr>
          <w:trHeight w:val="21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as of October 2, 2022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1,181,622</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$182.34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Reflects the net number of PSUs above and below target levels based on the performance metrics.</w:t>
      </w:r>
    </w:p>
    <w:p>
      <w:pPr>
        <w:spacing w:after="0" w:line="165" w:lineRule="exact"/>
        <w:rPr>
          <w:sz w:val="20"/>
          <w:szCs w:val="20"/>
          <w:color w:val="auto"/>
        </w:rPr>
      </w:pPr>
    </w:p>
    <w:p>
      <w:pPr>
        <w:jc w:val="both"/>
        <w:ind w:right="360"/>
        <w:spacing w:after="0" w:line="269" w:lineRule="auto"/>
        <w:rPr>
          <w:sz w:val="20"/>
          <w:szCs w:val="20"/>
          <w:color w:val="auto"/>
        </w:rPr>
      </w:pPr>
      <w:r>
        <w:rPr>
          <w:rFonts w:ascii="Times New Roman" w:cs="Times New Roman" w:eastAsia="Times New Roman" w:hAnsi="Times New Roman"/>
          <w:sz w:val="17"/>
          <w:szCs w:val="17"/>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8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0" w:type="dxa"/>
            <w:vAlign w:val="bottom"/>
          </w:tcPr>
          <w:p>
            <w:pPr>
              <w:spacing w:after="0"/>
              <w:rPr>
                <w:sz w:val="1"/>
                <w:szCs w:val="1"/>
                <w:color w:val="auto"/>
              </w:rPr>
            </w:pPr>
          </w:p>
        </w:tc>
      </w:tr>
      <w:tr>
        <w:trPr>
          <w:trHeight w:val="21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Units granted</w:t>
            </w:r>
          </w:p>
        </w:tc>
        <w:tc>
          <w:tcPr>
            <w:tcW w:w="17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305,109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392,419</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fair value at date of grant</w:t>
            </w:r>
          </w:p>
        </w:tc>
        <w:tc>
          <w:tcPr>
            <w:tcW w:w="1720" w:type="dxa"/>
            <w:vAlign w:val="bottom"/>
            <w:vMerge w:val="restart"/>
          </w:tcPr>
          <w:p>
            <w:pPr>
              <w:jc w:val="right"/>
              <w:ind w:right="153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211.29</w:t>
            </w:r>
          </w:p>
        </w:tc>
        <w:tc>
          <w:tcPr>
            <w:tcW w:w="120" w:type="dxa"/>
            <w:vAlign w:val="bottom"/>
          </w:tcPr>
          <w:p>
            <w:pPr>
              <w:spacing w:after="0"/>
              <w:rPr>
                <w:sz w:val="19"/>
                <w:szCs w:val="19"/>
                <w:color w:val="auto"/>
              </w:rPr>
            </w:pPr>
          </w:p>
        </w:tc>
        <w:tc>
          <w:tcPr>
            <w:tcW w:w="640" w:type="dxa"/>
            <w:vAlign w:val="bottom"/>
            <w:vMerge w:val="restart"/>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153.97</w:t>
            </w:r>
          </w:p>
        </w:tc>
        <w:tc>
          <w:tcPr>
            <w:tcW w:w="0" w:type="dxa"/>
            <w:vAlign w:val="bottom"/>
          </w:tcPr>
          <w:p>
            <w:pPr>
              <w:spacing w:after="0"/>
              <w:rPr>
                <w:sz w:val="1"/>
                <w:szCs w:val="1"/>
                <w:color w:val="auto"/>
              </w:rPr>
            </w:pPr>
          </w:p>
        </w:tc>
      </w:tr>
      <w:tr>
        <w:trPr>
          <w:trHeight w:val="86"/>
        </w:trPr>
        <w:tc>
          <w:tcPr>
            <w:tcW w:w="638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Monte Carlo simulation assumptions:</w:t>
            </w:r>
          </w:p>
        </w:tc>
        <w:tc>
          <w:tcPr>
            <w:tcW w:w="1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Estimated values</w:t>
            </w:r>
          </w:p>
        </w:tc>
        <w:tc>
          <w:tcPr>
            <w:tcW w:w="1720" w:type="dxa"/>
            <w:vAlign w:val="bottom"/>
          </w:tcPr>
          <w:p>
            <w:pPr>
              <w:jc w:val="right"/>
              <w:ind w:right="153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100.41</w:t>
            </w:r>
          </w:p>
        </w:tc>
        <w:tc>
          <w:tcPr>
            <w:tcW w:w="120" w:type="dxa"/>
            <w:vAlign w:val="bottom"/>
          </w:tcPr>
          <w:p>
            <w:pPr>
              <w:spacing w:after="0"/>
              <w:rPr>
                <w:sz w:val="19"/>
                <w:szCs w:val="19"/>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Dividend yields</w:t>
            </w:r>
          </w:p>
        </w:tc>
        <w:tc>
          <w:tcPr>
            <w:tcW w:w="17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23"/>
        </w:trPr>
        <w:tc>
          <w:tcPr>
            <w:tcW w:w="6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Expected volatility</w:t>
            </w:r>
          </w:p>
        </w:tc>
        <w:tc>
          <w:tcPr>
            <w:tcW w:w="1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25.3 %</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26.4 %</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shares vested totaled $103,081 and $50,361 for the periods ended October 2, 2022 and October 3, 2021, respectively.</w:t>
      </w:r>
    </w:p>
    <w:p>
      <w:pPr>
        <w:spacing w:after="0" w:line="16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Deferred PSUs, deferred RSUs and deferred stock units representing directors’ fees totaled 265,359 units as of October 2, 2022.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540385</wp:posOffset>
            </wp:positionV>
            <wp:extent cx="188595" cy="163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SEGMENT INFORMATION</w:t>
      </w:r>
    </w:p>
    <w:p>
      <w:pPr>
        <w:spacing w:after="0" w:line="7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7"/>
          <w:szCs w:val="17"/>
          <w:color w:val="auto"/>
        </w:rPr>
        <w:t>The Company reports its operations through three reportable segments: (i) North America Confectionery, (ii) North America Salty Snacks and (iii) International. This organizational structure aligns with how our Chief Operating Decision Maker (“CODM”) manages our business, including resource allocation and performance assessment, and further aligns with our product categories and the key markets we serve.</w:t>
      </w:r>
    </w:p>
    <w:p>
      <w:pPr>
        <w:spacing w:after="0" w:line="108" w:lineRule="exact"/>
        <w:rPr>
          <w:sz w:val="20"/>
          <w:szCs w:val="20"/>
          <w:color w:val="auto"/>
        </w:rPr>
      </w:pPr>
    </w:p>
    <w:p>
      <w:pPr>
        <w:jc w:val="both"/>
        <w:ind w:left="620" w:right="60" w:hanging="307"/>
        <w:spacing w:after="0" w:line="247" w:lineRule="auto"/>
        <w:tabs>
          <w:tab w:leader="none" w:pos="616"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North America Confectionery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segment is responsible for our traditional chocolate and non-chocolate confectionery market position in the United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28" w:lineRule="exact"/>
        <w:rPr>
          <w:rFonts w:ascii="Times New Roman" w:cs="Times New Roman" w:eastAsia="Times New Roman" w:hAnsi="Times New Roman"/>
          <w:sz w:val="17"/>
          <w:szCs w:val="17"/>
          <w:b w:val="1"/>
          <w:bCs w:val="1"/>
          <w:i w:val="1"/>
          <w:iCs w:val="1"/>
          <w:color w:val="auto"/>
        </w:rPr>
      </w:pPr>
    </w:p>
    <w:p>
      <w:pPr>
        <w:ind w:left="620" w:right="420" w:hanging="307"/>
        <w:spacing w:after="0" w:line="294" w:lineRule="auto"/>
        <w:tabs>
          <w:tab w:leader="none" w:pos="616"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North America Salty Snacks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segment is responsible for our salty snacking products in the United States. This includes ready-to-eat popcorn,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baked and trans fat free snacks, pretzels and other snacks.</w:t>
      </w:r>
    </w:p>
    <w:p>
      <w:pPr>
        <w:spacing w:after="0" w:line="88" w:lineRule="exact"/>
        <w:rPr>
          <w:rFonts w:ascii="Times New Roman" w:cs="Times New Roman" w:eastAsia="Times New Roman" w:hAnsi="Times New Roman"/>
          <w:sz w:val="17"/>
          <w:szCs w:val="17"/>
          <w:b w:val="1"/>
          <w:bCs w:val="1"/>
          <w:i w:val="1"/>
          <w:iCs w:val="1"/>
          <w:color w:val="auto"/>
        </w:rPr>
      </w:pPr>
    </w:p>
    <w:p>
      <w:pPr>
        <w:ind w:left="620" w:hanging="307"/>
        <w:spacing w:after="0" w:line="267" w:lineRule="auto"/>
        <w:tabs>
          <w:tab w:leader="none" w:pos="616"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International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International is a combination of all other operating segments that are not individually material, including those geographic regions where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u w:val="single" w:color="auto"/>
          <w:color w:val="0000FF"/>
        </w:rPr>
        <w:t>Note 5</w:t>
      </w:r>
      <w:r>
        <w:rPr>
          <w:rFonts w:ascii="Times New Roman" w:cs="Times New Roman" w:eastAsia="Times New Roman" w:hAnsi="Times New Roman"/>
          <w:sz w:val="17"/>
          <w:szCs w:val="17"/>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2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250190</wp:posOffset>
            </wp:positionV>
            <wp:extent cx="188595" cy="163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segment net sales and earnings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2940" w:type="dxa"/>
            <w:vAlign w:val="bottom"/>
            <w:gridSpan w:val="4"/>
          </w:tcPr>
          <w:p>
            <w:pPr>
              <w:jc w:val="right"/>
              <w:ind w:right="795"/>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5"/>
                <w:szCs w:val="15"/>
                <w:b w:val="1"/>
                <w:bCs w:val="1"/>
                <w:color w:val="auto"/>
              </w:rPr>
              <w:t>October 3, 2021</w:t>
            </w:r>
          </w:p>
        </w:tc>
      </w:tr>
      <w:tr>
        <w:trPr>
          <w:trHeight w:val="200"/>
        </w:trPr>
        <w:tc>
          <w:tcPr>
            <w:tcW w:w="4920" w:type="dxa"/>
            <w:vAlign w:val="bottom"/>
            <w:tcBorders>
              <w:top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9"/>
        </w:trPr>
        <w:tc>
          <w:tcPr>
            <w:tcW w:w="4920" w:type="dxa"/>
            <w:vAlign w:val="bottom"/>
            <w:gridSpan w:val="7"/>
          </w:tcPr>
          <w:p>
            <w:pPr>
              <w:ind w:left="180"/>
              <w:spacing w:after="0"/>
              <w:rPr>
                <w:sz w:val="20"/>
                <w:szCs w:val="20"/>
                <w:color w:val="auto"/>
              </w:rPr>
            </w:pPr>
            <w:r>
              <w:rPr>
                <w:rFonts w:ascii="Times New Roman" w:cs="Times New Roman" w:eastAsia="Times New Roman" w:hAnsi="Times New Roman"/>
                <w:sz w:val="17"/>
                <w:szCs w:val="17"/>
                <w:color w:val="auto"/>
              </w:rPr>
              <w:t>North America Confectionery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2,235,550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2,024,243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6,361,695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5,700,031</w:t>
            </w:r>
          </w:p>
        </w:tc>
      </w:tr>
      <w:tr>
        <w:trPr>
          <w:trHeight w:val="219"/>
        </w:trPr>
        <w:tc>
          <w:tcPr>
            <w:tcW w:w="492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North America Salty Snacks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396,729</w:t>
            </w:r>
          </w:p>
        </w:tc>
      </w:tr>
      <w:tr>
        <w:trPr>
          <w:trHeight w:val="219"/>
        </w:trPr>
        <w:tc>
          <w:tcPr>
            <w:tcW w:w="4920" w:type="dxa"/>
            <w:vAlign w:val="bottom"/>
            <w:tcBorders>
              <w:bottom w:val="single" w:sz="8" w:color="CCEEFF"/>
            </w:tcBorders>
            <w:gridSpan w:val="7"/>
          </w:tcPr>
          <w:p>
            <w:pPr>
              <w:ind w:left="180"/>
              <w:spacing w:after="0"/>
              <w:rPr>
                <w:sz w:val="20"/>
                <w:szCs w:val="20"/>
                <w:color w:val="auto"/>
              </w:rPr>
            </w:pPr>
            <w:r>
              <w:rPr>
                <w:rFonts w:ascii="Times New Roman" w:cs="Times New Roman" w:eastAsia="Times New Roman" w:hAnsi="Times New Roman"/>
                <w:sz w:val="17"/>
                <w:szCs w:val="17"/>
                <w:color w:val="auto"/>
              </w:rPr>
              <w:t>International</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217,579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188,488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647,818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548,449</w:t>
            </w:r>
          </w:p>
        </w:tc>
      </w:tr>
      <w:tr>
        <w:trPr>
          <w:trHeight w:val="237"/>
        </w:trPr>
        <w:tc>
          <w:tcPr>
            <w:tcW w:w="492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2,728,153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2,359,839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7,766,956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6,645,209</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4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income: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4920" w:type="dxa"/>
            <w:vAlign w:val="bottom"/>
            <w:gridSpan w:val="7"/>
          </w:tcPr>
          <w:p>
            <w:pPr>
              <w:ind w:left="180"/>
              <w:spacing w:after="0"/>
              <w:rPr>
                <w:sz w:val="20"/>
                <w:szCs w:val="20"/>
                <w:color w:val="auto"/>
              </w:rPr>
            </w:pPr>
            <w:r>
              <w:rPr>
                <w:rFonts w:ascii="Times New Roman" w:cs="Times New Roman" w:eastAsia="Times New Roman" w:hAnsi="Times New Roman"/>
                <w:sz w:val="17"/>
                <w:szCs w:val="17"/>
                <w:color w:val="auto"/>
              </w:rPr>
              <w:t>North America Confectionery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706,815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655,599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2,107,564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1,852,692</w:t>
            </w:r>
          </w:p>
        </w:tc>
      </w:tr>
      <w:tr>
        <w:trPr>
          <w:trHeight w:val="219"/>
        </w:trPr>
        <w:tc>
          <w:tcPr>
            <w:tcW w:w="492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North America Salty Snacks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81,058</w:t>
            </w:r>
          </w:p>
        </w:tc>
      </w:tr>
      <w:tr>
        <w:trPr>
          <w:trHeight w:val="219"/>
        </w:trPr>
        <w:tc>
          <w:tcPr>
            <w:tcW w:w="4920" w:type="dxa"/>
            <w:vAlign w:val="bottom"/>
            <w:tcBorders>
              <w:bottom w:val="single" w:sz="8" w:color="CCEEFF"/>
            </w:tcBorders>
            <w:gridSpan w:val="7"/>
          </w:tcPr>
          <w:p>
            <w:pPr>
              <w:ind w:left="180"/>
              <w:spacing w:after="0"/>
              <w:rPr>
                <w:sz w:val="20"/>
                <w:szCs w:val="20"/>
                <w:color w:val="auto"/>
              </w:rPr>
            </w:pPr>
            <w:r>
              <w:rPr>
                <w:rFonts w:ascii="Times New Roman" w:cs="Times New Roman" w:eastAsia="Times New Roman" w:hAnsi="Times New Roman"/>
                <w:sz w:val="17"/>
                <w:szCs w:val="17"/>
                <w:color w:val="auto"/>
              </w:rPr>
              <w:t>International</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74,526</w:t>
            </w:r>
          </w:p>
        </w:tc>
      </w:tr>
      <w:tr>
        <w:trPr>
          <w:trHeight w:val="212"/>
        </w:trPr>
        <w:tc>
          <w:tcPr>
            <w:tcW w:w="4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segment income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786,710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704,788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2,318,872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2,008,276</w:t>
            </w:r>
          </w:p>
        </w:tc>
      </w:tr>
      <w:tr>
        <w:trPr>
          <w:trHeight w:val="219"/>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Unallocated corporate expense (1)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518,834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434,070</w:t>
            </w:r>
          </w:p>
        </w:tc>
      </w:tr>
      <w:tr>
        <w:trPr>
          <w:trHeight w:val="168"/>
        </w:trPr>
        <w:tc>
          <w:tcPr>
            <w:tcW w:w="4920" w:type="dxa"/>
            <w:vAlign w:val="bottom"/>
            <w:gridSpan w:val="7"/>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Unallocated mark-to-market losses (gains) on commodity</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32"/>
        </w:trPr>
        <w:tc>
          <w:tcPr>
            <w:tcW w:w="4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(24,137)</w:t>
            </w:r>
          </w:p>
        </w:tc>
      </w:tr>
      <w:tr>
        <w:trPr>
          <w:trHeight w:val="180"/>
        </w:trPr>
        <w:tc>
          <w:tcPr>
            <w:tcW w:w="4920" w:type="dxa"/>
            <w:vAlign w:val="bottom"/>
            <w:gridSpan w:val="7"/>
          </w:tcPr>
          <w:p>
            <w:pPr>
              <w:ind w:left="20"/>
              <w:spacing w:after="0" w:line="181" w:lineRule="exact"/>
              <w:rPr>
                <w:sz w:val="20"/>
                <w:szCs w:val="20"/>
                <w:color w:val="auto"/>
              </w:rPr>
            </w:pPr>
            <w:r>
              <w:rPr>
                <w:rFonts w:ascii="Times New Roman" w:cs="Times New Roman" w:eastAsia="Times New Roman" w:hAnsi="Times New Roman"/>
                <w:sz w:val="17"/>
                <w:szCs w:val="17"/>
                <w:color w:val="auto"/>
              </w:rPr>
              <w:t xml:space="preserve">Costs associated with business realignment activities (see </w:t>
            </w:r>
            <w:r>
              <w:rPr>
                <w:rFonts w:ascii="Times New Roman" w:cs="Times New Roman" w:eastAsia="Times New Roman" w:hAnsi="Times New Roman"/>
                <w:sz w:val="17"/>
                <w:szCs w:val="17"/>
                <w:color w:val="0000FF"/>
              </w:rPr>
              <w:t>Note 9</w:t>
            </w:r>
            <w:r>
              <w:rPr>
                <w:rFonts w:ascii="Times New Roman" w:cs="Times New Roman" w:eastAsia="Times New Roman" w:hAnsi="Times New Roman"/>
                <w:sz w:val="17"/>
                <w:szCs w:val="17"/>
                <w:color w:val="auto"/>
              </w:rPr>
              <w:t>)</w:t>
            </w:r>
          </w:p>
        </w:tc>
        <w:tc>
          <w:tcPr>
            <w:tcW w:w="160" w:type="dxa"/>
            <w:vAlign w:val="bottom"/>
          </w:tcPr>
          <w:p>
            <w:pPr>
              <w:spacing w:after="0"/>
              <w:rPr>
                <w:sz w:val="15"/>
                <w:szCs w:val="15"/>
                <w:color w:val="auto"/>
              </w:rPr>
            </w:pPr>
          </w:p>
        </w:tc>
        <w:tc>
          <w:tcPr>
            <w:tcW w:w="13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3,397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2,373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13,793</w:t>
            </w: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0000FF"/>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1"/>
        </w:trPr>
        <w:tc>
          <w:tcPr>
            <w:tcW w:w="49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556,620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1,734,141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1,584,550</w:t>
            </w:r>
          </w:p>
        </w:tc>
      </w:tr>
      <w:tr>
        <w:trPr>
          <w:trHeight w:val="180"/>
        </w:trPr>
        <w:tc>
          <w:tcPr>
            <w:tcW w:w="4920" w:type="dxa"/>
            <w:vAlign w:val="bottom"/>
            <w:gridSpan w:val="7"/>
          </w:tcPr>
          <w:p>
            <w:pPr>
              <w:ind w:left="20"/>
              <w:spacing w:after="0" w:line="181" w:lineRule="exact"/>
              <w:rPr>
                <w:sz w:val="20"/>
                <w:szCs w:val="20"/>
                <w:color w:val="auto"/>
              </w:rPr>
            </w:pPr>
            <w:r>
              <w:rPr>
                <w:rFonts w:ascii="Times New Roman" w:cs="Times New Roman" w:eastAsia="Times New Roman" w:hAnsi="Times New Roman"/>
                <w:sz w:val="17"/>
                <w:szCs w:val="17"/>
                <w:color w:val="auto"/>
              </w:rPr>
              <w:t xml:space="preserve">Interest expense, net (see </w:t>
            </w:r>
            <w:r>
              <w:rPr>
                <w:rFonts w:ascii="Times New Roman" w:cs="Times New Roman" w:eastAsia="Times New Roman" w:hAnsi="Times New Roman"/>
                <w:sz w:val="17"/>
                <w:szCs w:val="17"/>
                <w:color w:val="0000FF"/>
              </w:rPr>
              <w:t>Note 4</w:t>
            </w:r>
            <w:r>
              <w:rPr>
                <w:rFonts w:ascii="Times New Roman" w:cs="Times New Roman" w:eastAsia="Times New Roman" w:hAnsi="Times New Roman"/>
                <w:sz w:val="17"/>
                <w:szCs w:val="17"/>
                <w:color w:val="auto"/>
              </w:rPr>
              <w:t>)</w:t>
            </w:r>
          </w:p>
        </w:tc>
        <w:tc>
          <w:tcPr>
            <w:tcW w:w="160" w:type="dxa"/>
            <w:vAlign w:val="bottom"/>
          </w:tcPr>
          <w:p>
            <w:pPr>
              <w:spacing w:after="0"/>
              <w:rPr>
                <w:sz w:val="15"/>
                <w:szCs w:val="15"/>
                <w:color w:val="auto"/>
              </w:rPr>
            </w:pPr>
          </w:p>
        </w:tc>
        <w:tc>
          <w:tcPr>
            <w:tcW w:w="13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35,378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30,154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101,970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97,655</w:t>
            </w:r>
          </w:p>
        </w:tc>
      </w:tr>
      <w:tr>
        <w:trPr>
          <w:trHeight w:val="29"/>
        </w:trPr>
        <w:tc>
          <w:tcPr>
            <w:tcW w:w="18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4920" w:type="dxa"/>
            <w:vAlign w:val="bottom"/>
            <w:gridSpan w:val="7"/>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 xml:space="preserve">Other (income) expense, net (see </w:t>
            </w:r>
            <w:r>
              <w:rPr>
                <w:rFonts w:ascii="Times New Roman" w:cs="Times New Roman" w:eastAsia="Times New Roman" w:hAnsi="Times New Roman"/>
                <w:sz w:val="17"/>
                <w:szCs w:val="17"/>
                <w:color w:val="0000FF"/>
              </w:rPr>
              <w:t>Note 17</w:t>
            </w: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48,157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23,004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78,222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32,612</w:t>
            </w:r>
          </w:p>
        </w:tc>
      </w:tr>
      <w:tr>
        <w:trPr>
          <w:trHeight w:val="211"/>
        </w:trPr>
        <w:tc>
          <w:tcPr>
            <w:tcW w:w="232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560" w:type="dxa"/>
            <w:vAlign w:val="bottom"/>
            <w:tcBorders>
              <w:top w:val="single" w:sz="8" w:color="0000FF"/>
            </w:tcBorders>
          </w:tcPr>
          <w:p>
            <w:pPr>
              <w:spacing w:after="0"/>
              <w:rPr>
                <w:sz w:val="18"/>
                <w:szCs w:val="18"/>
                <w:color w:val="auto"/>
              </w:rPr>
            </w:pPr>
          </w:p>
        </w:tc>
        <w:tc>
          <w:tcPr>
            <w:tcW w:w="2040" w:type="dxa"/>
            <w:vAlign w:val="bottom"/>
            <w:tcBorders>
              <w:top w:val="single" w:sz="8" w:color="CCEEFF"/>
            </w:tcBorders>
            <w:gridSpan w:val="3"/>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473,085</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521,673</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1,553,949</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1,454,283</w:t>
            </w:r>
          </w:p>
        </w:tc>
      </w:tr>
      <w:tr>
        <w:trPr>
          <w:trHeight w:val="20"/>
        </w:trPr>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320" w:right="120" w:hanging="317"/>
        <w:spacing w:after="0" w:line="270" w:lineRule="auto"/>
        <w:tabs>
          <w:tab w:leader="none" w:pos="31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within the unallocated mark-to-market adjustment for commodity derivatives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gridSpan w:val="5"/>
          </w:tcPr>
          <w:p>
            <w:pPr>
              <w:ind w:left="7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2940" w:type="dxa"/>
            <w:vAlign w:val="bottom"/>
            <w:gridSpan w:val="4"/>
          </w:tcPr>
          <w:p>
            <w:pPr>
              <w:ind w:left="72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01"/>
        </w:trPr>
        <w:tc>
          <w:tcPr>
            <w:tcW w:w="4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0" w:type="dxa"/>
            <w:vAlign w:val="bottom"/>
          </w:tcPr>
          <w:p>
            <w:pPr>
              <w:spacing w:after="0"/>
              <w:rPr>
                <w:sz w:val="1"/>
                <w:szCs w:val="1"/>
                <w:color w:val="auto"/>
              </w:rPr>
            </w:pPr>
          </w:p>
        </w:tc>
      </w:tr>
      <w:tr>
        <w:trPr>
          <w:trHeight w:val="149"/>
        </w:trPr>
        <w:tc>
          <w:tcPr>
            <w:tcW w:w="4920" w:type="dxa"/>
            <w:vAlign w:val="bottom"/>
            <w:tcBorders>
              <w:top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Net losses (gains) on mark-to-market valuation of commodity</w:t>
            </w:r>
          </w:p>
        </w:tc>
        <w:tc>
          <w:tcPr>
            <w:tcW w:w="1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positions recognized in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(33,643)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center"/>
              <w:ind w:left="598"/>
              <w:spacing w:after="0"/>
              <w:rPr>
                <w:sz w:val="20"/>
                <w:szCs w:val="20"/>
                <w:color w:val="auto"/>
              </w:rPr>
            </w:pPr>
            <w:r>
              <w:rPr>
                <w:rFonts w:ascii="Times New Roman" w:cs="Times New Roman" w:eastAsia="Times New Roman" w:hAnsi="Times New Roman"/>
                <w:sz w:val="17"/>
                <w:szCs w:val="17"/>
                <w:color w:val="auto"/>
                <w:w w:val="99"/>
              </w:rPr>
              <w:t>(28,027)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7"/>
                <w:szCs w:val="17"/>
                <w:color w:val="auto"/>
                <w:w w:val="99"/>
              </w:rPr>
              <w:t>(64,199)</w:t>
            </w:r>
          </w:p>
        </w:tc>
        <w:tc>
          <w:tcPr>
            <w:tcW w:w="0" w:type="dxa"/>
            <w:vAlign w:val="bottom"/>
          </w:tcPr>
          <w:p>
            <w:pPr>
              <w:spacing w:after="0"/>
              <w:rPr>
                <w:sz w:val="1"/>
                <w:szCs w:val="1"/>
                <w:color w:val="auto"/>
              </w:rPr>
            </w:pPr>
          </w:p>
        </w:tc>
      </w:tr>
      <w:tr>
        <w:trPr>
          <w:trHeight w:val="168"/>
        </w:trPr>
        <w:tc>
          <w:tcPr>
            <w:tcW w:w="49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Net gains on commodity derivative positions reclassified from</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unallocated to segment income</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636"/>
              <w:spacing w:after="0"/>
              <w:rPr>
                <w:sz w:val="20"/>
                <w:szCs w:val="20"/>
                <w:color w:val="auto"/>
              </w:rPr>
            </w:pPr>
            <w:r>
              <w:rPr>
                <w:rFonts w:ascii="Times New Roman" w:cs="Times New Roman" w:eastAsia="Times New Roman" w:hAnsi="Times New Roman"/>
                <w:sz w:val="17"/>
                <w:szCs w:val="17"/>
                <w:color w:val="auto"/>
              </w:rPr>
              <w:t>15,175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638"/>
              <w:spacing w:after="0"/>
              <w:rPr>
                <w:sz w:val="20"/>
                <w:szCs w:val="20"/>
                <w:color w:val="auto"/>
              </w:rPr>
            </w:pPr>
            <w:r>
              <w:rPr>
                <w:rFonts w:ascii="Times New Roman" w:cs="Times New Roman" w:eastAsia="Times New Roman" w:hAnsi="Times New Roman"/>
                <w:sz w:val="17"/>
                <w:szCs w:val="17"/>
                <w:color w:val="auto"/>
                <w:w w:val="98"/>
              </w:rPr>
              <w:t>91,551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636"/>
              <w:spacing w:after="0"/>
              <w:rPr>
                <w:sz w:val="20"/>
                <w:szCs w:val="20"/>
                <w:color w:val="auto"/>
              </w:rPr>
            </w:pPr>
            <w:r>
              <w:rPr>
                <w:rFonts w:ascii="Times New Roman" w:cs="Times New Roman" w:eastAsia="Times New Roman" w:hAnsi="Times New Roman"/>
                <w:sz w:val="17"/>
                <w:szCs w:val="17"/>
                <w:color w:val="auto"/>
              </w:rPr>
              <w:t>40,062</w:t>
            </w:r>
          </w:p>
        </w:tc>
        <w:tc>
          <w:tcPr>
            <w:tcW w:w="0" w:type="dxa"/>
            <w:vAlign w:val="bottom"/>
          </w:tcPr>
          <w:p>
            <w:pPr>
              <w:spacing w:after="0"/>
              <w:rPr>
                <w:sz w:val="1"/>
                <w:szCs w:val="1"/>
                <w:color w:val="auto"/>
              </w:rPr>
            </w:pPr>
          </w:p>
        </w:tc>
      </w:tr>
      <w:tr>
        <w:trPr>
          <w:trHeight w:val="148"/>
        </w:trPr>
        <w:tc>
          <w:tcPr>
            <w:tcW w:w="49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Net losses (gains) on mark-to-market valuation of commodity</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9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derivative positions recognized in unallocated derivative (gains)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vMerge w:val="restart"/>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(18,468)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CEEFF"/>
          </w:tcPr>
          <w:p>
            <w:pPr>
              <w:jc w:val="center"/>
              <w:ind w:left="638"/>
              <w:spacing w:after="0"/>
              <w:rPr>
                <w:sz w:val="20"/>
                <w:szCs w:val="20"/>
                <w:color w:val="auto"/>
              </w:rPr>
            </w:pPr>
            <w:r>
              <w:rPr>
                <w:rFonts w:ascii="Times New Roman" w:cs="Times New Roman" w:eastAsia="Times New Roman" w:hAnsi="Times New Roman"/>
                <w:sz w:val="17"/>
                <w:szCs w:val="17"/>
                <w:color w:val="auto"/>
                <w:w w:val="98"/>
              </w:rPr>
              <w:t>63,524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vMerge w:val="restart"/>
            <w:shd w:val="clear" w:color="auto" w:fill="CCEEFF"/>
          </w:tcPr>
          <w:p>
            <w:pPr>
              <w:jc w:val="center"/>
              <w:ind w:left="616"/>
              <w:spacing w:after="0"/>
              <w:rPr>
                <w:sz w:val="20"/>
                <w:szCs w:val="20"/>
                <w:color w:val="auto"/>
              </w:rPr>
            </w:pPr>
            <w:r>
              <w:rPr>
                <w:rFonts w:ascii="Times New Roman" w:cs="Times New Roman" w:eastAsia="Times New Roman" w:hAnsi="Times New Roman"/>
                <w:sz w:val="17"/>
                <w:szCs w:val="17"/>
                <w:color w:val="auto"/>
                <w:w w:val="99"/>
              </w:rPr>
              <w:t>(24,137)</w:t>
            </w:r>
          </w:p>
        </w:tc>
        <w:tc>
          <w:tcPr>
            <w:tcW w:w="0" w:type="dxa"/>
            <w:vAlign w:val="bottom"/>
          </w:tcPr>
          <w:p>
            <w:pPr>
              <w:spacing w:after="0"/>
              <w:rPr>
                <w:sz w:val="1"/>
                <w:szCs w:val="1"/>
                <w:color w:val="auto"/>
              </w:rPr>
            </w:pPr>
          </w:p>
        </w:tc>
      </w:tr>
      <w:tr>
        <w:trPr>
          <w:trHeight w:val="21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As of October 2, 2022, the cumulative amount of mark-to-market gains on commodity derivatives that have been recognized in our consolidated cost of sales and not yet allocated to reportable segments was $23,389. Based on our forecasts of the timing of the recognition of the underlying hedged items, we expect to reclassify net pre-tax gains on commodity derivatives of $32,656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450850</wp:posOffset>
            </wp:positionV>
            <wp:extent cx="188595" cy="163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and amortization expense included within segment income presented above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gridSpan w:val="5"/>
          </w:tcPr>
          <w:p>
            <w:pPr>
              <w:ind w:left="7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2940" w:type="dxa"/>
            <w:vAlign w:val="bottom"/>
            <w:gridSpan w:val="4"/>
          </w:tcPr>
          <w:p>
            <w:pPr>
              <w:jc w:val="right"/>
              <w:ind w:right="796"/>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4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October 3, 2021</w:t>
            </w:r>
          </w:p>
        </w:tc>
      </w:tr>
      <w:tr>
        <w:trPr>
          <w:trHeight w:val="21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 America Confectionery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53,124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157,313</w:t>
            </w:r>
          </w:p>
        </w:tc>
      </w:tr>
      <w:tr>
        <w:trPr>
          <w:trHeight w:val="219"/>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North America Salty Snacks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20,909</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17,203</w:t>
            </w:r>
          </w:p>
        </w:tc>
      </w:tr>
      <w:tr>
        <w:trPr>
          <w:trHeight w:val="21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36,528</w:t>
            </w: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231,953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information regarding our net sales disaggregated by geographical region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796"/>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01"/>
        </w:trPr>
        <w:tc>
          <w:tcPr>
            <w:tcW w:w="4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20" w:type="dxa"/>
            <w:vAlign w:val="bottom"/>
          </w:tcPr>
          <w:p>
            <w:pPr>
              <w:spacing w:after="0"/>
              <w:rPr>
                <w:sz w:val="17"/>
                <w:szCs w:val="17"/>
                <w:color w:val="auto"/>
              </w:rPr>
            </w:pP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0" w:type="dxa"/>
            <w:vAlign w:val="bottom"/>
          </w:tcPr>
          <w:p>
            <w:pPr>
              <w:spacing w:after="0"/>
              <w:rPr>
                <w:sz w:val="1"/>
                <w:szCs w:val="1"/>
                <w:color w:val="auto"/>
              </w:rPr>
            </w:pPr>
          </w:p>
        </w:tc>
      </w:tr>
      <w:tr>
        <w:trPr>
          <w:trHeight w:val="20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2,392,590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2,017,378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6,793,283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5,681,498</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 other countries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342,461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973,673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963,711</w:t>
            </w:r>
          </w:p>
        </w:tc>
        <w:tc>
          <w:tcPr>
            <w:tcW w:w="0" w:type="dxa"/>
            <w:vAlign w:val="bottom"/>
          </w:tcPr>
          <w:p>
            <w:pPr>
              <w:spacing w:after="0"/>
              <w:rPr>
                <w:sz w:val="1"/>
                <w:szCs w:val="1"/>
                <w:color w:val="auto"/>
              </w:rPr>
            </w:pPr>
          </w:p>
        </w:tc>
      </w:tr>
      <w:tr>
        <w:trPr>
          <w:trHeight w:val="212"/>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2,728,153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2,359,839</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7,766,956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6,645,209</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14. TREASURY STOCK ACTIVITY</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our treasury stock activity is as follows: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9"/>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w w:val="99"/>
              </w:rPr>
              <w:t>Nine Months Ended October 2, 2022</w:t>
            </w:r>
          </w:p>
        </w:tc>
        <w:tc>
          <w:tcPr>
            <w:tcW w:w="0" w:type="dxa"/>
            <w:vAlign w:val="bottom"/>
          </w:tcPr>
          <w:p>
            <w:pPr>
              <w:spacing w:after="0"/>
              <w:rPr>
                <w:sz w:val="1"/>
                <w:szCs w:val="1"/>
                <w:color w:val="auto"/>
              </w:rPr>
            </w:pPr>
          </w:p>
        </w:tc>
      </w:tr>
      <w:tr>
        <w:trPr>
          <w:trHeight w:val="212"/>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Dollars</w:t>
            </w: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Milton Hershey School Trust repurchase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203,350</w:t>
            </w:r>
          </w:p>
        </w:tc>
        <w:tc>
          <w:tcPr>
            <w:tcW w:w="0" w:type="dxa"/>
            <w:vAlign w:val="bottom"/>
          </w:tcPr>
          <w:p>
            <w:pPr>
              <w:spacing w:after="0"/>
              <w:rPr>
                <w:sz w:val="1"/>
                <w:szCs w:val="1"/>
                <w:color w:val="auto"/>
              </w:rPr>
            </w:pPr>
          </w:p>
        </w:tc>
      </w:tr>
      <w:tr>
        <w:trPr>
          <w:trHeight w:val="168"/>
        </w:trPr>
        <w:tc>
          <w:tcPr>
            <w:tcW w:w="7960" w:type="dxa"/>
            <w:vAlign w:val="bottom"/>
            <w:gridSpan w:val="7"/>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repurchased in the open market to replace Treasury Stock issued for stock options and incentive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679,000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151,921</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 repurchases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355,271</w:t>
            </w: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Shares issued for stock options and incentive compensation</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(638,400)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(26,564)</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change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1,040,600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328,707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February 2022, the Company entered into a Stock Purchase Agreement with Hershey Trust Company, as trustee for the Milton Hershey School Trust (the “School Trust”), pursuant to which the Company purchased 1,000,000 shares of the Company’s Common Stock from the School Trust at a price equal to $203.35 per share, for a total purchase price of $203,350.</w:t>
      </w:r>
    </w:p>
    <w:p>
      <w:pPr>
        <w:spacing w:after="0" w:line="1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July 2018, our Board of Directors approved a $500,000 share repurchase authorization to repurchase shares of our Common Stock. As of October 2, 2022, $109,983 remained available for repurchases of our Common Stock under this program. In May 2021, our Board of Directors approved an additional $500,000 share repurchase authorization. This program is to commence after the existing 2018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554355</wp:posOffset>
            </wp:positionV>
            <wp:extent cx="188595" cy="163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CONTINGENCIES</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454660</wp:posOffset>
            </wp:positionV>
            <wp:extent cx="188595" cy="163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EARNINGS PER SHARE</w:t>
      </w:r>
    </w:p>
    <w:p>
      <w:pPr>
        <w:spacing w:after="0" w:line="16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We compute basic earnings per share for Common Stock and Class B common stock using the two-class method. The Class B common stock is convertible into Common Stock on a share-for-share basis at any time. In June 2022, 1,500,000 shares of Class B Common Stock were converted to Common Stock by Hershey Trust Company, as trustee for the School Trust.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5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4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3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4"/>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2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43"/>
              <w:spacing w:after="0" w:line="148" w:lineRule="exact"/>
              <w:rPr>
                <w:sz w:val="20"/>
                <w:szCs w:val="20"/>
                <w:color w:val="auto"/>
              </w:rPr>
            </w:pPr>
            <w:r>
              <w:rPr>
                <w:rFonts w:ascii="Times New Roman" w:cs="Times New Roman" w:eastAsia="Times New Roman" w:hAnsi="Times New Roman"/>
                <w:sz w:val="15"/>
                <w:szCs w:val="15"/>
                <w:b w:val="1"/>
                <w:bCs w:val="1"/>
                <w:color w:val="auto"/>
              </w:rPr>
              <w:t>Class B</w:t>
            </w:r>
          </w:p>
        </w:tc>
        <w:tc>
          <w:tcPr>
            <w:tcW w:w="100" w:type="dxa"/>
            <w:vAlign w:val="bottom"/>
          </w:tcPr>
          <w:p>
            <w:pPr>
              <w:spacing w:after="0"/>
              <w:rPr>
                <w:sz w:val="12"/>
                <w:szCs w:val="12"/>
                <w:color w:val="auto"/>
              </w:rPr>
            </w:pPr>
          </w:p>
        </w:tc>
        <w:tc>
          <w:tcPr>
            <w:tcW w:w="124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23"/>
              <w:spacing w:after="0" w:line="148" w:lineRule="exact"/>
              <w:rPr>
                <w:sz w:val="20"/>
                <w:szCs w:val="20"/>
                <w:color w:val="auto"/>
              </w:rPr>
            </w:pPr>
            <w:r>
              <w:rPr>
                <w:rFonts w:ascii="Times New Roman" w:cs="Times New Roman" w:eastAsia="Times New Roman" w:hAnsi="Times New Roman"/>
                <w:sz w:val="15"/>
                <w:szCs w:val="15"/>
                <w:b w:val="1"/>
                <w:bCs w:val="1"/>
                <w:color w:val="auto"/>
              </w:rPr>
              <w:t>Class B</w:t>
            </w:r>
          </w:p>
        </w:tc>
        <w:tc>
          <w:tcPr>
            <w:tcW w:w="0" w:type="dxa"/>
            <w:vAlign w:val="bottom"/>
          </w:tcPr>
          <w:p>
            <w:pPr>
              <w:spacing w:after="0"/>
              <w:rPr>
                <w:sz w:val="1"/>
                <w:szCs w:val="1"/>
                <w:color w:val="auto"/>
              </w:rPr>
            </w:pPr>
          </w:p>
        </w:tc>
      </w:tr>
      <w:tr>
        <w:trPr>
          <w:trHeight w:val="205"/>
        </w:trPr>
        <w:tc>
          <w:tcPr>
            <w:tcW w:w="64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240" w:type="dxa"/>
            <w:vAlign w:val="bottom"/>
            <w:gridSpan w:val="3"/>
            <w:vMerge w:val="continue"/>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0" w:type="dxa"/>
            <w:vAlign w:val="bottom"/>
          </w:tcPr>
          <w:p>
            <w:pPr>
              <w:spacing w:after="0"/>
              <w:rPr>
                <w:sz w:val="1"/>
                <w:szCs w:val="1"/>
                <w:color w:val="auto"/>
              </w:rPr>
            </w:pPr>
          </w:p>
        </w:tc>
      </w:tr>
      <w:tr>
        <w:trPr>
          <w:trHeight w:val="187"/>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earnings per share:</w:t>
            </w: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Numerator: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Allocation of distributed earnings (cash dividends paid)</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152,262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54,743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131,247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49,643</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Allocation of undistributed earnings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141,630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50,852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191,575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72,462</w:t>
            </w: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earnings—basic</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293,892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105,595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322,822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122,105</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Denominator (shares in thousands):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weighted-average shares—basic</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147,169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58,114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145,665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125"/>
        </w:trPr>
        <w:tc>
          <w:tcPr>
            <w:tcW w:w="6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6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Earnings Per Share—basic</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earnings per share: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Numerator:</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Allocation of total earnings used in basic computation</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293,892</w:t>
            </w:r>
          </w:p>
        </w:tc>
        <w:tc>
          <w:tcPr>
            <w:tcW w:w="12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105,595</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322,822</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122,105</w:t>
            </w: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Reallocation of total earnings as a result of conversion of Class B common stock to Common</w:t>
            </w:r>
          </w:p>
        </w:tc>
        <w:tc>
          <w:tcPr>
            <w:tcW w:w="3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105,595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122,105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w:t>
            </w:r>
          </w:p>
        </w:tc>
        <w:tc>
          <w:tcPr>
            <w:tcW w:w="3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Reallocation of undistributed earnings</w:t>
            </w:r>
          </w:p>
        </w:tc>
        <w:tc>
          <w:tcPr>
            <w:tcW w:w="3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w:t>
            </w:r>
          </w:p>
        </w:tc>
        <w:tc>
          <w:tcPr>
            <w:tcW w:w="0" w:type="dxa"/>
            <w:vAlign w:val="bottom"/>
          </w:tcPr>
          <w:p>
            <w:pPr>
              <w:spacing w:after="0"/>
              <w:rPr>
                <w:sz w:val="1"/>
                <w:szCs w:val="1"/>
                <w:color w:val="auto"/>
              </w:rPr>
            </w:pPr>
          </w:p>
        </w:tc>
      </w:tr>
      <w:tr>
        <w:trPr>
          <w:trHeight w:val="202"/>
        </w:trPr>
        <w:tc>
          <w:tcPr>
            <w:tcW w:w="6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earnings—diluted</w:t>
            </w: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399,487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105,344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444,927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121,736</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Denominator (shares in thousands):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Number of shares used in basic computation</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147,169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58,114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145,665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Weighted-average effect of dilutive securities: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Conversion of Class B common stock to Common shares outstanding</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Employee stock options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Performance and restricted stock units</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4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weighted-average shares—diluted</w:t>
            </w: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206,274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58,114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207,426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Earnings Per Share—diluted</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earnings per share calculations for the three months ended October 2, 2022 excluded 4 stock options (in thousands), that would have been antidilutive. There were no antidilutive stock options for the three months ended October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311150</wp:posOffset>
            </wp:positionV>
            <wp:extent cx="188595" cy="163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5"/>
          </w:tcPr>
          <w:p>
            <w:pPr>
              <w:ind w:left="38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260" w:type="dxa"/>
            <w:vAlign w:val="bottom"/>
          </w:tcPr>
          <w:p>
            <w:pPr>
              <w:spacing w:after="0"/>
              <w:rPr>
                <w:sz w:val="17"/>
                <w:szCs w:val="17"/>
                <w:color w:val="auto"/>
              </w:rPr>
            </w:pPr>
          </w:p>
        </w:tc>
        <w:tc>
          <w:tcPr>
            <w:tcW w:w="2080" w:type="dxa"/>
            <w:vAlign w:val="bottom"/>
            <w:gridSpan w:val="4"/>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2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43"/>
              <w:spacing w:after="0" w:line="149" w:lineRule="exact"/>
              <w:rPr>
                <w:sz w:val="20"/>
                <w:szCs w:val="20"/>
                <w:color w:val="auto"/>
              </w:rPr>
            </w:pPr>
            <w:r>
              <w:rPr>
                <w:rFonts w:ascii="Times New Roman" w:cs="Times New Roman" w:eastAsia="Times New Roman" w:hAnsi="Times New Roman"/>
                <w:sz w:val="15"/>
                <w:szCs w:val="15"/>
                <w:b w:val="1"/>
                <w:bCs w:val="1"/>
                <w:color w:val="auto"/>
              </w:rPr>
              <w:t>Class B</w:t>
            </w:r>
          </w:p>
        </w:tc>
        <w:tc>
          <w:tcPr>
            <w:tcW w:w="100" w:type="dxa"/>
            <w:vAlign w:val="bottom"/>
          </w:tcPr>
          <w:p>
            <w:pPr>
              <w:spacing w:after="0"/>
              <w:rPr>
                <w:sz w:val="12"/>
                <w:szCs w:val="12"/>
                <w:color w:val="auto"/>
              </w:rPr>
            </w:pPr>
          </w:p>
        </w:tc>
        <w:tc>
          <w:tcPr>
            <w:tcW w:w="124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23"/>
              <w:spacing w:after="0" w:line="149" w:lineRule="exact"/>
              <w:rPr>
                <w:sz w:val="20"/>
                <w:szCs w:val="20"/>
                <w:color w:val="auto"/>
              </w:rPr>
            </w:pPr>
            <w:r>
              <w:rPr>
                <w:rFonts w:ascii="Times New Roman" w:cs="Times New Roman" w:eastAsia="Times New Roman" w:hAnsi="Times New Roman"/>
                <w:sz w:val="15"/>
                <w:szCs w:val="15"/>
                <w:b w:val="1"/>
                <w:bCs w:val="1"/>
                <w:color w:val="auto"/>
              </w:rPr>
              <w:t>Class B</w:t>
            </w:r>
          </w:p>
        </w:tc>
        <w:tc>
          <w:tcPr>
            <w:tcW w:w="0" w:type="dxa"/>
            <w:vAlign w:val="bottom"/>
          </w:tcPr>
          <w:p>
            <w:pPr>
              <w:spacing w:after="0"/>
              <w:rPr>
                <w:sz w:val="1"/>
                <w:szCs w:val="1"/>
                <w:color w:val="auto"/>
              </w:rPr>
            </w:pPr>
          </w:p>
        </w:tc>
      </w:tr>
      <w:tr>
        <w:trPr>
          <w:trHeight w:val="205"/>
        </w:trPr>
        <w:tc>
          <w:tcPr>
            <w:tcW w:w="64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240" w:type="dxa"/>
            <w:vAlign w:val="bottom"/>
            <w:gridSpan w:val="3"/>
            <w:vMerge w:val="continue"/>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0" w:type="dxa"/>
            <w:vAlign w:val="bottom"/>
          </w:tcPr>
          <w:p>
            <w:pPr>
              <w:spacing w:after="0"/>
              <w:rPr>
                <w:sz w:val="1"/>
                <w:szCs w:val="1"/>
                <w:color w:val="auto"/>
              </w:rPr>
            </w:pPr>
          </w:p>
        </w:tc>
      </w:tr>
      <w:tr>
        <w:trPr>
          <w:trHeight w:val="187"/>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earnings per share:</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Numerator: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Allocation of distributed earnings (cash dividends paid)</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415,599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152,390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366,934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138,260</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Allocation of undistributed earnings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498,070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182,462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462,505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174,257</w:t>
            </w: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earnings—basic</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913,669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334,852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829,439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312,517</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Denominator (shares in thousands):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weighted-average shares—basic</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146,557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59,058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146,259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125"/>
        </w:trPr>
        <w:tc>
          <w:tcPr>
            <w:tcW w:w="6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6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Earnings Per Share—basic</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5.67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4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earnings per share: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Numerator:</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Allocation of total earnings used in basic computation</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913,669</w:t>
            </w:r>
          </w:p>
        </w:tc>
        <w:tc>
          <w:tcPr>
            <w:tcW w:w="12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334,852</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829,439</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312,517</w:t>
            </w: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Reallocation of total earnings as a result of conversion of Class B common stock to Common</w:t>
            </w: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334,852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312,517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w:t>
            </w:r>
          </w:p>
        </w:tc>
        <w:tc>
          <w:tcPr>
            <w:tcW w:w="2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Reallocation of undistributed earnings</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(847)</w:t>
            </w:r>
          </w:p>
        </w:tc>
        <w:tc>
          <w:tcPr>
            <w:tcW w:w="0" w:type="dxa"/>
            <w:vAlign w:val="bottom"/>
          </w:tcPr>
          <w:p>
            <w:pPr>
              <w:spacing w:after="0"/>
              <w:rPr>
                <w:sz w:val="1"/>
                <w:szCs w:val="1"/>
                <w:color w:val="auto"/>
              </w:rPr>
            </w:pPr>
          </w:p>
        </w:tc>
      </w:tr>
      <w:tr>
        <w:trPr>
          <w:trHeight w:val="202"/>
        </w:trPr>
        <w:tc>
          <w:tcPr>
            <w:tcW w:w="6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earnings—diluted</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1,248,521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333,898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1,141,956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311,670</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Denominator (shares in thousands):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Number of shares used in basic computation</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146,557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59,058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146,259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Weighted-average effect of dilutive securities: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Conversion of Class B common stock to Common shares outstanding</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Employee stock options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Performance and restricted stock units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4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weighted-average shares—diluted</w:t>
            </w: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206,667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59,058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207,857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60,614</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Earnings Per Share—diluted</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earnings per share calculations for the nine months ended October 2, 2022 and October 3, 2021 excluded 4 and 43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237490</wp:posOffset>
            </wp:positionV>
            <wp:extent cx="188595" cy="163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OTHER (INCOME) EXPENSE, NET</w:t>
      </w:r>
    </w:p>
    <w:p>
      <w:pPr>
        <w:spacing w:after="0" w:line="24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Other (income) expense, net reports certain gains and losses associated with activities not directly related to our core operations. A summary of the components of other (income) expense, net is as follows:</w:t>
      </w: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5"/>
          </w:tcPr>
          <w:p>
            <w:pPr>
              <w:ind w:left="7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80" w:type="dxa"/>
            <w:vAlign w:val="bottom"/>
          </w:tcPr>
          <w:p>
            <w:pPr>
              <w:spacing w:after="0"/>
              <w:rPr>
                <w:sz w:val="17"/>
                <w:szCs w:val="17"/>
                <w:color w:val="auto"/>
              </w:rPr>
            </w:pPr>
          </w:p>
        </w:tc>
        <w:tc>
          <w:tcPr>
            <w:tcW w:w="3000" w:type="dxa"/>
            <w:vAlign w:val="bottom"/>
            <w:gridSpan w:val="4"/>
          </w:tcPr>
          <w:p>
            <w:pPr>
              <w:jc w:val="right"/>
              <w:ind w:right="836"/>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3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October 3, 2021</w:t>
            </w:r>
          </w:p>
        </w:tc>
      </w:tr>
      <w:tr>
        <w:trPr>
          <w:trHeight w:val="158"/>
        </w:trPr>
        <w:tc>
          <w:tcPr>
            <w:tcW w:w="4760" w:type="dxa"/>
            <w:vAlign w:val="bottom"/>
            <w:tcBorders>
              <w:top w:val="single" w:sz="8" w:color="CCEEFF"/>
            </w:tcBorders>
            <w:gridSpan w:val="4"/>
            <w:shd w:val="clear" w:color="auto" w:fill="CCEEFF"/>
          </w:tcPr>
          <w:p>
            <w:pPr>
              <w:ind w:left="20"/>
              <w:spacing w:after="0" w:line="159" w:lineRule="exact"/>
              <w:rPr>
                <w:sz w:val="20"/>
                <w:szCs w:val="20"/>
                <w:color w:val="auto"/>
              </w:rPr>
            </w:pPr>
            <w:r>
              <w:rPr>
                <w:rFonts w:ascii="Times New Roman" w:cs="Times New Roman" w:eastAsia="Times New Roman" w:hAnsi="Times New Roman"/>
                <w:sz w:val="17"/>
                <w:szCs w:val="17"/>
                <w:color w:val="auto"/>
              </w:rPr>
              <w:t>Write-down of equity investments in partnerships qualifying for</w:t>
            </w: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84"/>
        </w:trPr>
        <w:tc>
          <w:tcPr>
            <w:tcW w:w="4760" w:type="dxa"/>
            <w:vAlign w:val="bottom"/>
            <w:gridSpan w:val="4"/>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 xml:space="preserve">historic and renewable energy tax credits (see </w:t>
            </w:r>
            <w:r>
              <w:rPr>
                <w:rFonts w:ascii="Times New Roman" w:cs="Times New Roman" w:eastAsia="Times New Roman" w:hAnsi="Times New Roman"/>
                <w:sz w:val="17"/>
                <w:szCs w:val="17"/>
                <w:color w:val="0000FF"/>
              </w:rPr>
              <w:t>Note 8</w:t>
            </w: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43,314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20,963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70,754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rPr>
              <w:t>28,734</w:t>
            </w:r>
          </w:p>
        </w:tc>
      </w:tr>
      <w:tr>
        <w:trPr>
          <w:trHeight w:val="39"/>
        </w:trPr>
        <w:tc>
          <w:tcPr>
            <w:tcW w:w="320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r>
        <w:trPr>
          <w:trHeight w:val="177"/>
        </w:trPr>
        <w:tc>
          <w:tcPr>
            <w:tcW w:w="4760" w:type="dxa"/>
            <w:vAlign w:val="bottom"/>
            <w:gridSpan w:val="4"/>
          </w:tcPr>
          <w:p>
            <w:pPr>
              <w:ind w:left="20"/>
              <w:spacing w:after="0" w:line="177" w:lineRule="exact"/>
              <w:rPr>
                <w:sz w:val="20"/>
                <w:szCs w:val="20"/>
                <w:color w:val="auto"/>
              </w:rPr>
            </w:pPr>
            <w:r>
              <w:rPr>
                <w:rFonts w:ascii="Times New Roman" w:cs="Times New Roman" w:eastAsia="Times New Roman" w:hAnsi="Times New Roman"/>
                <w:sz w:val="17"/>
                <w:szCs w:val="17"/>
                <w:color w:val="auto"/>
              </w:rPr>
              <w:t>Non-service cost components of net periodic benefit cost relating to</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3"/>
        </w:trPr>
        <w:tc>
          <w:tcPr>
            <w:tcW w:w="476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7"/>
                <w:szCs w:val="17"/>
                <w:color w:val="auto"/>
              </w:rPr>
              <w:t xml:space="preserve">pension and other post-retirement benefit plans (see </w:t>
            </w:r>
            <w:r>
              <w:rPr>
                <w:rFonts w:ascii="Times New Roman" w:cs="Times New Roman" w:eastAsia="Times New Roman" w:hAnsi="Times New Roman"/>
                <w:sz w:val="17"/>
                <w:szCs w:val="17"/>
                <w:color w:val="0000FF"/>
              </w:rPr>
              <w:t>Note 11</w:t>
            </w:r>
            <w:r>
              <w:rPr>
                <w:rFonts w:ascii="Times New Roman" w:cs="Times New Roman" w:eastAsia="Times New Roman" w:hAnsi="Times New Roman"/>
                <w:sz w:val="17"/>
                <w:szCs w:val="17"/>
                <w:color w:val="auto"/>
              </w:rPr>
              <w:t>)</w:t>
            </w:r>
          </w:p>
        </w:tc>
        <w:tc>
          <w:tcPr>
            <w:tcW w:w="180" w:type="dxa"/>
            <w:vAlign w:val="bottom"/>
          </w:tcPr>
          <w:p>
            <w:pPr>
              <w:spacing w:after="0"/>
              <w:rPr>
                <w:sz w:val="16"/>
                <w:szCs w:val="16"/>
                <w:color w:val="auto"/>
              </w:rPr>
            </w:pPr>
          </w:p>
        </w:tc>
        <w:tc>
          <w:tcPr>
            <w:tcW w:w="1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4,895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1,952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7,462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3,772</w:t>
            </w:r>
          </w:p>
        </w:tc>
      </w:tr>
      <w:tr>
        <w:trPr>
          <w:trHeight w:val="228"/>
        </w:trPr>
        <w:tc>
          <w:tcPr>
            <w:tcW w:w="36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500" w:type="dxa"/>
            <w:vAlign w:val="bottom"/>
            <w:tcBorders>
              <w:top w:val="single" w:sz="8" w:color="0000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12"/>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48,157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23,004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78,222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32,612</w:t>
            </w:r>
          </w:p>
        </w:tc>
      </w:tr>
      <w:tr>
        <w:trPr>
          <w:trHeight w:val="20"/>
        </w:trPr>
        <w:tc>
          <w:tcPr>
            <w:tcW w:w="3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RELATED PARTY TRANSACTIONS</w:t>
      </w:r>
    </w:p>
    <w:p>
      <w:pPr>
        <w:spacing w:after="0" w:line="169"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Hershey Trust Company, as trustee for the trust established by Milton S. and Catherine S. Hershey that has as its sole beneficiary the School Trust, maintains voting control over The Hershey Company.</w:t>
      </w:r>
    </w:p>
    <w:p>
      <w:pPr>
        <w:spacing w:after="0" w:line="10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In any given year, we may engage in certain transactions with Hershey Trust Company, Milton Hershey School, the Milton Hershey School Trust and companies owned by and/or affiliated with any of the foregoing. Most transactions with these related parties are immaterial and do not require disclosure, but certain transactions are more significant in nature and have been deemed material for disclosure.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material related party transactions with Hershey Trust Company and/or its affiliates for the nine months ended October 2, 2022 is as follows: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Sale and Donation of Property, Plant and Equipment</w:t>
      </w:r>
    </w:p>
    <w:p>
      <w:pPr>
        <w:spacing w:after="0" w:line="2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May 2022, the Company entered into a Purchase and Sale Agreement (the “Purchase Agreement”) with Hershey Trust Company, as trustee for the School Trust, pursuant to which the Company agreed to sell certain real and personal property consisting of approximately six acres of land located in Hershey, Pennsylvania, together with portions of a building located on the land. Additionally, in June 2022, the Company entered into a Donation Agreement with Hershey Trust Company, as trustee for The M.S. Hershey Foundation, pursuant to which the Company agreed to donate a portion of the building concurrently with the closing of the Purchase Agreement. The sale and donation transactions closed in June 2022. Total proceeds from the sale were approximately $6,300 (net of transaction and closing costs), resulting in a loss of $13,568, which was recorded in the SM&amp;A expense caption within the Consolidated Statements of Income. The fair values of the disposed assets were supported by independent appraisals of fair market value and the proposed sales price submitted by a third-party buyer pursuant to a bona fide, arm’s length offer received prior to executing the Purchase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 Purchase Agreement</w:t>
      </w:r>
    </w:p>
    <w:p>
      <w:pPr>
        <w:spacing w:after="0" w:line="165"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 xml:space="preserve">In February 2022, the Company entered into a Stock Purchase Agreement with Hershey Trust Company, as trustee for the School Trust, pursuant to which the Company purchased shares of its Common Stock from the School Trust (see </w:t>
      </w:r>
      <w:r>
        <w:rPr>
          <w:rFonts w:ascii="Times New Roman" w:cs="Times New Roman" w:eastAsia="Times New Roman" w:hAnsi="Times New Roman"/>
          <w:sz w:val="17"/>
          <w:szCs w:val="17"/>
          <w:u w:val="single" w:color="auto"/>
          <w:color w:val="0000FF"/>
        </w:rPr>
        <w:t>Note 14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237490</wp:posOffset>
            </wp:positionV>
            <wp:extent cx="188595" cy="163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THE HERSHEY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SUPPLEMENTAL BALANCE SHEET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certain Consolidated Balance Sheet accounts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300" w:type="dxa"/>
            <w:vAlign w:val="bottom"/>
          </w:tcPr>
          <w:p>
            <w:pPr>
              <w:spacing w:after="0"/>
              <w:rPr>
                <w:sz w:val="17"/>
                <w:szCs w:val="17"/>
                <w:color w:val="auto"/>
              </w:rPr>
            </w:pPr>
          </w:p>
        </w:tc>
        <w:tc>
          <w:tcPr>
            <w:tcW w:w="196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89"/>
        </w:trPr>
        <w:tc>
          <w:tcPr>
            <w:tcW w:w="36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Inventories:</w:t>
            </w:r>
          </w:p>
        </w:tc>
        <w:tc>
          <w:tcPr>
            <w:tcW w:w="30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Raw materials</w:t>
            </w:r>
          </w:p>
        </w:tc>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360,789</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395,358</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Goods in process</w:t>
            </w:r>
          </w:p>
        </w:tc>
        <w:tc>
          <w:tcPr>
            <w:tcW w:w="3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148,837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110,008</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Finished goods</w:t>
            </w:r>
          </w:p>
        </w:tc>
        <w:tc>
          <w:tcPr>
            <w:tcW w:w="3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862,556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649,082</w:t>
            </w:r>
          </w:p>
        </w:tc>
      </w:tr>
      <w:tr>
        <w:trPr>
          <w:trHeight w:val="202"/>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Inventories at First In First Out</w:t>
            </w:r>
          </w:p>
        </w:tc>
        <w:tc>
          <w:tcPr>
            <w:tcW w:w="3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1,372,182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1,154,448</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Adjustment to Last In First Out</w:t>
            </w:r>
          </w:p>
        </w:tc>
        <w:tc>
          <w:tcPr>
            <w:tcW w:w="3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(187,797)</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(165,937)</w:t>
            </w:r>
          </w:p>
        </w:tc>
      </w:tr>
      <w:tr>
        <w:trPr>
          <w:trHeight w:val="222"/>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inventories</w:t>
            </w:r>
          </w:p>
        </w:tc>
        <w:tc>
          <w:tcPr>
            <w:tcW w:w="3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1,184,385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988,511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Prepaid expenses and other:</w:t>
            </w:r>
          </w:p>
        </w:tc>
        <w:tc>
          <w:tcPr>
            <w:tcW w:w="3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Prepaid expenses</w:t>
            </w:r>
          </w:p>
        </w:tc>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95,101</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129,287</w:t>
            </w:r>
          </w:p>
        </w:tc>
      </w:tr>
      <w:tr>
        <w:trPr>
          <w:trHeight w:val="206"/>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current assets</w:t>
            </w:r>
          </w:p>
        </w:tc>
        <w:tc>
          <w:tcPr>
            <w:tcW w:w="30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156,025</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127,678</w:t>
            </w:r>
          </w:p>
        </w:tc>
      </w:tr>
      <w:tr>
        <w:trPr>
          <w:trHeight w:val="202"/>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prepaid expenses and other</w:t>
            </w:r>
          </w:p>
        </w:tc>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251,126</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256,965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30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r>
      <w:tr>
        <w:trPr>
          <w:trHeight w:val="205"/>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Property, plant and equipment:</w:t>
            </w:r>
          </w:p>
        </w:tc>
        <w:tc>
          <w:tcPr>
            <w:tcW w:w="3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Land</w:t>
            </w:r>
          </w:p>
        </w:tc>
        <w:tc>
          <w:tcPr>
            <w:tcW w:w="3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155,546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154,494</w:t>
            </w: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Buildings</w:t>
            </w:r>
          </w:p>
        </w:tc>
        <w:tc>
          <w:tcPr>
            <w:tcW w:w="3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1,521,886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1,508,139</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Machinery and equipment</w:t>
            </w:r>
          </w:p>
        </w:tc>
        <w:tc>
          <w:tcPr>
            <w:tcW w:w="3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3,555,791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3,443,500</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Construction in progress</w:t>
            </w:r>
          </w:p>
        </w:tc>
        <w:tc>
          <w:tcPr>
            <w:tcW w:w="3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310,338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294,824</w:t>
            </w:r>
          </w:p>
        </w:tc>
      </w:tr>
      <w:tr>
        <w:trPr>
          <w:trHeight w:val="202"/>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Property, plant and equipment, gross</w:t>
            </w:r>
          </w:p>
        </w:tc>
        <w:tc>
          <w:tcPr>
            <w:tcW w:w="3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5,543,561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5,400,957</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Accumulated depreciation</w:t>
            </w:r>
          </w:p>
        </w:tc>
        <w:tc>
          <w:tcPr>
            <w:tcW w:w="3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(2,920,974)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(2,814,770)</w:t>
            </w:r>
          </w:p>
        </w:tc>
      </w:tr>
      <w:tr>
        <w:trPr>
          <w:trHeight w:val="222"/>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2,622,587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2,586,187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non-current assets:</w:t>
            </w:r>
          </w:p>
        </w:tc>
        <w:tc>
          <w:tcPr>
            <w:tcW w:w="3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Pension</w:t>
            </w:r>
          </w:p>
        </w:tc>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8,831</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71,618</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Capitalized software, net</w:t>
            </w:r>
          </w:p>
        </w:tc>
        <w:tc>
          <w:tcPr>
            <w:tcW w:w="3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311,585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260,656</w:t>
            </w: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Operating lease ROU assets</w:t>
            </w:r>
          </w:p>
        </w:tc>
        <w:tc>
          <w:tcPr>
            <w:tcW w:w="3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328,098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351,712</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Investments in unconsolidated affiliates</w:t>
            </w:r>
          </w:p>
        </w:tc>
        <w:tc>
          <w:tcPr>
            <w:tcW w:w="3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132,226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93,089</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3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107,666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91,128</w:t>
            </w:r>
          </w:p>
        </w:tc>
      </w:tr>
      <w:tr>
        <w:trPr>
          <w:trHeight w:val="222"/>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other non-current assets</w:t>
            </w:r>
          </w:p>
        </w:tc>
        <w:tc>
          <w:tcPr>
            <w:tcW w:w="3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888,406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868,203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Accrued liabilities:</w:t>
            </w:r>
          </w:p>
        </w:tc>
        <w:tc>
          <w:tcPr>
            <w:tcW w:w="3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Payroll, compensation and benefits</w:t>
            </w:r>
          </w:p>
        </w:tc>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255,807</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291,446</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Advertising, promotion and product allowances</w:t>
            </w:r>
          </w:p>
        </w:tc>
        <w:tc>
          <w:tcPr>
            <w:tcW w:w="3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367,787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305,050</w:t>
            </w: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31,415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36,292</w:t>
            </w:r>
          </w:p>
        </w:tc>
      </w:tr>
      <w:tr>
        <w:trPr>
          <w:trHeight w:val="206"/>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30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190,463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222,850</w:t>
            </w:r>
          </w:p>
        </w:tc>
      </w:tr>
      <w:tr>
        <w:trPr>
          <w:trHeight w:val="202"/>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accrued liabilities</w:t>
            </w:r>
          </w:p>
        </w:tc>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845,472</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855,638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30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r>
      <w:tr>
        <w:trPr>
          <w:trHeight w:val="205"/>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Other long-term liabilities:</w:t>
            </w:r>
          </w:p>
        </w:tc>
        <w:tc>
          <w:tcPr>
            <w:tcW w:w="3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Post-retirement benefits liabilities</w:t>
            </w:r>
          </w:p>
        </w:tc>
        <w:tc>
          <w:tcPr>
            <w:tcW w:w="3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181,486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193,604</w:t>
            </w: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Pension benefits liabilities</w:t>
            </w:r>
          </w:p>
        </w:tc>
        <w:tc>
          <w:tcPr>
            <w:tcW w:w="3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32,544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37,023</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295,694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310,899</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3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241,146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245,532</w:t>
            </w:r>
          </w:p>
        </w:tc>
      </w:tr>
      <w:tr>
        <w:trPr>
          <w:trHeight w:val="222"/>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other long-term liabilities</w:t>
            </w:r>
          </w:p>
        </w:tc>
        <w:tc>
          <w:tcPr>
            <w:tcW w:w="3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750,870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787,058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 other comprehensive loss:</w:t>
            </w:r>
          </w:p>
        </w:tc>
        <w:tc>
          <w:tcPr>
            <w:tcW w:w="3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(115,875)</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(100,025)</w:t>
            </w: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Pension and post-retirement benefit plans, net of tax</w:t>
            </w:r>
          </w:p>
        </w:tc>
        <w:tc>
          <w:tcPr>
            <w:tcW w:w="3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(153,744)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(116,381)</w:t>
            </w: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Cash flow hedges, net of tax</w:t>
            </w:r>
          </w:p>
        </w:tc>
        <w:tc>
          <w:tcPr>
            <w:tcW w:w="3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(26,431)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(32,809)</w:t>
            </w:r>
          </w:p>
        </w:tc>
      </w:tr>
      <w:tr>
        <w:trPr>
          <w:trHeight w:val="222"/>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accumulated other comprehensive loss</w:t>
            </w:r>
          </w:p>
        </w:tc>
        <w:tc>
          <w:tcPr>
            <w:tcW w:w="3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(296,050)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(249,215)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706"/>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Table of Contents</w:t>
            </w:r>
          </w:p>
        </w:tc>
        <w:tc>
          <w:tcPr>
            <w:tcW w:w="5340" w:type="dxa"/>
            <w:vAlign w:val="bottom"/>
            <w:gridSpan w:val="4"/>
          </w:tcPr>
          <w:p>
            <w:pPr>
              <w:ind w:left="280"/>
              <w:spacing w:after="0"/>
              <w:rPr>
                <w:sz w:val="20"/>
                <w:szCs w:val="20"/>
                <w:color w:val="auto"/>
              </w:rPr>
            </w:pPr>
            <w:r>
              <w:rPr>
                <w:rFonts w:ascii="Times New Roman" w:cs="Times New Roman" w:eastAsia="Times New Roman" w:hAnsi="Times New Roman"/>
                <w:sz w:val="15"/>
                <w:szCs w:val="15"/>
                <w:color w:val="auto"/>
              </w:rPr>
              <w:t>The Hershey Company | Q3 2022 Form 10-Q | Page 35</w:t>
            </w: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51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-498475</wp:posOffset>
            </wp:positionV>
            <wp:extent cx="188595" cy="163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line="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2021 Annual Report on Form 10-K for information concerning the key risks to achieving future performance goals.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MD&amp;A is organized in the following sections:</w:t>
      </w:r>
    </w:p>
    <w:p>
      <w:pPr>
        <w:spacing w:after="0" w:line="62" w:lineRule="exact"/>
        <w:rPr>
          <w:sz w:val="20"/>
          <w:szCs w:val="20"/>
          <w:color w:val="auto"/>
        </w:rPr>
      </w:pPr>
    </w:p>
    <w:p>
      <w:pPr>
        <w:ind w:left="860" w:hanging="547"/>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Overview</w:t>
      </w:r>
    </w:p>
    <w:p>
      <w:pPr>
        <w:spacing w:after="0" w:line="62" w:lineRule="exact"/>
        <w:rPr>
          <w:rFonts w:ascii="Times New Roman" w:cs="Times New Roman" w:eastAsia="Times New Roman" w:hAnsi="Times New Roman"/>
          <w:sz w:val="17"/>
          <w:szCs w:val="17"/>
          <w:color w:val="auto"/>
        </w:rPr>
      </w:pPr>
    </w:p>
    <w:p>
      <w:pPr>
        <w:ind w:left="860" w:hanging="547"/>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Trends Affecting Our Business</w:t>
      </w:r>
    </w:p>
    <w:p>
      <w:pPr>
        <w:spacing w:after="0" w:line="62" w:lineRule="exact"/>
        <w:rPr>
          <w:rFonts w:ascii="Times New Roman" w:cs="Times New Roman" w:eastAsia="Times New Roman" w:hAnsi="Times New Roman"/>
          <w:sz w:val="17"/>
          <w:szCs w:val="17"/>
          <w:color w:val="auto"/>
        </w:rPr>
      </w:pPr>
    </w:p>
    <w:p>
      <w:pPr>
        <w:ind w:left="860" w:hanging="547"/>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Consolidated Results of Operations</w:t>
      </w:r>
    </w:p>
    <w:p>
      <w:pPr>
        <w:spacing w:after="0" w:line="62" w:lineRule="exact"/>
        <w:rPr>
          <w:rFonts w:ascii="Times New Roman" w:cs="Times New Roman" w:eastAsia="Times New Roman" w:hAnsi="Times New Roman"/>
          <w:sz w:val="17"/>
          <w:szCs w:val="17"/>
          <w:color w:val="auto"/>
        </w:rPr>
      </w:pPr>
    </w:p>
    <w:p>
      <w:pPr>
        <w:ind w:left="860" w:hanging="547"/>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Segment Results</w:t>
      </w:r>
    </w:p>
    <w:p>
      <w:pPr>
        <w:spacing w:after="0" w:line="62" w:lineRule="exact"/>
        <w:rPr>
          <w:rFonts w:ascii="Times New Roman" w:cs="Times New Roman" w:eastAsia="Times New Roman" w:hAnsi="Times New Roman"/>
          <w:sz w:val="17"/>
          <w:szCs w:val="17"/>
          <w:color w:val="auto"/>
        </w:rPr>
      </w:pPr>
    </w:p>
    <w:p>
      <w:pPr>
        <w:ind w:left="860" w:hanging="547"/>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Liquidity and Capital Resources</w:t>
      </w:r>
    </w:p>
    <w:p>
      <w:pPr>
        <w:spacing w:after="0" w:line="62" w:lineRule="exact"/>
        <w:rPr>
          <w:rFonts w:ascii="Times New Roman" w:cs="Times New Roman" w:eastAsia="Times New Roman" w:hAnsi="Times New Roman"/>
          <w:sz w:val="17"/>
          <w:szCs w:val="17"/>
          <w:color w:val="auto"/>
        </w:rPr>
      </w:pPr>
    </w:p>
    <w:p>
      <w:pPr>
        <w:ind w:left="860" w:hanging="547"/>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Safe Harbor Statement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100 brand names in approximately 80 countries worldwide.</w:t>
      </w:r>
    </w:p>
    <w:p>
      <w:pPr>
        <w:spacing w:after="0" w:line="11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Acquisitions and Divestiture</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 xml:space="preserve">In December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Additionally, we completed the acquisition of Dot’s Pretzels, LLC (“Dot’s”), previously a privately held company that produces and sells pretzels and other snack food products to retailers and distributors in the United States, with </w:t>
      </w:r>
      <w:r>
        <w:rPr>
          <w:rFonts w:ascii="Times New Roman" w:cs="Times New Roman" w:eastAsia="Times New Roman" w:hAnsi="Times New Roman"/>
          <w:sz w:val="17"/>
          <w:szCs w:val="17"/>
          <w:i w:val="1"/>
          <w:iCs w:val="1"/>
          <w:color w:val="auto"/>
        </w:rPr>
        <w:t>Dot’s Homestyle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Pretzels </w:t>
      </w:r>
      <w:r>
        <w:rPr>
          <w:rFonts w:ascii="Times New Roman" w:cs="Times New Roman" w:eastAsia="Times New Roman" w:hAnsi="Times New Roman"/>
          <w:sz w:val="17"/>
          <w:szCs w:val="17"/>
          <w:color w:val="auto"/>
        </w:rPr>
        <w:t>snacks as its primary product. Dot’s is the fastest-growing scale brand in the pretzel category and complements Hershey’s snacks portfolio.</w:t>
      </w:r>
    </w:p>
    <w:p>
      <w:pPr>
        <w:spacing w:after="0" w:line="12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June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w:t>
      </w:r>
    </w:p>
    <w:p>
      <w:pPr>
        <w:spacing w:after="0" w:line="11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In January 2021, we completed the divestiture of Lotte Shanghai Foods Co., Ltd., which was previously included within the International segment results in our consolidated financial statements. Total proceeds from the divestiture and the impact on our consolidated financial statements were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245745</wp:posOffset>
            </wp:positionV>
            <wp:extent cx="188595" cy="163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 AFFECTING OUR BUSINESS</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 xml:space="preserve">On March 11, 2020, the World Health Organization designated coronavirus disease 2019 (“COVID-19”) as a global pandemic, which has spread worldwide and impacted various markets around the world, including the U.S. Throughout the pandemic we have remained committed to promoting the health and safety of our employees and communities and helping to maintain the global food supply. Through the first nine months of 2022, relatively minimal COVID-19 restrictions remained as vaccination status (including vaccine boosters) continued to increase around the world, albeit with slower than anticipated rollouts and challenges within certain countries. The lifting of restrictions has resulted in daily activities and habits being more representative of pre-pandemic times. However, beginning in 2021, and continuing through the nine months ended October 2, 2022, the continued strong demand for consumer goods and the effects of COVID-19 mitigation strategies have led to broad-based supply chain disruptions across the U.S. and globally, including inflation on many consumer products, labor shortages and demand outpacing supply. As a result, during the nine months ended October 2, 2022, we continued to experience corresponding incremental costs and gross margin pressures (see </w:t>
      </w:r>
      <w:r>
        <w:rPr>
          <w:rFonts w:ascii="Times New Roman" w:cs="Times New Roman" w:eastAsia="Times New Roman" w:hAnsi="Times New Roman"/>
          <w:sz w:val="17"/>
          <w:szCs w:val="17"/>
          <w:u w:val="single" w:color="auto"/>
          <w:color w:val="0000FF"/>
        </w:rPr>
        <w:t>Results of Operations</w:t>
      </w:r>
      <w:r>
        <w:rPr>
          <w:rFonts w:ascii="Times New Roman" w:cs="Times New Roman" w:eastAsia="Times New Roman" w:hAnsi="Times New Roman"/>
          <w:sz w:val="17"/>
          <w:szCs w:val="17"/>
          <w:color w:val="auto"/>
        </w:rPr>
        <w:t xml:space="preserve"> included in this MD&amp;A). We are continuing to work closely with our business units, contract manufacturers, distributors, contractors and other external business partners to minimize the potential impact on our business.</w:t>
      </w:r>
    </w:p>
    <w:p>
      <w:pPr>
        <w:spacing w:after="0" w:line="20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addition to COVID-19 and broad-based supply chain disruptions, certain geopolitical events, specifically the conflict between Russia and Ukraine, have increased global economic and political uncertainty. For the nine months ended October 2, 2022,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spacing w:after="0" w:line="19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 xml:space="preserve">We experienced an increase in our net sales during the three months ended October 2, 2022, which was primarily driven by strong everyday performance on our core U.S. confection brands and salty snack brands (see </w:t>
      </w:r>
      <w:r>
        <w:rPr>
          <w:rFonts w:ascii="Times New Roman" w:cs="Times New Roman" w:eastAsia="Times New Roman" w:hAnsi="Times New Roman"/>
          <w:sz w:val="17"/>
          <w:szCs w:val="17"/>
          <w:u w:val="single" w:color="auto"/>
          <w:color w:val="0000FF"/>
        </w:rPr>
        <w:t>Segment Results</w:t>
      </w:r>
      <w:r>
        <w:rPr>
          <w:rFonts w:ascii="Times New Roman" w:cs="Times New Roman" w:eastAsia="Times New Roman" w:hAnsi="Times New Roman"/>
          <w:sz w:val="17"/>
          <w:szCs w:val="17"/>
          <w:color w:val="auto"/>
        </w:rPr>
        <w:t xml:space="preserve"> included in this MD&amp;A), partially offset by the aforementioned supply chain disruptions and gross margin pressures. As of October 2, 2022, we believe we have sufficient liquidity to satisfy our key strategic initiatives and other material cash requirements; however, we continue to evaluate and take action, as necessary, to preserve adequate liquidity and ensure that our business can operate effectively in the current economic environment. We continue to monitor our discretionary spending across the organization (see </w:t>
      </w:r>
      <w:r>
        <w:rPr>
          <w:rFonts w:ascii="Times New Roman" w:cs="Times New Roman" w:eastAsia="Times New Roman" w:hAnsi="Times New Roman"/>
          <w:sz w:val="17"/>
          <w:szCs w:val="17"/>
          <w:u w:val="single" w:color="auto"/>
          <w:color w:val="0000FF"/>
        </w:rPr>
        <w:t>Liquidity and Capital Resources</w:t>
      </w:r>
      <w:r>
        <w:rPr>
          <w:rFonts w:ascii="Times New Roman" w:cs="Times New Roman" w:eastAsia="Times New Roman" w:hAnsi="Times New Roman"/>
          <w:sz w:val="17"/>
          <w:szCs w:val="17"/>
          <w:color w:val="auto"/>
        </w:rPr>
        <w:t xml:space="preserve"> included in this MD&amp;A).</w:t>
      </w:r>
    </w:p>
    <w:p>
      <w:pPr>
        <w:spacing w:after="0" w:line="19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Based on the length and severity of COVID-19 and the conflict between Russia and Ukraine, including broad-based supply chain disruptions, rising levels of inflation, new trends in COVID-19 outbreaks and hotspots, the spread of and emergence of new COVID-19 variants, resurgences of COVID-19 cases and the continued distribution of vaccinations, we may experience continued volatility in retail foot traffic, consumer shopping and consumption behavior and may experience increasing supply chain costs and higher inflation. We will continue to evaluate the nature and extent of these potential and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399415</wp:posOffset>
            </wp:positionV>
            <wp:extent cx="188595" cy="163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3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1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0" w:type="dxa"/>
            <w:vAlign w:val="bottom"/>
          </w:tcPr>
          <w:p>
            <w:pPr>
              <w:spacing w:after="0"/>
              <w:rPr>
                <w:sz w:val="1"/>
                <w:szCs w:val="1"/>
                <w:color w:val="auto"/>
              </w:rPr>
            </w:pPr>
          </w:p>
        </w:tc>
      </w:tr>
      <w:tr>
        <w:trPr>
          <w:trHeight w:val="152"/>
        </w:trPr>
        <w:tc>
          <w:tcPr>
            <w:tcW w:w="3880" w:type="dxa"/>
            <w:vAlign w:val="bottom"/>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2,728.2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2,359.8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7,767.0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6,645.2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16.9 %</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Cost of sales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1,619.7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1,298.5</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24.7 %</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4,413.0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3,609.5</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22.3 %</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1,108.5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1,061.3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4.4 %</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3,354.0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3,035.7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10.5 %</w:t>
            </w:r>
          </w:p>
        </w:tc>
        <w:tc>
          <w:tcPr>
            <w:tcW w:w="0" w:type="dxa"/>
            <w:vAlign w:val="bottom"/>
          </w:tcPr>
          <w:p>
            <w:pPr>
              <w:spacing w:after="0"/>
              <w:rPr>
                <w:sz w:val="1"/>
                <w:szCs w:val="1"/>
                <w:color w:val="auto"/>
              </w:rPr>
            </w:pPr>
          </w:p>
        </w:tc>
      </w:tr>
      <w:tr>
        <w:trPr>
          <w:trHeight w:val="198"/>
        </w:trPr>
        <w:tc>
          <w:tcPr>
            <w:tcW w:w="3880" w:type="dxa"/>
            <w:vAlign w:val="bottom"/>
          </w:tcPr>
          <w:p>
            <w:pPr>
              <w:ind w:left="180"/>
              <w:spacing w:after="0"/>
              <w:rPr>
                <w:sz w:val="20"/>
                <w:szCs w:val="20"/>
                <w:color w:val="auto"/>
              </w:rPr>
            </w:pPr>
            <w:r>
              <w:rPr>
                <w:rFonts w:ascii="Times New Roman" w:cs="Times New Roman" w:eastAsia="Times New Roman" w:hAnsi="Times New Roman"/>
                <w:sz w:val="15"/>
                <w:szCs w:val="15"/>
                <w:i w:val="1"/>
                <w:iCs w:val="1"/>
                <w:color w:val="auto"/>
              </w:rPr>
              <w:t>Gross margin</w:t>
            </w:r>
          </w:p>
        </w:tc>
        <w:tc>
          <w:tcPr>
            <w:tcW w:w="280" w:type="dxa"/>
            <w:vAlign w:val="bottom"/>
          </w:tcPr>
          <w:p>
            <w:pPr>
              <w:spacing w:after="0"/>
              <w:rPr>
                <w:sz w:val="17"/>
                <w:szCs w:val="17"/>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5"/>
                <w:szCs w:val="15"/>
                <w:i w:val="1"/>
                <w:iCs w:val="1"/>
                <w:color w:val="auto"/>
              </w:rPr>
              <w:t>40.6 %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center"/>
              <w:ind w:left="263"/>
              <w:spacing w:after="0"/>
              <w:rPr>
                <w:sz w:val="20"/>
                <w:szCs w:val="20"/>
                <w:color w:val="auto"/>
              </w:rPr>
            </w:pPr>
            <w:r>
              <w:rPr>
                <w:rFonts w:ascii="Times New Roman" w:cs="Times New Roman" w:eastAsia="Times New Roman" w:hAnsi="Times New Roman"/>
                <w:sz w:val="15"/>
                <w:szCs w:val="15"/>
                <w:i w:val="1"/>
                <w:iCs w:val="1"/>
                <w:color w:val="auto"/>
              </w:rPr>
              <w:t>45.0 %</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center"/>
              <w:ind w:left="263"/>
              <w:spacing w:after="0"/>
              <w:rPr>
                <w:sz w:val="20"/>
                <w:szCs w:val="20"/>
                <w:color w:val="auto"/>
              </w:rPr>
            </w:pPr>
            <w:r>
              <w:rPr>
                <w:rFonts w:ascii="Times New Roman" w:cs="Times New Roman" w:eastAsia="Times New Roman" w:hAnsi="Times New Roman"/>
                <w:sz w:val="15"/>
                <w:szCs w:val="15"/>
                <w:i w:val="1"/>
                <w:iCs w:val="1"/>
                <w:color w:val="auto"/>
              </w:rPr>
              <w:t>43.2 %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5"/>
                <w:szCs w:val="15"/>
                <w:i w:val="1"/>
                <w:iCs w:val="1"/>
                <w:color w:val="auto"/>
              </w:rPr>
              <w:t>45.7 %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Selling, marketing &amp; administrative (“SM&amp;A”) expenses</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551.9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486.1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13.5 %</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1,619.6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1,448.4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11.8 %</w:t>
            </w:r>
          </w:p>
        </w:tc>
        <w:tc>
          <w:tcPr>
            <w:tcW w:w="0" w:type="dxa"/>
            <w:vAlign w:val="bottom"/>
          </w:tcPr>
          <w:p>
            <w:pPr>
              <w:spacing w:after="0"/>
              <w:rPr>
                <w:sz w:val="1"/>
                <w:szCs w:val="1"/>
                <w:color w:val="auto"/>
              </w:rPr>
            </w:pPr>
          </w:p>
        </w:tc>
      </w:tr>
      <w:tr>
        <w:trPr>
          <w:trHeight w:val="198"/>
        </w:trPr>
        <w:tc>
          <w:tcPr>
            <w:tcW w:w="3880" w:type="dxa"/>
            <w:vAlign w:val="bottom"/>
          </w:tcPr>
          <w:p>
            <w:pPr>
              <w:ind w:left="180"/>
              <w:spacing w:after="0"/>
              <w:rPr>
                <w:sz w:val="20"/>
                <w:szCs w:val="20"/>
                <w:color w:val="auto"/>
              </w:rPr>
            </w:pPr>
            <w:r>
              <w:rPr>
                <w:rFonts w:ascii="Times New Roman" w:cs="Times New Roman" w:eastAsia="Times New Roman" w:hAnsi="Times New Roman"/>
                <w:sz w:val="15"/>
                <w:szCs w:val="15"/>
                <w:i w:val="1"/>
                <w:iCs w:val="1"/>
                <w:color w:val="auto"/>
              </w:rPr>
              <w:t>SM&amp;A expense as a percent of net sales</w:t>
            </w:r>
          </w:p>
        </w:tc>
        <w:tc>
          <w:tcPr>
            <w:tcW w:w="280" w:type="dxa"/>
            <w:vAlign w:val="bottom"/>
          </w:tcPr>
          <w:p>
            <w:pPr>
              <w:spacing w:after="0"/>
              <w:rPr>
                <w:sz w:val="17"/>
                <w:szCs w:val="17"/>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5"/>
                <w:szCs w:val="15"/>
                <w:i w:val="1"/>
                <w:iCs w:val="1"/>
                <w:color w:val="auto"/>
              </w:rPr>
              <w:t>20.2 %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center"/>
              <w:ind w:left="263"/>
              <w:spacing w:after="0"/>
              <w:rPr>
                <w:sz w:val="20"/>
                <w:szCs w:val="20"/>
                <w:color w:val="auto"/>
              </w:rPr>
            </w:pPr>
            <w:r>
              <w:rPr>
                <w:rFonts w:ascii="Times New Roman" w:cs="Times New Roman" w:eastAsia="Times New Roman" w:hAnsi="Times New Roman"/>
                <w:sz w:val="15"/>
                <w:szCs w:val="15"/>
                <w:i w:val="1"/>
                <w:iCs w:val="1"/>
                <w:color w:val="auto"/>
              </w:rPr>
              <w:t>20.6 %</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center"/>
              <w:ind w:left="263"/>
              <w:spacing w:after="0"/>
              <w:rPr>
                <w:sz w:val="20"/>
                <w:szCs w:val="20"/>
                <w:color w:val="auto"/>
              </w:rPr>
            </w:pPr>
            <w:r>
              <w:rPr>
                <w:rFonts w:ascii="Times New Roman" w:cs="Times New Roman" w:eastAsia="Times New Roman" w:hAnsi="Times New Roman"/>
                <w:sz w:val="15"/>
                <w:szCs w:val="15"/>
                <w:i w:val="1"/>
                <w:iCs w:val="1"/>
                <w:color w:val="auto"/>
              </w:rPr>
              <w:t>20.9 %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5"/>
                <w:szCs w:val="15"/>
                <w:i w:val="1"/>
                <w:iCs w:val="1"/>
                <w:color w:val="auto"/>
              </w:rPr>
              <w:t>21.8 %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Business realignment activities</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NM</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w:t>
            </w: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profit</w:t>
            </w: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556.6</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574.8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1,734.1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1,584.6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9.4 %</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Operating profit margin</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5"/>
                <w:szCs w:val="15"/>
                <w:i w:val="1"/>
                <w:iCs w:val="1"/>
                <w:color w:val="auto"/>
              </w:rPr>
              <w:t>20.4 %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5"/>
                <w:szCs w:val="15"/>
                <w:i w:val="1"/>
                <w:iCs w:val="1"/>
                <w:color w:val="auto"/>
              </w:rPr>
              <w:t>24.4 %</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5"/>
                <w:szCs w:val="15"/>
                <w:i w:val="1"/>
                <w:iCs w:val="1"/>
                <w:color w:val="auto"/>
              </w:rPr>
              <w:t>22.3 %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5"/>
                <w:szCs w:val="15"/>
                <w:i w:val="1"/>
                <w:iCs w:val="1"/>
                <w:color w:val="auto"/>
              </w:rPr>
              <w:t>23.8 %</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 net</w:t>
            </w:r>
          </w:p>
        </w:tc>
        <w:tc>
          <w:tcPr>
            <w:tcW w:w="28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35.4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17.3 %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102.0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97.7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4.4 %</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Other (income) expense, net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23.0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109.3 %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139.9 %</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73.6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76.7</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305.4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311.3</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Effective income tax rate</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i w:val="1"/>
                <w:iCs w:val="1"/>
                <w:color w:val="auto"/>
              </w:rPr>
              <w:t>15.6%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i w:val="1"/>
                <w:iCs w:val="1"/>
                <w:color w:val="auto"/>
              </w:rPr>
              <w:t>14.7%</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i w:val="1"/>
                <w:iCs w:val="1"/>
                <w:color w:val="auto"/>
              </w:rPr>
              <w:t>19.7%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i w:val="1"/>
                <w:iCs w:val="1"/>
                <w:color w:val="auto"/>
              </w:rPr>
              <w:t>21.4%</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Net income including noncontrolling interest</w:t>
            </w:r>
          </w:p>
        </w:tc>
        <w:tc>
          <w:tcPr>
            <w:tcW w:w="28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399.5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444.9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1,248.5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1,143.0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9.2 %</w:t>
            </w:r>
          </w:p>
        </w:tc>
        <w:tc>
          <w:tcPr>
            <w:tcW w:w="0" w:type="dxa"/>
            <w:vAlign w:val="bottom"/>
          </w:tcPr>
          <w:p>
            <w:pPr>
              <w:spacing w:after="0"/>
              <w:rPr>
                <w:sz w:val="1"/>
                <w:szCs w:val="1"/>
                <w:color w:val="auto"/>
              </w:rPr>
            </w:pPr>
          </w:p>
        </w:tc>
      </w:tr>
      <w:tr>
        <w:trPr>
          <w:trHeight w:val="206"/>
        </w:trPr>
        <w:tc>
          <w:tcPr>
            <w:tcW w:w="3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Less: Net gain attributable to noncontrolling interest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NM</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2"/>
        </w:trPr>
        <w:tc>
          <w:tcPr>
            <w:tcW w:w="38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Net income attributable to The Hershey Company</w:t>
            </w: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399.5</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444.9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1,248.5</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1,141.9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9.3 %</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Net income per share—diluted</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1.94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center"/>
              <w:ind w:left="283"/>
              <w:spacing w:after="0"/>
              <w:rPr>
                <w:sz w:val="20"/>
                <w:szCs w:val="20"/>
                <w:color w:val="auto"/>
              </w:rPr>
            </w:pPr>
            <w:r>
              <w:rPr>
                <w:rFonts w:ascii="Times New Roman" w:cs="Times New Roman" w:eastAsia="Times New Roman" w:hAnsi="Times New Roman"/>
                <w:sz w:val="15"/>
                <w:szCs w:val="15"/>
                <w:color w:val="auto"/>
                <w:w w:val="98"/>
              </w:rPr>
              <w:t>2.14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center"/>
              <w:ind w:left="283"/>
              <w:spacing w:after="0"/>
              <w:rPr>
                <w:sz w:val="20"/>
                <w:szCs w:val="20"/>
                <w:color w:val="auto"/>
              </w:rPr>
            </w:pPr>
            <w:r>
              <w:rPr>
                <w:rFonts w:ascii="Times New Roman" w:cs="Times New Roman" w:eastAsia="Times New Roman" w:hAnsi="Times New Roman"/>
                <w:sz w:val="15"/>
                <w:szCs w:val="15"/>
                <w:color w:val="auto"/>
                <w:w w:val="98"/>
              </w:rPr>
              <w:t>6.04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center"/>
              <w:ind w:left="303"/>
              <w:spacing w:after="0"/>
              <w:rPr>
                <w:sz w:val="20"/>
                <w:szCs w:val="20"/>
                <w:color w:val="auto"/>
              </w:rPr>
            </w:pPr>
            <w:r>
              <w:rPr>
                <w:rFonts w:ascii="Times New Roman" w:cs="Times New Roman" w:eastAsia="Times New Roman" w:hAnsi="Times New Roman"/>
                <w:sz w:val="15"/>
                <w:szCs w:val="15"/>
                <w:color w:val="auto"/>
                <w:w w:val="98"/>
              </w:rPr>
              <w:t>5.49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NOTE: Percentage changes may not compute directly as shown due to rounding of amounts presented above.</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Third Quarter 2022 vs. Third Quarter 2021</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05" w:lineRule="exact"/>
        <w:rPr>
          <w:sz w:val="20"/>
          <w:szCs w:val="20"/>
          <w:color w:val="auto"/>
        </w:rPr>
      </w:pPr>
    </w:p>
    <w:p>
      <w:pPr>
        <w:ind w:left="40"/>
        <w:spacing w:after="0" w:line="270" w:lineRule="auto"/>
        <w:rPr>
          <w:sz w:val="20"/>
          <w:szCs w:val="20"/>
          <w:color w:val="auto"/>
        </w:rPr>
      </w:pPr>
      <w:r>
        <w:rPr>
          <w:rFonts w:ascii="Times New Roman" w:cs="Times New Roman" w:eastAsia="Times New Roman" w:hAnsi="Times New Roman"/>
          <w:sz w:val="17"/>
          <w:szCs w:val="17"/>
          <w:color w:val="auto"/>
        </w:rPr>
        <w:t>Net sales increased 15.6% in the third quarter of 2022 compared to the same period of 2021, reflecting a favorable price realization of 7.7% primarily due to higher list prices and favorable price elasticities across our reportable segments, a volume increase of 4.1% driven by increased consumer demand and a 4.1% benefit from the 2021 acquisitions of Pretzels and Dot’s. These increases were offset by an unfavorable impact from foreign currency exchange rates of 0.3%.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Key U.S. Marketplace Metrics</w:t>
      </w:r>
    </w:p>
    <w:p>
      <w:pPr>
        <w:spacing w:after="0" w:line="169" w:lineRule="exact"/>
        <w:rPr>
          <w:sz w:val="20"/>
          <w:szCs w:val="20"/>
          <w:color w:val="auto"/>
        </w:rPr>
      </w:pPr>
    </w:p>
    <w:p>
      <w:pPr>
        <w:ind w:left="40" w:right="20"/>
        <w:spacing w:after="0" w:line="270" w:lineRule="auto"/>
        <w:rPr>
          <w:sz w:val="20"/>
          <w:szCs w:val="20"/>
          <w:color w:val="auto"/>
        </w:rPr>
      </w:pPr>
      <w:r>
        <w:rPr>
          <w:rFonts w:ascii="Times New Roman" w:cs="Times New Roman" w:eastAsia="Times New Roman" w:hAnsi="Times New Roman"/>
          <w:sz w:val="17"/>
          <w:szCs w:val="17"/>
          <w:color w:val="auto"/>
        </w:rPr>
        <w:t>For the third quarter of 2022, our total U.S. retail takeaway increased 12.7% in the expanded multi-outlet combined plus convenience store channels (IRI MULO + C-Stores), which includes candy, mint, gum, salty snacks and grocery items. Our U.S. candy, mint and gum (“CMG”) consumer takeaway increased 12.2% and experienced a CMG market share gain of approximately 23 basis points.</w:t>
      </w:r>
    </w:p>
    <w:p>
      <w:pPr>
        <w:spacing w:after="0" w:line="114" w:lineRule="exact"/>
        <w:rPr>
          <w:sz w:val="20"/>
          <w:szCs w:val="20"/>
          <w:color w:val="auto"/>
        </w:rPr>
      </w:pPr>
    </w:p>
    <w:p>
      <w:pPr>
        <w:ind w:left="40" w:right="140"/>
        <w:spacing w:after="0" w:line="261" w:lineRule="auto"/>
        <w:rPr>
          <w:sz w:val="20"/>
          <w:szCs w:val="20"/>
          <w:color w:val="auto"/>
        </w:rPr>
      </w:pPr>
      <w:r>
        <w:rPr>
          <w:rFonts w:ascii="Times New Roman" w:cs="Times New Roman" w:eastAsia="Times New Roman" w:hAnsi="Times New Roman"/>
          <w:sz w:val="17"/>
          <w:szCs w:val="17"/>
          <w:color w:val="auto"/>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6969125</wp:posOffset>
            </wp:positionH>
            <wp:positionV relativeFrom="paragraph">
              <wp:posOffset>252095</wp:posOffset>
            </wp:positionV>
            <wp:extent cx="188595" cy="163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0"/>
        <w:spacing w:after="0"/>
        <w:tabs>
          <w:tab w:leader="none" w:pos="394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327660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280" w:top="120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Cost of Sales and Gross Margin</w:t>
      </w:r>
    </w:p>
    <w:p>
      <w:pPr>
        <w:spacing w:after="0" w:line="105"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Cost of sales increased 24.7% in the third quarter of 2022 compared to the same period of 2021. The increase was driven by higher sales volume, higher supply chain inflation costs, including higher logistics and labor costs, and an incremental $47.7 million of unfavorable mark-to-market activity on our commodity derivative instruments intended to economically hedge future years’ commodity purchases. The increase was partially offset by favorable price realization and supply chain productivity.</w:t>
      </w:r>
    </w:p>
    <w:p>
      <w:pPr>
        <w:spacing w:after="0" w:line="12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Gross margin decreased by 440 basis points in the third quarter of 2022 compared to the same period of 2021. The decrease was driven by unfavorable year-over-year mark-to-market impact from commodity derivative instruments, higher supply chain inflation costs, including higher logistics and labor costs, and unfavorable product mix. These declines were offset by favorable price realization and volume increases.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SM&amp;A Expenses</w:t>
      </w:r>
    </w:p>
    <w:p>
      <w:pPr>
        <w:spacing w:after="0" w:line="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SM&amp;A expenses increased $65.8 million, or 13.5%, in the third quarter of 2022 compared to the same period of 2021. Total advertising and related consumer marketing expenses increased 5.4% driven by advertising increases in our confectionery brands and increased investment in our salty snacks portfolio, which were partially offset by cost efficiencies related to new media partners. SM&amp;A expenses, excluding advertising and related consumer marketing, increased approximately 17.8% in the third quarter of 2022 driven by an increase in acquisition and integration related costs, as well as higher compensation costs and investments in capabilities and technology.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Realignment Activities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 xml:space="preserve">We periodically undertake business realignment activities designed to increase our efficiency and focus our business in support of our key growth strategies. In the third quarter of 2022, we recorded no business realignment costs versus costs of $0.4 million in the third quarter of 2021 related to the International Optimization Program. This program is focused on optimizing our China operating model to improve our operational efficiency and provide for a strong, sustainable and simplified base going forward. Costs associated with business realignment activities are classified in our Consolidated Statements of Income as described in </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auto"/>
        </w:rPr>
        <w:t xml:space="preserve"> to the Unaudited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Profit and Operating Profit Margin</w:t>
      </w:r>
    </w:p>
    <w:p>
      <w:pPr>
        <w:spacing w:after="0" w:line="9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Operating profit was $556.6 million in the third quarter of 2022 compared to $574.8 million in the same period of 2021 predominantly due to higher SM&amp;A expenses, as noted above, partially offset by higher gross profit. Operating profit margin decreased to 20.4% in 2022 from 24.4% in 2021 driven by these same factors.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0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Net interest expense was $5.2 million higher in the third quarter of 2022 compared to the same period of 2021. The increase was primarily due to higher short-term debt balances in 2022 versus 2021, specifically outstanding commercial paper borrowings. This increase was partially offset by lower average long-term debt balances.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10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Other (income) expense, net was $48.1 million in the third quarter of 2022 versus net expense of $23.0 million in the third quarter of 2021. The increase in net expense was primarily due to higher write-downs on equity investments qualifying for tax credits in 2022 versus 2021 and higher non-service cost components of net periodic benefit cost relating to pension and other post-retirement benefit plans.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 and Effective Tax Rate</w:t>
      </w:r>
    </w:p>
    <w:p>
      <w:pPr>
        <w:spacing w:after="0" w:line="9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The effective income tax rate was 15.6% for the third quarter of 2022 compared with 14.7% for the third quarter of 2021. Relative to the 21% statutory rate, the 2022 effective tax rate was impacted by investment tax credits, partially offset by state taxes. Relative to the 21% statutory rate, the 2021 effective tax rate benefited from investment tax credits and the utilization (during the third quarter of 2021) of previously generated capital losses, partially offset by state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594360</wp:posOffset>
            </wp:positionV>
            <wp:extent cx="188595" cy="163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Net Income Attributable to The Hershey Company and Earnings Per Share-diluted</w:t>
      </w:r>
    </w:p>
    <w:p>
      <w:pPr>
        <w:spacing w:after="0" w:line="10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Net income decreased $45.4 million, or 10.2%, while EPS-diluted decreased $0.20, or 9.3%, in the third quarter of 2022 compared to the same period of 2021. The decrease in both net income and EPS-diluted was driven primarily by higher SM&amp;A expenses and higher other income and expenses, partially offset by higher gross profit and lower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First Nine Months 2022 vs. First Nine Months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0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Net sales increased 16.9% in the first nine months of 2022 compared to the same period of 2021, reflecting a favorable price realization of 7.7% primarily due to higher list prices across our reportable segments, a volume increase of 4.7% driven by an increase in everyday core brands across our reportable segments and a 4.6% benefit from the 2021 acquisitions of Pretzels, Dot’s and Lily’s. These increases were offset by an unfavorable impact from foreign currency exchange rates of 0.1%.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 and Gross Margin</w:t>
      </w:r>
    </w:p>
    <w:p>
      <w:pPr>
        <w:spacing w:after="0" w:line="105"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Cost of sales increased 22.3% in the first nine months of 2022 compared to the same period of 2021. The increase was driven by higher sales volume, higher supply chain inflation costs, including higher logistics and labor costs, unfavorable product mix and an incremental $36.2 million of unfavorable mark-to-market activity on our commodity derivative instruments intended to economically hedge future years’ commodity purchases. The increase was partially offset by favorable price realization and supply chain productivity.</w:t>
      </w:r>
    </w:p>
    <w:p>
      <w:pPr>
        <w:spacing w:after="0" w:line="4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Gross margin decreased by 250 basis points in the first nine months of 2022 compared to the same period of 2021. The decrease was driven by unfavorable year-over-year mark-to-market impact from commodity derivative instruments, higher supply chain inflation costs, including higher logistics and labor costs and unfavorable product mix. These declines were offset by favorable price realization and volume increases.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SM&amp;A Expenses</w:t>
      </w:r>
    </w:p>
    <w:p>
      <w:pPr>
        <w:spacing w:after="0" w:line="10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SM&amp;A expenses increased $171.1 million, or 11.8%, in the first nine months of 2022 compared to the same period of 2021. Total advertising and related consumer marketing expenses increased 2.5% driven by increases in the North America Salty Snacks and International segments to raise brand awareness. SM&amp;A expenses, excluding advertising and related consumer marketing, increased approximately 16.7% in the first nine months of 2022 driven by an increase in acquisition and integration related costs, as well as higher compensation costs and investments in capabilities and technology.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Realignment Activities</w:t>
      </w:r>
    </w:p>
    <w:p>
      <w:pPr>
        <w:spacing w:after="0" w:line="10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 xml:space="preserve">During the first nine months of 2022, we recorded business realignment costs of $0.3 million versus $2.7 million in the first nine months of 2021 related to the International Optimization Program. Costs associated with business realignment activities are classified in our Consolidated Statements of Income as described in </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to the Unaudited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Profit and Operating Profit Margin</w:t>
      </w:r>
    </w:p>
    <w:p>
      <w:pPr>
        <w:spacing w:after="0" w:line="9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Operating profit increased 9.4% in the first nine months of 2022 compared to the same period of 2021 predominantly due to higher gross profit, partially offset by higher SM&amp;A expenses, as noted above. Operating profit margin was 22.3% in 2022 and 23.8% in 2021 driven by the same factors noted above that resulted in lower gross margin for the period.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0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Net interest expense was $4.3 million higher in the first nine months of 2022 compared to the same period of 2021. The increase was primarily due to higher short-term debt balances in 2022 versus 2021, specifically outstanding commercial paper borrowings. The increase was partially offset due to lower average long-term debt balances, specifically resulting from the repayment of $84.7 million of 8.800% Debentures upon their maturity in February 2021 and $350 million of 3.100% Notes upon their maturity in May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250190</wp:posOffset>
            </wp:positionV>
            <wp:extent cx="188595" cy="163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10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Other (income) expense, net was $78.2 million in the first nine months of 2022 versus expense of $32.6 million in the first nine months of 2021. The increase in net expense was primarily due to higher write-downs on equity investments qualifying for tax credits in 2022 versus 2021 and higher non-service cost components of net periodic benefit cost relating to pension and other post-retirement benefit plans.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 and Effective Tax Rate</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Our effective income tax rate was 19.7% for the first nine months of 2022 compared with 21.4% for the first nine months of 2021. Relative to the 21% statutory rate, the 2022 effective tax rate was impacted by investment tax credits, partially offset by state taxes. Relative to the 21% statutory rate, the 2021 effective tax rate was impacted by incremental tax reserves incurred as a result of an adverse ruling in connection with a non-U.S. tax litigation matter as well as state taxes, partially offset by investment tax credits and the utilization (during the third quarter of 2021) of previously generated capital losses.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Attributable to The Hershey Company and Earnings Per Share-diluted</w:t>
      </w:r>
    </w:p>
    <w:p>
      <w:pPr>
        <w:spacing w:after="0" w:line="105"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7"/>
          <w:szCs w:val="17"/>
          <w:color w:val="auto"/>
        </w:rPr>
        <w:t>Net income increased $106.6 million, or 9.3%, while EPS-diluted increased $0.55, or 10.0%, in the first nine months of 2022 compared to the same period of 2021. The increase in both net income and EPS-diluted was driven primarily by higher gross profit and lower income taxes, partially offset by higher SM&amp;A expenses and higher other income and expenses. Our 2022 EPS-diluted also benefited from lower weighted-average shares outstanding as a result of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250190</wp:posOffset>
            </wp:positionV>
            <wp:extent cx="188595" cy="163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5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SEGMENT RESULTS</w:t>
      </w:r>
    </w:p>
    <w:p>
      <w:pPr>
        <w:spacing w:after="0" w:line="9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The summary that follows provides a discussion of the results of operations of our three reportable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Chief Operating Decision Maker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segment results, including a reconciliation to our consolidated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5"/>
          </w:tcPr>
          <w:p>
            <w:pPr>
              <w:ind w:left="6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2820" w:type="dxa"/>
            <w:vAlign w:val="bottom"/>
            <w:gridSpan w:val="4"/>
          </w:tcPr>
          <w:p>
            <w:pPr>
              <w:jc w:val="right"/>
              <w:ind w:right="735"/>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01"/>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0" w:type="dxa"/>
            <w:vAlign w:val="bottom"/>
          </w:tcPr>
          <w:p>
            <w:pPr>
              <w:spacing w:after="0"/>
              <w:rPr>
                <w:sz w:val="1"/>
                <w:szCs w:val="1"/>
                <w:color w:val="auto"/>
              </w:rPr>
            </w:pPr>
          </w:p>
        </w:tc>
      </w:tr>
      <w:tr>
        <w:trPr>
          <w:trHeight w:val="152"/>
        </w:trPr>
        <w:tc>
          <w:tcPr>
            <w:tcW w:w="522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North America Confectionery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5,700.0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North America Salty Snacks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International</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548.5</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6,645.2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Income: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North America Confectionery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North America Salty Snacks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International</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segment income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2,008.3</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Unallocated corporate expense (1)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mark-to-market losses (gains) on commodity derivatives (2)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Costs associated with business realignment activities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1,584.6</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1,553.9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1,454.3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20" w:right="40" w:hanging="317"/>
        <w:spacing w:after="0" w:line="279" w:lineRule="auto"/>
        <w:tabs>
          <w:tab w:leader="none" w:pos="3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43" w:lineRule="exact"/>
        <w:rPr>
          <w:rFonts w:ascii="Times New Roman" w:cs="Times New Roman" w:eastAsia="Times New Roman" w:hAnsi="Times New Roman"/>
          <w:sz w:val="15"/>
          <w:szCs w:val="15"/>
          <w:color w:val="auto"/>
        </w:rPr>
      </w:pPr>
    </w:p>
    <w:p>
      <w:pPr>
        <w:ind w:left="320" w:right="780" w:hanging="317"/>
        <w:spacing w:after="0" w:line="289" w:lineRule="auto"/>
        <w:tabs>
          <w:tab w:leader="none" w:pos="3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Net losses (gains) on mark-to-market valuation of commodity derivative positions recognized in unallocated derivative losses (gains). See </w:t>
      </w:r>
      <w:r>
        <w:rPr>
          <w:rFonts w:ascii="Times New Roman" w:cs="Times New Roman" w:eastAsia="Times New Roman" w:hAnsi="Times New Roman"/>
          <w:sz w:val="15"/>
          <w:szCs w:val="15"/>
          <w:u w:val="single" w:color="auto"/>
          <w:color w:val="0000FF"/>
        </w:rPr>
        <w:t>Note 13</w:t>
      </w:r>
      <w:r>
        <w:rPr>
          <w:rFonts w:ascii="Times New Roman" w:cs="Times New Roman" w:eastAsia="Times New Roman" w:hAnsi="Times New Roman"/>
          <w:sz w:val="15"/>
          <w:szCs w:val="15"/>
          <w:color w:val="auto"/>
        </w:rPr>
        <w:t xml:space="preserve">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488950</wp:posOffset>
            </wp:positionV>
            <wp:extent cx="188595" cy="163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North America Confectionery</w:t>
      </w:r>
    </w:p>
    <w:p>
      <w:pPr>
        <w:spacing w:after="0" w:line="10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81.9% and 85.8% of our net sales for the three months ended October 2, 2022 and October 3, 2021, respectively,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560" w:type="dxa"/>
            <w:vAlign w:val="bottom"/>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0" w:type="dxa"/>
            <w:vAlign w:val="bottom"/>
          </w:tcPr>
          <w:p>
            <w:pPr>
              <w:spacing w:after="0"/>
              <w:rPr>
                <w:sz w:val="1"/>
                <w:szCs w:val="1"/>
                <w:color w:val="auto"/>
              </w:rPr>
            </w:pPr>
          </w:p>
        </w:tc>
      </w:tr>
      <w:tr>
        <w:trPr>
          <w:trHeight w:val="152"/>
        </w:trPr>
        <w:tc>
          <w:tcPr>
            <w:tcW w:w="176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2,235.6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2,024.2</w:t>
            </w:r>
          </w:p>
        </w:tc>
        <w:tc>
          <w:tcPr>
            <w:tcW w:w="12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10.4 %  $</w:t>
            </w:r>
          </w:p>
        </w:tc>
        <w:tc>
          <w:tcPr>
            <w:tcW w:w="1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6,361.7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5,700.0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0" w:type="dxa"/>
            <w:vAlign w:val="bottom"/>
          </w:tcPr>
          <w:p>
            <w:pPr>
              <w:spacing w:after="0"/>
              <w:rPr>
                <w:sz w:val="1"/>
                <w:szCs w:val="1"/>
                <w:color w:val="auto"/>
              </w:rPr>
            </w:pPr>
          </w:p>
        </w:tc>
      </w:tr>
      <w:tr>
        <w:trPr>
          <w:trHeight w:val="219"/>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income</w:t>
            </w:r>
          </w:p>
        </w:tc>
        <w:tc>
          <w:tcPr>
            <w:tcW w:w="160" w:type="dxa"/>
            <w:vAlign w:val="bottom"/>
          </w:tcPr>
          <w:p>
            <w:pPr>
              <w:spacing w:after="0"/>
              <w:rPr>
                <w:sz w:val="19"/>
                <w:szCs w:val="19"/>
                <w:color w:val="auto"/>
              </w:rPr>
            </w:pP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706.8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655.6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2,107.6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1,852.7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13.8 %</w:t>
            </w:r>
          </w:p>
        </w:tc>
        <w:tc>
          <w:tcPr>
            <w:tcW w:w="0" w:type="dxa"/>
            <w:vAlign w:val="bottom"/>
          </w:tcPr>
          <w:p>
            <w:pPr>
              <w:spacing w:after="0"/>
              <w:rPr>
                <w:sz w:val="1"/>
                <w:szCs w:val="1"/>
                <w:color w:val="auto"/>
              </w:rPr>
            </w:pPr>
          </w:p>
        </w:tc>
      </w:tr>
      <w:tr>
        <w:trPr>
          <w:trHeight w:val="21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margin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31.6 %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32.4 %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33.1 %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32.5 %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Third Quarter 2022 vs. Third Quarter 2021</w:t>
      </w:r>
    </w:p>
    <w:p>
      <w:pPr>
        <w:spacing w:after="0" w:line="1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Net sales of our North America Confectionery segment increased $211.4 million, or 10.4%, in the third quarter of 2022 compared to the same period of 2021, reflecting a favorable price realization of 7.7% primarily due to list price increases on certain products across our portfolio and a volume increase of 3.0% due to an increase in everyday core U.S. confection brands. These increases were partially offset by an unfavorable impact from foreign currency exchange rates of 0.3%.</w:t>
      </w:r>
    </w:p>
    <w:p>
      <w:pPr>
        <w:spacing w:after="0" w:line="8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9.2% during the third quarter of 2022 compared to the same period of 2021.</w:t>
      </w:r>
    </w:p>
    <w:p>
      <w:pPr>
        <w:spacing w:after="0" w:line="10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Our North America Confectionery segment income increased $51.2 million, or 7.8%, in the third quarter of 2022 compared to the same period of 2021, primarily due to favorable price realization and volume increases, partially offset by higher supply chain inflation costs, including higher logistics and labor costs, higher supply chain inflation costs, as well as, unfavorable product mix.</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First Nine Months 2022 vs. First Nine Months 2021</w:t>
      </w:r>
    </w:p>
    <w:p>
      <w:pPr>
        <w:spacing w:after="0" w:line="14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Net sales of our North America Confectionery segment increased $661.7 million or 11.6% in the first nine months of 2022 compared to the same period of 2021, reflecting a favorable price realization of 7.7% due to list price increases on certain products across our portfolio, a volume increase of 3.4% due to an increase in everyday core U.S. confection brands and a 0.7% increase from the 2021 acquisition of Lily’s. These increases were partially offset by an unfavorable impact from foreign currency exchange rates of 0.2%.</w:t>
      </w:r>
    </w:p>
    <w:p>
      <w:pPr>
        <w:spacing w:after="0" w:line="10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10.6% during the first nine months of 2022 compared to the same period of 2021.</w:t>
      </w:r>
    </w:p>
    <w:p>
      <w:pPr>
        <w:spacing w:after="0" w:line="10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Our North America Confectionery segment income increased $254.9 million or 13.8% in the first nine months of 2022 compared to the same period of 2021, primarily due to favorable price realization and volume increases, partially offset by higher supply chain inflation costs, including higher logistics and labor costs, as well as, unfavorable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565785</wp:posOffset>
            </wp:positionV>
            <wp:extent cx="188595" cy="163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North America Salty Snacks</w:t>
      </w:r>
    </w:p>
    <w:p>
      <w:pPr>
        <w:spacing w:after="0" w:line="15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The North America Salty Snacks segment is responsible for our grocery and snacks market positions, including our salty snacking products. North America Salty Snacks results, which accounted for 10.1% and 6.2% of our net sales for the three months ended October 2, 2022 and October 3, 2021, respectively,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80" w:type="dxa"/>
            <w:vAlign w:val="bottom"/>
          </w:tcPr>
          <w:p>
            <w:pPr>
              <w:spacing w:after="0"/>
              <w:rPr>
                <w:sz w:val="17"/>
                <w:szCs w:val="17"/>
                <w:color w:val="auto"/>
              </w:rPr>
            </w:pPr>
          </w:p>
        </w:tc>
        <w:tc>
          <w:tcPr>
            <w:tcW w:w="1580" w:type="dxa"/>
            <w:vAlign w:val="bottom"/>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0" w:type="dxa"/>
            <w:vAlign w:val="bottom"/>
          </w:tcPr>
          <w:p>
            <w:pPr>
              <w:spacing w:after="0"/>
              <w:rPr>
                <w:sz w:val="1"/>
                <w:szCs w:val="1"/>
                <w:color w:val="auto"/>
              </w:rPr>
            </w:pPr>
          </w:p>
        </w:tc>
      </w:tr>
      <w:tr>
        <w:trPr>
          <w:trHeight w:val="152"/>
        </w:trPr>
        <w:tc>
          <w:tcPr>
            <w:tcW w:w="180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147.1</w:t>
            </w:r>
          </w:p>
        </w:tc>
        <w:tc>
          <w:tcPr>
            <w:tcW w:w="12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86.9 %  $</w:t>
            </w:r>
          </w:p>
        </w:tc>
        <w:tc>
          <w:tcPr>
            <w:tcW w:w="1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757.4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396.7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90.9 %</w:t>
            </w:r>
          </w:p>
        </w:tc>
        <w:tc>
          <w:tcPr>
            <w:tcW w:w="0" w:type="dxa"/>
            <w:vAlign w:val="bottom"/>
          </w:tcPr>
          <w:p>
            <w:pPr>
              <w:spacing w:after="0"/>
              <w:rPr>
                <w:sz w:val="1"/>
                <w:szCs w:val="1"/>
                <w:color w:val="auto"/>
              </w:rPr>
            </w:pPr>
          </w:p>
        </w:tc>
      </w:tr>
      <w:tr>
        <w:trPr>
          <w:trHeight w:val="219"/>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income</w:t>
            </w:r>
          </w:p>
        </w:tc>
        <w:tc>
          <w:tcPr>
            <w:tcW w:w="140" w:type="dxa"/>
            <w:vAlign w:val="bottom"/>
          </w:tcPr>
          <w:p>
            <w:pPr>
              <w:spacing w:after="0"/>
              <w:rPr>
                <w:sz w:val="19"/>
                <w:szCs w:val="19"/>
                <w:color w:val="auto"/>
              </w:rPr>
            </w:pP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29.6</w:t>
            </w:r>
          </w:p>
        </w:tc>
        <w:tc>
          <w:tcPr>
            <w:tcW w:w="120" w:type="dxa"/>
            <w:vAlign w:val="bottom"/>
          </w:tcPr>
          <w:p>
            <w:pPr>
              <w:spacing w:after="0"/>
              <w:rPr>
                <w:sz w:val="19"/>
                <w:szCs w:val="19"/>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7"/>
                <w:szCs w:val="17"/>
                <w:color w:val="auto"/>
                <w:w w:val="99"/>
              </w:rPr>
              <w:t>50.3 %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103.2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81.1</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27.3 %</w:t>
            </w:r>
          </w:p>
        </w:tc>
        <w:tc>
          <w:tcPr>
            <w:tcW w:w="0" w:type="dxa"/>
            <w:vAlign w:val="bottom"/>
          </w:tcPr>
          <w:p>
            <w:pPr>
              <w:spacing w:after="0"/>
              <w:rPr>
                <w:sz w:val="1"/>
                <w:szCs w:val="1"/>
                <w:color w:val="auto"/>
              </w:rPr>
            </w:pPr>
          </w:p>
        </w:tc>
      </w:tr>
      <w:tr>
        <w:trPr>
          <w:trHeight w:val="21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margin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16.2 %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20.1 %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13.6 %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20.4 %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Third Quarter 2022 vs. Third Quarter 2021</w:t>
      </w:r>
    </w:p>
    <w:p>
      <w:pPr>
        <w:spacing w:after="0" w:line="144"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7"/>
          <w:szCs w:val="17"/>
          <w:color w:val="auto"/>
        </w:rPr>
        <w:t xml:space="preserve">Net sales of our North America Salty Snacks segment increased $127.9 million, or 86.9%, in the third quarter of 2022 compared to the same period of 2021, reflecting a 65.5% benefit from the 2021 acquisitions of Dot’s and Pretzels, a favorable price realization of 12.5% due to higher prices on certain products, in addition to lower levels of promotional activity versus the prior year period, and a volume increase of 9.0% primarily related to </w:t>
      </w:r>
      <w:r>
        <w:rPr>
          <w:rFonts w:ascii="Times New Roman" w:cs="Times New Roman" w:eastAsia="Times New Roman" w:hAnsi="Times New Roman"/>
          <w:sz w:val="17"/>
          <w:szCs w:val="17"/>
          <w:i w:val="1"/>
          <w:iCs w:val="1"/>
          <w:color w:val="auto"/>
        </w:rPr>
        <w:t>SkinnyPop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Pirate’s Booty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 xml:space="preserve">Paqui </w:t>
      </w:r>
      <w:r>
        <w:rPr>
          <w:rFonts w:ascii="Times New Roman" w:cs="Times New Roman" w:eastAsia="Times New Roman" w:hAnsi="Times New Roman"/>
          <w:sz w:val="17"/>
          <w:szCs w:val="17"/>
          <w:color w:val="auto"/>
        </w:rPr>
        <w:t>snacks.</w:t>
      </w:r>
    </w:p>
    <w:p>
      <w:pPr>
        <w:spacing w:after="0" w:line="94" w:lineRule="exact"/>
        <w:rPr>
          <w:sz w:val="20"/>
          <w:szCs w:val="20"/>
          <w:color w:val="auto"/>
        </w:rPr>
      </w:pPr>
    </w:p>
    <w:p>
      <w:pPr>
        <w:jc w:val="both"/>
        <w:ind w:right="360"/>
        <w:spacing w:after="0" w:line="254" w:lineRule="auto"/>
        <w:rPr>
          <w:sz w:val="20"/>
          <w:szCs w:val="20"/>
          <w:color w:val="auto"/>
        </w:rPr>
      </w:pPr>
      <w:r>
        <w:rPr>
          <w:rFonts w:ascii="Times New Roman" w:cs="Times New Roman" w:eastAsia="Times New Roman" w:hAnsi="Times New Roman"/>
          <w:sz w:val="17"/>
          <w:szCs w:val="17"/>
          <w:color w:val="auto"/>
        </w:rPr>
        <w:t>Our North America Salty Snacks segment income increased $14.9 million, or 50.3%, in the third quarter of 2022 compared to the same period of 2021 due to favorable price realization and volume increases, partially offset by unfavorable product mix, as well as higher supply chain inflation costs, including higher logistics and labor costs, and increased advertising and related consumer marketing costs.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First Nine Months 2022 vs. First Nine Months 2021</w:t>
      </w:r>
    </w:p>
    <w:p>
      <w:pPr>
        <w:spacing w:after="0" w:line="13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 xml:space="preserve">Net sales of our North America Salty Snacks segment increased $360.7 million, or 90.9%, in the first nine months of 2022 compared to the same period of 2021, reflecting a 68.5% benefit from the 2021 acquisitions of Dot’s and Pretzels, a favorable price realization of 12.9% due to higher prices on certain products, in addition to lower levels of promotional activity versus the prior year period and a volume increase of 9.5% primarily related to </w:t>
      </w:r>
      <w:r>
        <w:rPr>
          <w:rFonts w:ascii="Times New Roman" w:cs="Times New Roman" w:eastAsia="Times New Roman" w:hAnsi="Times New Roman"/>
          <w:sz w:val="17"/>
          <w:szCs w:val="17"/>
          <w:i w:val="1"/>
          <w:iCs w:val="1"/>
          <w:color w:val="auto"/>
        </w:rPr>
        <w:t>SkinnyPop</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Pirate’s Booty</w:t>
      </w:r>
      <w:r>
        <w:rPr>
          <w:rFonts w:ascii="Times New Roman" w:cs="Times New Roman" w:eastAsia="Times New Roman" w:hAnsi="Times New Roman"/>
          <w:sz w:val="17"/>
          <w:szCs w:val="17"/>
          <w:color w:val="auto"/>
        </w:rPr>
        <w:t xml:space="preserve"> snacks.</w:t>
      </w:r>
    </w:p>
    <w:p>
      <w:pPr>
        <w:spacing w:after="0" w:line="1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Our North America Salty Snacks segment income increased $22.1 million, or 27.3%, in the first nine months of 2022 compared to the same period of 2021, due to favorable price realization and volume increases, partially offset by unfavorable product mix, as well as higher supply chain inflation costs and increased advertising and related consumer marketing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336550</wp:posOffset>
            </wp:positionV>
            <wp:extent cx="188595" cy="163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02"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International</w:t>
      </w:r>
    </w:p>
    <w:p>
      <w:pPr>
        <w:spacing w:after="0" w:line="14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Asia, Europe, the Middle East and Africa (“AEMEA”) and other regions. International results, which accounted for 8.0% and 8.0% of our net sales for the three months ended October 2, 2022 and October 3, 2021, respectively,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October 3, 2021</w:t>
            </w:r>
          </w:p>
        </w:tc>
        <w:tc>
          <w:tcPr>
            <w:tcW w:w="120" w:type="dxa"/>
            <w:vAlign w:val="bottom"/>
          </w:tcPr>
          <w:p>
            <w:pPr>
              <w:spacing w:after="0"/>
              <w:rPr>
                <w:sz w:val="17"/>
                <w:szCs w:val="17"/>
                <w:color w:val="auto"/>
              </w:rPr>
            </w:pPr>
          </w:p>
        </w:tc>
        <w:tc>
          <w:tcPr>
            <w:tcW w:w="1560" w:type="dxa"/>
            <w:vAlign w:val="bottom"/>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Percent Change</w:t>
            </w:r>
          </w:p>
        </w:tc>
        <w:tc>
          <w:tcPr>
            <w:tcW w:w="0" w:type="dxa"/>
            <w:vAlign w:val="bottom"/>
          </w:tcPr>
          <w:p>
            <w:pPr>
              <w:spacing w:after="0"/>
              <w:rPr>
                <w:sz w:val="1"/>
                <w:szCs w:val="1"/>
                <w:color w:val="auto"/>
              </w:rPr>
            </w:pPr>
          </w:p>
        </w:tc>
      </w:tr>
      <w:tr>
        <w:trPr>
          <w:trHeight w:val="152"/>
        </w:trPr>
        <w:tc>
          <w:tcPr>
            <w:tcW w:w="180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188.5</w:t>
            </w:r>
          </w:p>
        </w:tc>
        <w:tc>
          <w:tcPr>
            <w:tcW w:w="12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15.4 %  $</w:t>
            </w:r>
          </w:p>
        </w:tc>
        <w:tc>
          <w:tcPr>
            <w:tcW w:w="1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647.8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548.5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18.1 %</w:t>
            </w:r>
          </w:p>
        </w:tc>
        <w:tc>
          <w:tcPr>
            <w:tcW w:w="0" w:type="dxa"/>
            <w:vAlign w:val="bottom"/>
          </w:tcPr>
          <w:p>
            <w:pPr>
              <w:spacing w:after="0"/>
              <w:rPr>
                <w:sz w:val="1"/>
                <w:szCs w:val="1"/>
                <w:color w:val="auto"/>
              </w:rPr>
            </w:pPr>
          </w:p>
        </w:tc>
      </w:tr>
      <w:tr>
        <w:trPr>
          <w:trHeight w:val="219"/>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income</w:t>
            </w:r>
          </w:p>
        </w:tc>
        <w:tc>
          <w:tcPr>
            <w:tcW w:w="140" w:type="dxa"/>
            <w:vAlign w:val="bottom"/>
          </w:tcPr>
          <w:p>
            <w:pPr>
              <w:spacing w:after="0"/>
              <w:rPr>
                <w:sz w:val="19"/>
                <w:szCs w:val="19"/>
                <w:color w:val="auto"/>
              </w:rPr>
            </w:pP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Pr>
          <w:p>
            <w:pPr>
              <w:spacing w:after="0"/>
              <w:rPr>
                <w:sz w:val="19"/>
                <w:szCs w:val="19"/>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7"/>
                <w:szCs w:val="17"/>
                <w:color w:val="auto"/>
                <w:w w:val="99"/>
              </w:rPr>
              <w:t>80.7 %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108.1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74.5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45.1 %</w:t>
            </w:r>
          </w:p>
        </w:tc>
        <w:tc>
          <w:tcPr>
            <w:tcW w:w="0" w:type="dxa"/>
            <w:vAlign w:val="bottom"/>
          </w:tcPr>
          <w:p>
            <w:pPr>
              <w:spacing w:after="0"/>
              <w:rPr>
                <w:sz w:val="1"/>
                <w:szCs w:val="1"/>
                <w:color w:val="auto"/>
              </w:rPr>
            </w:pPr>
          </w:p>
        </w:tc>
      </w:tr>
      <w:tr>
        <w:trPr>
          <w:trHeight w:val="21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margin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16.3 %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10.4 %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16.7 %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13.6 %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Third Quarter 2022 vs. Third Quarter 2021</w:t>
      </w:r>
    </w:p>
    <w:p>
      <w:pPr>
        <w:spacing w:after="0" w:line="14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Net sales of our International segment increased $29.1 million, or 15.4%, in the third quarter of 2022 compared to the same period of 2021, reflecting a volume increase of 12.2% and a favorable price realization of 4.4%. The volume increase was primarily attributable to solid marketplace growth in India, AEMEA, and Brazil, where net sales increased by 28.9%, 15.8% and 12.6%, respectively. These increases were partially offset by an unfavorable impact from foreign currency exchange rates of 1.2%.</w:t>
      </w:r>
    </w:p>
    <w:p>
      <w:pPr>
        <w:spacing w:after="0" w:line="10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Our International segment generated income of $35.4 million in the third quarter of 2022 compared to $19.6 million in the third quarter of 2021 driven primarily by favorable price realization and volume increases, partially offset by higher freight and logistics costs.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 - First Nine Months 2022 vs. First Nine Months 2021</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Net sales of our International segment increased $99.3 million, or 18.1%, in the first nine months of 2022 compared to the same period of 2021, reflecting a volume increase of 15.0% and a favorable price realization of 3.2%. The volume increase was primarily attributable to solid marketplace growth in Brazil, Mexico, and India, where net sales increased by 22.4%, 20.3%, and 18.8%, respectively. These increases were partially offset by an unfavorable impact from foreign currency exchange rates of 0.1%.</w:t>
      </w:r>
    </w:p>
    <w:p>
      <w:pPr>
        <w:spacing w:after="0" w:line="10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International segment generated income of $108.1 million in the first nine months of 2022 compared to $74.5 million in the first nine months of 2021 primarily resulting from volume increases, favorable price realization, and the execution of our International Optimization Program in China, as we streamline and optimize our China operating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565785</wp:posOffset>
            </wp:positionV>
            <wp:extent cx="188595" cy="163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Unallocated Corporate Expense</w:t>
      </w:r>
    </w:p>
    <w:p>
      <w:pPr>
        <w:spacing w:after="0" w:line="10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94"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In the third quarter of 2022, unallocated corporate expense totaled $179.6 million, as compared to $145.0 million in the third quarter of 2021. The increase is primarily driven by incremental investments in capabilities and technology and higher compensation costs, as well as higher acquisition and integration related costs.</w:t>
      </w:r>
    </w:p>
    <w:p>
      <w:pPr>
        <w:spacing w:after="0" w:line="101" w:lineRule="exact"/>
        <w:rPr>
          <w:sz w:val="20"/>
          <w:szCs w:val="20"/>
          <w:color w:val="auto"/>
        </w:rPr>
      </w:pPr>
    </w:p>
    <w:p>
      <w:pPr>
        <w:jc w:val="both"/>
        <w:ind w:right="520"/>
        <w:spacing w:after="0" w:line="262" w:lineRule="auto"/>
        <w:rPr>
          <w:sz w:val="20"/>
          <w:szCs w:val="20"/>
          <w:color w:val="auto"/>
        </w:rPr>
      </w:pPr>
      <w:r>
        <w:rPr>
          <w:rFonts w:ascii="Times New Roman" w:cs="Times New Roman" w:eastAsia="Times New Roman" w:hAnsi="Times New Roman"/>
          <w:sz w:val="17"/>
          <w:szCs w:val="17"/>
          <w:color w:val="auto"/>
        </w:rPr>
        <w:t>In the first nine months of 2022, unallocated corporate expense totaled $518.9 million, as compared to $434.0 million in the first nine months of 2021. The increase is primarily driven by higher acquisition and integration related costs, as well as incremental investments in capabilities and technology and higher compensation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9"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3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At October 2, 2022, our cash and cash equivalents totaled $327.7 million, a decrease of $1.5 million compared to the 2021 year-end balance. We believe we have sufficient liquidity to satisfy our cash needs; however, we continue to evaluate and take action, as necessary, to preserve adequate liquidity and ensure that our business can continue to operate during the ongoing COVID-19 pandemic and in the current economic environment. Additional detail regarding the net uses of cash are outlined in the following discussion.</w:t>
      </w:r>
    </w:p>
    <w:p>
      <w:pPr>
        <w:spacing w:after="0" w:line="12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Approximately 80% of the balance of our cash and cash equivalents at October 2, 2022 was held by subsidiaries domiciled outside of the United States. We intend to continue to reinvest the remainder of the earnings outside of the United States for which there would be a material tax implication to distributing, such as withholding tax,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 Summary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is derived from our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20" w:type="dxa"/>
            <w:vAlign w:val="bottom"/>
          </w:tcPr>
          <w:p>
            <w:pPr>
              <w:spacing w:after="0"/>
              <w:rPr>
                <w:sz w:val="17"/>
                <w:szCs w:val="17"/>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October 2, 2022</w:t>
            </w:r>
          </w:p>
        </w:tc>
        <w:tc>
          <w:tcPr>
            <w:tcW w:w="320" w:type="dxa"/>
            <w:vAlign w:val="bottom"/>
          </w:tcPr>
          <w:p>
            <w:pPr>
              <w:spacing w:after="0"/>
              <w:rPr>
                <w:sz w:val="17"/>
                <w:szCs w:val="17"/>
                <w:color w:val="auto"/>
              </w:rPr>
            </w:pPr>
          </w:p>
        </w:tc>
        <w:tc>
          <w:tcPr>
            <w:tcW w:w="1800" w:type="dxa"/>
            <w:vAlign w:val="bottom"/>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October 3, 2021</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1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1,560.2</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1,403.7</w:t>
            </w:r>
          </w:p>
        </w:tc>
      </w:tr>
      <w:tr>
        <w:trPr>
          <w:trHeight w:val="21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(839.7)</w:t>
            </w:r>
          </w:p>
        </w:tc>
      </w:tr>
      <w:tr>
        <w:trPr>
          <w:trHeight w:val="21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(1,037.8)</w:t>
            </w:r>
          </w:p>
        </w:tc>
      </w:tr>
      <w:tr>
        <w:trPr>
          <w:trHeight w:val="21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Cash classified as assets held for sale</w:t>
            </w:r>
          </w:p>
        </w:tc>
        <w:tc>
          <w:tcPr>
            <w:tcW w:w="32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37"/>
        </w:trPr>
        <w:tc>
          <w:tcPr>
            <w:tcW w:w="6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 in cash and cash equivalents</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565150</wp:posOffset>
            </wp:positionV>
            <wp:extent cx="188595" cy="163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02"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0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We generated cash of $1,560.2 million from operating activities in the first nine months of 2022, an increase of $156.5 million compared to $1,403.7 million in the same period of 2021. This increase in net cash provided by operating activities was mainly driven by the following factors:</w:t>
      </w:r>
    </w:p>
    <w:p>
      <w:pPr>
        <w:spacing w:after="0" w:line="100" w:lineRule="exact"/>
        <w:rPr>
          <w:sz w:val="20"/>
          <w:szCs w:val="20"/>
          <w:color w:val="auto"/>
        </w:rPr>
      </w:pPr>
    </w:p>
    <w:p>
      <w:pPr>
        <w:ind w:left="320" w:hanging="317"/>
        <w:spacing w:after="0" w:line="287" w:lineRule="auto"/>
        <w:tabs>
          <w:tab w:leader="none" w:pos="3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adjusted for non-cash charges to operations (including depreciation, amortization, stock-based compensation, deferred income taxes, a write-down of equity investments and other charges) resulted in $198.8 million of higher cash flow in 2022 relative to 2021.</w:t>
      </w:r>
    </w:p>
    <w:p>
      <w:pPr>
        <w:spacing w:after="0" w:line="9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cash provided by operating activities was partially offset by the following net cash outflows:</w:t>
      </w:r>
    </w:p>
    <w:p>
      <w:pPr>
        <w:spacing w:after="0" w:line="165" w:lineRule="exact"/>
        <w:rPr>
          <w:rFonts w:ascii="Times New Roman" w:cs="Times New Roman" w:eastAsia="Times New Roman" w:hAnsi="Times New Roman"/>
          <w:sz w:val="17"/>
          <w:szCs w:val="17"/>
          <w:color w:val="auto"/>
        </w:rPr>
      </w:pPr>
    </w:p>
    <w:p>
      <w:pPr>
        <w:ind w:left="940" w:right="40" w:hanging="318"/>
        <w:spacing w:after="0" w:line="264" w:lineRule="auto"/>
        <w:tabs>
          <w:tab w:leader="none" w:pos="936"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working capital (comprised of trade accounts receivable, inventory, accounts payable and accrued liabilities) consumed cash of $212.3 million in 2022, compared to $185.3 million in 2021. This $27.0 million fluctuation was mainly driven by a higher year-over-year build up of U.S. inventories to satisfy product requirements and maintain sufficient levels to accommodate customer requirements and an increase in cash used by accounts receivable due to the timing of customer payments, partially offset by the timing of vendor and supplier payments.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94"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We used cash of $510.0 million for investing activities in the first nine months of 2022, a decrease of $329.7 million compared to $839.7 million in the same period of 2021. This decrease in net cash used in investing activities was mainly driven by the following factors:</w:t>
      </w:r>
    </w:p>
    <w:p>
      <w:pPr>
        <w:spacing w:after="0" w:line="96" w:lineRule="exact"/>
        <w:rPr>
          <w:sz w:val="20"/>
          <w:szCs w:val="20"/>
          <w:color w:val="auto"/>
        </w:rPr>
      </w:pPr>
    </w:p>
    <w:p>
      <w:pPr>
        <w:ind w:left="320" w:right="60" w:hanging="317"/>
        <w:spacing w:after="0" w:line="262" w:lineRule="auto"/>
        <w:tabs>
          <w:tab w:leader="none" w:pos="316"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Capital spending</w:t>
      </w:r>
      <w:r>
        <w:rPr>
          <w:rFonts w:ascii="Times New Roman" w:cs="Times New Roman" w:eastAsia="Times New Roman" w:hAnsi="Times New Roman"/>
          <w:sz w:val="17"/>
          <w:szCs w:val="17"/>
          <w:color w:val="auto"/>
        </w:rPr>
        <w:t>. Capital expenditures, including capitalized software, primarily to support our ERP system implementation, capacity expansion projects,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innovation and cost savings, were $360.0 million in the first nine months of 2022 compared to $347.5 million in the same period of 2021. We expect our full year 2022 capital expenditures, including capitalized software, to approximate $600 million. Our 2022 capital expenditures are largely driven by our key strategic initiatives, including expanding the agility and capacity of our supply chain and building digital infrastructure across the enterprise. We intend to use our existing cash and internally generated funds to meet our 2022 capital requirements.</w:t>
      </w:r>
    </w:p>
    <w:p>
      <w:pPr>
        <w:spacing w:after="0" w:line="119" w:lineRule="exact"/>
        <w:rPr>
          <w:rFonts w:ascii="Times New Roman" w:cs="Times New Roman" w:eastAsia="Times New Roman" w:hAnsi="Times New Roman"/>
          <w:sz w:val="17"/>
          <w:szCs w:val="17"/>
          <w:i w:val="1"/>
          <w:iCs w:val="1"/>
          <w:color w:val="auto"/>
        </w:rPr>
      </w:pPr>
    </w:p>
    <w:p>
      <w:pPr>
        <w:ind w:left="320" w:right="100" w:hanging="317"/>
        <w:spacing w:after="0" w:line="272" w:lineRule="auto"/>
        <w:tabs>
          <w:tab w:leader="none" w:pos="3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Investments in partnerships qualifying for tax credits</w:t>
      </w:r>
      <w:r>
        <w:rPr>
          <w:rFonts w:ascii="Times New Roman" w:cs="Times New Roman" w:eastAsia="Times New Roman" w:hAnsi="Times New Roman"/>
          <w:sz w:val="17"/>
          <w:szCs w:val="17"/>
          <w:color w:val="auto"/>
        </w:rPr>
        <w:t>. We make investments in partnership entities that in turn make equity investments in projects eligible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 federal historic and renewable energy tax credits. We invested approximately $159.7 million in the first nine months of 2022, compared to $75.9 million in the same period of 2021.</w:t>
      </w:r>
    </w:p>
    <w:p>
      <w:pPr>
        <w:spacing w:after="0" w:line="108" w:lineRule="exact"/>
        <w:rPr>
          <w:rFonts w:ascii="Times New Roman" w:cs="Times New Roman" w:eastAsia="Times New Roman" w:hAnsi="Times New Roman"/>
          <w:sz w:val="17"/>
          <w:szCs w:val="17"/>
          <w:color w:val="auto"/>
        </w:rPr>
      </w:pPr>
    </w:p>
    <w:p>
      <w:pPr>
        <w:ind w:left="320" w:right="160" w:hanging="317"/>
        <w:spacing w:after="0" w:line="292" w:lineRule="auto"/>
        <w:tabs>
          <w:tab w:leader="none" w:pos="3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Business Acquisition</w:t>
      </w:r>
      <w:r>
        <w:rPr>
          <w:rFonts w:ascii="Times New Roman" w:cs="Times New Roman" w:eastAsia="Times New Roman" w:hAnsi="Times New Roman"/>
          <w:sz w:val="17"/>
          <w:szCs w:val="17"/>
          <w:color w:val="auto"/>
        </w:rPr>
        <w:t>. In June 2021, we acquired Lily's for an initial cash purchase price of $419.5 million. Further details regarding our business acquisition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activity is provided in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 xml:space="preserve"> to the Unaudited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0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We used cash of $1,076.0 million for financing activities in the first nine months of 2022, an increase of $38.2 million compared to $1,037.8 million in the same period of 2021. This increase in net cash used in financing activities was mainly driven by the following factors:</w:t>
      </w:r>
    </w:p>
    <w:p>
      <w:pPr>
        <w:spacing w:after="0" w:line="96" w:lineRule="exact"/>
        <w:rPr>
          <w:sz w:val="20"/>
          <w:szCs w:val="20"/>
          <w:color w:val="auto"/>
        </w:rPr>
      </w:pPr>
    </w:p>
    <w:p>
      <w:pPr>
        <w:ind w:left="320" w:right="220" w:hanging="317"/>
        <w:spacing w:after="0" w:line="262" w:lineRule="auto"/>
        <w:tabs>
          <w:tab w:leader="none" w:pos="316"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Short-term borrowings, net. </w:t>
      </w:r>
      <w:r>
        <w:rPr>
          <w:rFonts w:ascii="Times New Roman" w:cs="Times New Roman" w:eastAsia="Times New Roman" w:hAnsi="Times New Roman"/>
          <w:sz w:val="17"/>
          <w:szCs w:val="17"/>
          <w:color w:val="auto"/>
        </w:rPr>
        <w:t>In addition to utilizing cash on hand, we use short-term borrowings (commercial paper and bank borrowings) to fund seasonal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working capital requirements and ongoing business needs. During the first nine months of 2022, we used cash of $145.6 million to reduce a portion of our short-term commercial paper borrowings originally used to fund our 2021 acquisitions of Dot’s and Pretzels, partially offset by an increase in short-term foreign bank borrowings. During the first nine months of 2021, we generated cash flow of $340.0 million predominantly through the issuance of short-term commercial paper, partially offset by a reduction in short-term foreign borrowings.</w:t>
      </w:r>
    </w:p>
    <w:p>
      <w:pPr>
        <w:spacing w:after="0" w:line="119" w:lineRule="exact"/>
        <w:rPr>
          <w:rFonts w:ascii="Times New Roman" w:cs="Times New Roman" w:eastAsia="Times New Roman" w:hAnsi="Times New Roman"/>
          <w:sz w:val="17"/>
          <w:szCs w:val="17"/>
          <w:i w:val="1"/>
          <w:iCs w:val="1"/>
          <w:color w:val="auto"/>
        </w:rPr>
      </w:pPr>
    </w:p>
    <w:p>
      <w:pPr>
        <w:ind w:left="320" w:right="40" w:hanging="317"/>
        <w:spacing w:after="0" w:line="292" w:lineRule="auto"/>
        <w:tabs>
          <w:tab w:leader="none" w:pos="3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Long-term debt borrowings and repayments</w:t>
      </w:r>
      <w:r>
        <w:rPr>
          <w:rFonts w:ascii="Times New Roman" w:cs="Times New Roman" w:eastAsia="Times New Roman" w:hAnsi="Times New Roman"/>
          <w:sz w:val="17"/>
          <w:szCs w:val="17"/>
          <w:color w:val="auto"/>
        </w:rPr>
        <w:t>. During the first nine months of 2022, long-term debt activity was minimal. During the first nine months of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repaid $84.7 million of 8.800% Debentures due upon their maturity and $350.0 million of 3.100% Notes due upon their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234950</wp:posOffset>
            </wp:positionV>
            <wp:extent cx="188595" cy="163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55" w:right="359" w:bottom="1440" w:gutter="0" w:footer="0" w:header="0"/>
        </w:sectPr>
      </w:pPr>
    </w:p>
    <w:bookmarkStart w:id="48" w:name="page49"/>
    <w:bookmarkEnd w:id="48"/>
    <w:p>
      <w:pPr>
        <w:jc w:val="both"/>
        <w:ind w:left="320" w:right="240" w:hanging="317"/>
        <w:spacing w:after="0" w:line="272" w:lineRule="auto"/>
        <w:tabs>
          <w:tab w:leader="none" w:pos="3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Dividend payments</w:t>
      </w:r>
      <w:r>
        <w:rPr>
          <w:rFonts w:ascii="Times New Roman" w:cs="Times New Roman" w:eastAsia="Times New Roman" w:hAnsi="Times New Roman"/>
          <w:sz w:val="17"/>
          <w:szCs w:val="17"/>
          <w:color w:val="auto"/>
        </w:rPr>
        <w:t>. Total dividend payments to holders of our Common Stock and Class B Common Stock were $568.0 million during the first nine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2022, an increase of $62.8 million compared to $505.2 million in the same period of 2021. Details regarding our 2022 cash dividends paid to stockholders are as follows:</w:t>
      </w:r>
    </w:p>
    <w:p>
      <w:pPr>
        <w:spacing w:after="0" w:line="15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15"/>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3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April 3, 2022</w:t>
            </w:r>
          </w:p>
        </w:tc>
        <w:tc>
          <w:tcPr>
            <w:tcW w:w="30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July 3, 2022</w:t>
            </w:r>
          </w:p>
        </w:tc>
        <w:tc>
          <w:tcPr>
            <w:tcW w:w="260" w:type="dxa"/>
            <w:vAlign w:val="bottom"/>
          </w:tcPr>
          <w:p>
            <w:pPr>
              <w:spacing w:after="0"/>
              <w:rPr>
                <w:sz w:val="18"/>
                <w:szCs w:val="18"/>
                <w:color w:val="auto"/>
              </w:rPr>
            </w:pPr>
          </w:p>
        </w:tc>
        <w:tc>
          <w:tcPr>
            <w:tcW w:w="172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October 2, 2022</w:t>
            </w:r>
          </w:p>
        </w:tc>
      </w:tr>
      <w:tr>
        <w:trPr>
          <w:trHeight w:val="212"/>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paid per share – Common stock</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r>
      <w:tr>
        <w:trPr>
          <w:trHeight w:val="219"/>
        </w:trPr>
        <w:tc>
          <w:tcPr>
            <w:tcW w:w="4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Dividends paid per share – Class B common stock</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0.819</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0.942</w:t>
            </w:r>
          </w:p>
        </w:tc>
      </w:tr>
      <w:tr>
        <w:trPr>
          <w:trHeight w:val="219"/>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dividends paid</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w:t>
            </w:r>
          </w:p>
        </w:tc>
      </w:tr>
      <w:tr>
        <w:trPr>
          <w:trHeight w:val="219"/>
        </w:trPr>
        <w:tc>
          <w:tcPr>
            <w:tcW w:w="4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Declaration date</w:t>
            </w:r>
          </w:p>
        </w:tc>
        <w:tc>
          <w:tcPr>
            <w:tcW w:w="3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February 2, 2022</w:t>
            </w:r>
          </w:p>
        </w:tc>
        <w:tc>
          <w:tcPr>
            <w:tcW w:w="30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April 27, 2022</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27, 2022</w:t>
            </w:r>
          </w:p>
        </w:tc>
      </w:tr>
      <w:tr>
        <w:trPr>
          <w:trHeight w:val="219"/>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Record date</w:t>
            </w: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February 18, 2022</w:t>
            </w: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May 20, 2022</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August 19, 2022</w:t>
            </w:r>
          </w:p>
        </w:tc>
      </w:tr>
      <w:tr>
        <w:trPr>
          <w:trHeight w:val="223"/>
        </w:trPr>
        <w:tc>
          <w:tcPr>
            <w:tcW w:w="4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date</w:t>
            </w:r>
          </w:p>
        </w:tc>
        <w:tc>
          <w:tcPr>
            <w:tcW w:w="3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March 15, 2022</w:t>
            </w:r>
          </w:p>
        </w:tc>
        <w:tc>
          <w:tcPr>
            <w:tcW w:w="30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June 15, 2022</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15, 2022</w:t>
            </w:r>
          </w:p>
        </w:tc>
      </w:tr>
    </w:tbl>
    <w:p>
      <w:pPr>
        <w:spacing w:after="0" w:line="221" w:lineRule="exact"/>
        <w:rPr>
          <w:sz w:val="20"/>
          <w:szCs w:val="20"/>
          <w:color w:val="auto"/>
        </w:rPr>
      </w:pPr>
    </w:p>
    <w:p>
      <w:pPr>
        <w:ind w:left="320" w:right="300" w:hanging="317"/>
        <w:spacing w:after="0" w:line="266" w:lineRule="auto"/>
        <w:tabs>
          <w:tab w:leader="none" w:pos="31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Share repurchases</w:t>
      </w:r>
      <w:r>
        <w:rPr>
          <w:rFonts w:ascii="Times New Roman" w:cs="Times New Roman" w:eastAsia="Times New Roman" w:hAnsi="Times New Roman"/>
          <w:sz w:val="17"/>
          <w:szCs w:val="17"/>
          <w:color w:val="auto"/>
        </w:rPr>
        <w:t>. We repurchase shares of Common Stock to offset the dilutive impact of treasury shares issued under our equity compensation plans.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1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October 2,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October 3, 2</w:t>
            </w:r>
          </w:p>
        </w:tc>
      </w:tr>
      <w:tr>
        <w:trPr>
          <w:trHeight w:val="212"/>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Milton Hershey School Trust repurchase</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Shares repurchased in the open market under pre-approved share repurchase programs</w:t>
            </w:r>
          </w:p>
        </w:tc>
        <w:tc>
          <w:tcPr>
            <w:tcW w:w="2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r>
      <w:tr>
        <w:trPr>
          <w:trHeight w:val="168"/>
        </w:trPr>
        <w:tc>
          <w:tcPr>
            <w:tcW w:w="762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repurchased in the open market to replace Treasury Stock issued for stock options and incentive</w:t>
            </w: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10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1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used for total share repurchases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355.3</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shares repurchased under pre-approved share repurchase programs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bl>
    <w:p>
      <w:pPr>
        <w:spacing w:after="0" w:line="216" w:lineRule="exact"/>
        <w:rPr>
          <w:sz w:val="20"/>
          <w:szCs w:val="20"/>
          <w:color w:val="auto"/>
        </w:rPr>
      </w:pPr>
    </w:p>
    <w:p>
      <w:pPr>
        <w:jc w:val="both"/>
        <w:ind w:left="320" w:right="560"/>
        <w:spacing w:after="0" w:line="270" w:lineRule="auto"/>
        <w:rPr>
          <w:sz w:val="20"/>
          <w:szCs w:val="20"/>
          <w:color w:val="auto"/>
        </w:rPr>
      </w:pPr>
      <w:r>
        <w:rPr>
          <w:rFonts w:ascii="Times New Roman" w:cs="Times New Roman" w:eastAsia="Times New Roman" w:hAnsi="Times New Roman"/>
          <w:sz w:val="17"/>
          <w:szCs w:val="17"/>
          <w:color w:val="auto"/>
        </w:rPr>
        <w:t>In February 2022, the Company entered into a Stock Purchase Agreement with Hershey Trust Company, as trustee for the Milton Hershey School Trust, pursuant to which the Company purchased 1,000,000 shares of the Company’s Common Stock from the Milton Hershey School Trust at a price equal to $203.35 per share, for a total purchase price of $203.4 million.</w:t>
      </w:r>
    </w:p>
    <w:p>
      <w:pPr>
        <w:spacing w:after="0" w:line="114" w:lineRule="exact"/>
        <w:rPr>
          <w:sz w:val="20"/>
          <w:szCs w:val="20"/>
          <w:color w:val="auto"/>
        </w:rPr>
      </w:pPr>
    </w:p>
    <w:p>
      <w:pPr>
        <w:ind w:left="320" w:right="200"/>
        <w:spacing w:after="0" w:line="264" w:lineRule="auto"/>
        <w:rPr>
          <w:sz w:val="20"/>
          <w:szCs w:val="20"/>
          <w:color w:val="auto"/>
        </w:rPr>
      </w:pPr>
      <w:r>
        <w:rPr>
          <w:rFonts w:ascii="Times New Roman" w:cs="Times New Roman" w:eastAsia="Times New Roman" w:hAnsi="Times New Roman"/>
          <w:sz w:val="17"/>
          <w:szCs w:val="17"/>
          <w:color w:val="auto"/>
        </w:rPr>
        <w:t>In July 2018, our Board of Directors approved a $500 million share repurchase authorization. As of October 2, 2022, approximately $110 million remained available for repurchases of our Common Stock under this program. The share repurchase program does not have an expiration date. In May 2021, our Board of Directors approved an additional $500 million share repurchase authorization. This program is to commence after the existing 2018 authorization is completed and is to be utilized at management’s discretion. We expect 2022 share repurchases to be in line with our traditional buyback strategy.</w:t>
      </w:r>
    </w:p>
    <w:p>
      <w:pPr>
        <w:spacing w:after="0" w:line="116" w:lineRule="exact"/>
        <w:rPr>
          <w:sz w:val="20"/>
          <w:szCs w:val="20"/>
          <w:color w:val="auto"/>
        </w:rPr>
      </w:pPr>
    </w:p>
    <w:p>
      <w:pPr>
        <w:ind w:left="320" w:right="420" w:hanging="317"/>
        <w:spacing w:after="0" w:line="266" w:lineRule="auto"/>
        <w:tabs>
          <w:tab w:leader="none" w:pos="316"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Proceeds from exercised stock options and employee tax withholding. </w:t>
      </w:r>
      <w:r>
        <w:rPr>
          <w:rFonts w:ascii="Times New Roman" w:cs="Times New Roman" w:eastAsia="Times New Roman" w:hAnsi="Times New Roman"/>
          <w:sz w:val="17"/>
          <w:szCs w:val="17"/>
          <w:color w:val="auto"/>
        </w:rPr>
        <w:t>During the first nine months of 2022, we received $30.8 million from employee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exercises of stock options and paid $34.7 million of employee taxes withheld from share-based awards. During the first nine months of 2021, we received $39.5 million from employee exercises of stock options and paid $16.1 million of employee taxes withheld from share-based awards. Variances are driven primarily by the number of shares exercised and the share price at the date of grant.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Information on recently adopted and issued accounting standards is included in </w:t>
      </w:r>
      <w:r>
        <w:rPr>
          <w:rFonts w:ascii="Times New Roman" w:cs="Times New Roman" w:eastAsia="Times New Roman" w:hAnsi="Times New Roman"/>
          <w:sz w:val="17"/>
          <w:szCs w:val="17"/>
          <w:u w:val="single" w:color="auto"/>
          <w:color w:val="0000FF"/>
        </w:rPr>
        <w:t>Note 1</w:t>
      </w:r>
      <w:r>
        <w:rPr>
          <w:rFonts w:ascii="Times New Roman" w:cs="Times New Roman" w:eastAsia="Times New Roman" w:hAnsi="Times New Roman"/>
          <w:sz w:val="17"/>
          <w:szCs w:val="17"/>
          <w:color w:val="auto"/>
        </w:rPr>
        <w:t xml:space="preserve">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279400</wp:posOffset>
            </wp:positionV>
            <wp:extent cx="188595" cy="163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357" w:right="239" w:bottom="1440" w:gutter="0" w:footer="0" w:header="0"/>
        </w:sectPr>
      </w:pPr>
    </w:p>
    <w:bookmarkStart w:id="49" w:name="page50"/>
    <w:bookmarkEnd w:id="49"/>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Safe Harbor Statement</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19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factors that could cause our actual results to differ materially from the results projected in our forward-looking statements include, but are not limited to the following:</w:t>
      </w:r>
    </w:p>
    <w:p>
      <w:pPr>
        <w:spacing w:after="0" w:line="177" w:lineRule="exact"/>
        <w:rPr>
          <w:sz w:val="20"/>
          <w:szCs w:val="20"/>
          <w:color w:val="auto"/>
        </w:rPr>
      </w:pPr>
    </w:p>
    <w:p>
      <w:pPr>
        <w:ind w:left="620" w:right="140" w:hanging="307"/>
        <w:spacing w:after="0" w:line="270"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COVID-19 pandemic;</w:t>
      </w:r>
    </w:p>
    <w:p>
      <w:pPr>
        <w:spacing w:after="0" w:line="191" w:lineRule="exact"/>
        <w:rPr>
          <w:rFonts w:ascii="Times New Roman" w:cs="Times New Roman" w:eastAsia="Times New Roman" w:hAnsi="Times New Roman"/>
          <w:sz w:val="17"/>
          <w:szCs w:val="17"/>
          <w:color w:val="auto"/>
        </w:rPr>
      </w:pPr>
    </w:p>
    <w:p>
      <w:pPr>
        <w:ind w:left="620" w:right="160" w:hanging="307"/>
        <w:spacing w:after="0" w:line="270"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191"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to our manufacturing operations or supply chain could impair our ability to produce or deliver finished products, resulting in a negative impact on our operating results;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be able to hire, engage and retain the talented global workforce we need to drive our growth strategies;</w:t>
      </w:r>
    </w:p>
    <w:p>
      <w:pPr>
        <w:spacing w:after="0" w:line="242"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raw material and energy costs along with the availability of adequate supplies of raw materials could affect future financial results;</w:t>
      </w:r>
    </w:p>
    <w:p>
      <w:pPr>
        <w:spacing w:after="0" w:line="242"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increases may not be sufficient to offset cost increases and maintain profitability or may result in sales volume declines associated with pricing elasticity;</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demand for new and existing products could decline;</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marketplace competition could hurt our business;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results may be adversely impacted by the failure to successfully execute or integrate acquisitions, divestitures and joint ventures;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operations may not achieve projected growth objectives, which could adversely impact our overall business and results of operations;</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fully realize the expected cost savings and/or operating efficiencies associated with our strategic initiatives or restructuring programs, which may have an adverse impact on our business;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laws and regulations could increase our costs and liabilities or impact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279400</wp:posOffset>
            </wp:positionV>
            <wp:extent cx="188595" cy="163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ind w:left="620" w:right="28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economic and/or financial market conditions, including impacts on our business arising from the conflict between Russia and Ukraine, could negatively impact our financial results;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failures or security breaches of our information technology infrastructure could have a negative impact on our operations;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Complications with the design or implementation of our new enterprise resource planning system could adversely impact our business and operations; and</w:t>
      </w:r>
    </w:p>
    <w:p>
      <w:pPr>
        <w:spacing w:after="0" w:line="242"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matters as discussed in our 2021 Annual Report on Form 10-K, our Quarterly Reports on Form 10-Q for the quarterly periods ended April 3, 2022 and July 3, 2022, and this Quarterly Report on Form 10-Q, including Part II, Item 1A, ”Risk Factors.”</w:t>
      </w:r>
    </w:p>
    <w:p>
      <w:pPr>
        <w:spacing w:after="0" w:line="1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6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total amount of short-term debt, net of cash, amounted to net debt of $466.1 million and net debt of $610.2 million, at October 2, 2022 and December 31, 2021, respectively. A hypothetical 100 basis point increase in interest rates applied to this variable-rate short-term debt as of October 2, 2022 would have changed interest expense by approximately $3.9 million for the first nine months of 2022 and $2.4 million for 2021.</w:t>
      </w:r>
    </w:p>
    <w:p>
      <w:pPr>
        <w:spacing w:after="0" w:line="11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October 2, 2022 and December 31, 2021 by approximately $175 million and $319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 potential decline in fair value of foreign currency forward exchange contracts resulting from a hypothetical near-term adverse change in market rates of 10% was $17.2 million as of October 2, 2022 and $24.8 million as of December 31, 2021, generally offset by a reduction in foreign exchange associated with our transactional activities.</w:t>
      </w:r>
    </w:p>
    <w:p>
      <w:pPr>
        <w:spacing w:after="0" w:line="11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Our open commodity derivative contracts had a notional value of 679.2 million as of October 2, 2022 and $313.2 million as of December 31, 2021. At the end of the third quarter of 2022, the potential change in fair value of commodity derivative instruments, assuming a 10% decrease in the underlying commodity price, would have increased our net unrealized losses by $68.8 million, generally offset by a reduction in the cost of the underlying commodity purchases.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as described above, market risks have not changed significantly from those described in our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279400</wp:posOffset>
            </wp:positionV>
            <wp:extent cx="188595" cy="163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51" w:name="page52"/>
    <w:bookmarkEnd w:id="51"/>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October 2, 2022. Based on this evaluation, our Chief Executive Officer and Chief Financial Officer concluded that our disclosure controls and procedures were effective as of October 2, 2022.</w:t>
      </w:r>
    </w:p>
    <w:p>
      <w:pPr>
        <w:spacing w:after="0" w:line="1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During the third quarter of 2022, we completed the implementation of our new ERP system for one operating segment which is included in our International segment. The portion of the transition to the new ERP system which we have completed to date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24"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during the quarter ended October 2, 2022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344170</wp:posOffset>
            </wp:positionV>
            <wp:extent cx="188595" cy="163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Information on legal proceedings is included in </w:t>
      </w:r>
      <w:r>
        <w:rPr>
          <w:rFonts w:ascii="Times New Roman" w:cs="Times New Roman" w:eastAsia="Times New Roman" w:hAnsi="Times New Roman"/>
          <w:sz w:val="17"/>
          <w:szCs w:val="17"/>
          <w:u w:val="single" w:color="auto"/>
          <w:color w:val="0000FF"/>
        </w:rPr>
        <w:t>Note 15</w:t>
      </w:r>
      <w:r>
        <w:rPr>
          <w:rFonts w:ascii="Times New Roman" w:cs="Times New Roman" w:eastAsia="Times New Roman" w:hAnsi="Times New Roman"/>
          <w:sz w:val="17"/>
          <w:szCs w:val="17"/>
          <w:color w:val="auto"/>
        </w:rPr>
        <w:t xml:space="preserve"> to the Unaudited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When evaluating an investment in our Common Stock, investors should consider carefully, among other things, the risk factors previously disclosed in Part I, Item 1A, “Risk Factors,” of our 2021 Annual Report on Form 10-K, Part II, Item 1A, "Risk Factors," of our Quarterly Reports on Form 10-Q for the quarterly periods ended April 3, 2022 and July 3, 2022, and the information contained in this Quarterly Report on Form 10-Q and our other reports and registration statements filed with the SEC.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purchases of our Common Stock during the three months ended October 2, 2022.</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July 2018, our Board of Directors approved a $500 million share repurchase authorization. As of October 2, 2022, approximately $110 million remained available for repurchases of our Common Stock under this program. The share repurchase program does not have an expiration date. In May 2021, our Board of Directors approved an additional $500 million share repurchase authorization. This program is to commence after the existing 2018 authorization is completed and is to be utilized at management’s discretion.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279400</wp:posOffset>
            </wp:positionV>
            <wp:extent cx="188595" cy="163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02" w:right="379" w:bottom="1440" w:gutter="0" w:footer="0" w:header="0"/>
        </w:sectPr>
      </w:pPr>
    </w:p>
    <w:bookmarkStart w:id="53" w:name="page54"/>
    <w:bookmarkEnd w:id="53"/>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this Quarterly Report on Form 10-Q:</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20" w:type="dxa"/>
            <w:vAlign w:val="bottom"/>
            <w:gridSpan w:val="5"/>
          </w:tcPr>
          <w:p>
            <w:pPr>
              <w:ind w:left="106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83"/>
        </w:trPr>
        <w:tc>
          <w:tcPr>
            <w:tcW w:w="720" w:type="dxa"/>
            <w:vAlign w:val="bottom"/>
            <w:tcBorders>
              <w:top w:val="single" w:sz="8" w:color="auto"/>
              <w:right w:val="single" w:sz="8" w:color="CCEEFF"/>
            </w:tcBorders>
            <w:gridSpan w:val="2"/>
            <w:shd w:val="clear" w:color="auto" w:fill="CCEEFF"/>
          </w:tcPr>
          <w:p>
            <w:pPr>
              <w:jc w:val="center"/>
              <w:ind w:left="383"/>
              <w:spacing w:after="0" w:line="164" w:lineRule="exact"/>
              <w:rPr>
                <w:rFonts w:ascii="Times New Roman" w:cs="Times New Roman" w:eastAsia="Times New Roman" w:hAnsi="Times New Roman"/>
                <w:sz w:val="15"/>
                <w:szCs w:val="15"/>
                <w:color w:val="0000FF"/>
                <w:w w:val="95"/>
              </w:rPr>
            </w:pPr>
            <w:hyperlink r:id="rId139">
              <w:r>
                <w:rPr>
                  <w:rFonts w:ascii="Times New Roman" w:cs="Times New Roman" w:eastAsia="Times New Roman" w:hAnsi="Times New Roman"/>
                  <w:sz w:val="15"/>
                  <w:szCs w:val="15"/>
                  <w:color w:val="0000FF"/>
                  <w:w w:val="95"/>
                </w:rPr>
                <w:t>3.</w:t>
              </w:r>
              <w:r>
                <w:rPr>
                  <w:rFonts w:ascii="Times New Roman" w:cs="Times New Roman" w:eastAsia="Times New Roman" w:hAnsi="Times New Roman"/>
                  <w:sz w:val="15"/>
                  <w:szCs w:val="15"/>
                  <w:u w:val="single" w:color="auto"/>
                  <w:color w:val="0000FF"/>
                  <w:w w:val="95"/>
                </w:rPr>
                <w:t>1</w:t>
              </w:r>
            </w:hyperlink>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9920" w:type="dxa"/>
            <w:vAlign w:val="bottom"/>
            <w:tcBorders>
              <w:top w:val="single" w:sz="8" w:color="auto"/>
            </w:tcBorders>
            <w:gridSpan w:val="8"/>
            <w:shd w:val="clear" w:color="auto" w:fill="CCEEFF"/>
          </w:tcPr>
          <w:p>
            <w:pPr>
              <w:spacing w:after="0" w:line="164" w:lineRule="exact"/>
              <w:rPr>
                <w:rFonts w:ascii="Times New Roman" w:cs="Times New Roman" w:eastAsia="Times New Roman" w:hAnsi="Times New Roman"/>
                <w:sz w:val="15"/>
                <w:szCs w:val="15"/>
                <w:color w:val="0000FF"/>
              </w:rPr>
            </w:pPr>
            <w:hyperlink r:id="rId139">
              <w:r>
                <w:rPr>
                  <w:rFonts w:ascii="Times New Roman" w:cs="Times New Roman" w:eastAsia="Times New Roman" w:hAnsi="Times New Roman"/>
                  <w:sz w:val="15"/>
                  <w:szCs w:val="15"/>
                  <w:color w:val="0000FF"/>
                </w:rPr>
                <w:t>The Company’s Restated Certificate of Incorporation, as amended, is incorporated by reference from Exhibit 3 to the Company’s Quarterly Report on Form 10-</w:t>
              </w:r>
            </w:hyperlink>
          </w:p>
        </w:tc>
      </w:tr>
      <w:tr>
        <w:trPr>
          <w:trHeight w:val="133"/>
        </w:trPr>
        <w:tc>
          <w:tcPr>
            <w:tcW w:w="5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2340" w:type="dxa"/>
            <w:vAlign w:val="bottom"/>
            <w:tcBorders>
              <w:top w:val="single" w:sz="8" w:color="0000FF"/>
              <w:bottom w:val="single" w:sz="8" w:color="0000FF"/>
            </w:tcBorders>
            <w:gridSpan w:val="2"/>
            <w:shd w:val="clear" w:color="auto" w:fill="CCEEFF"/>
          </w:tcPr>
          <w:p>
            <w:pPr>
              <w:spacing w:after="0" w:line="115"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Q for the quarter ended April 3, 2005.</w:t>
              </w:r>
            </w:hyperlink>
          </w:p>
        </w:tc>
        <w:tc>
          <w:tcPr>
            <w:tcW w:w="7540" w:type="dxa"/>
            <w:vAlign w:val="bottom"/>
            <w:tcBorders>
              <w:top w:val="single" w:sz="8" w:color="0000FF"/>
              <w:bottom w:val="single" w:sz="8" w:color="CCEEFF"/>
            </w:tcBorders>
            <w:gridSpan w:val="5"/>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68"/>
        </w:trPr>
        <w:tc>
          <w:tcPr>
            <w:tcW w:w="720" w:type="dxa"/>
            <w:vAlign w:val="bottom"/>
            <w:gridSpan w:val="2"/>
          </w:tcPr>
          <w:p>
            <w:pPr>
              <w:jc w:val="center"/>
              <w:ind w:left="383"/>
              <w:spacing w:after="0" w:line="168" w:lineRule="exact"/>
              <w:rPr>
                <w:rFonts w:ascii="Times New Roman" w:cs="Times New Roman" w:eastAsia="Times New Roman" w:hAnsi="Times New Roman"/>
                <w:sz w:val="15"/>
                <w:szCs w:val="15"/>
                <w:color w:val="0000FF"/>
                <w:w w:val="95"/>
              </w:rPr>
            </w:pPr>
            <w:hyperlink r:id="rId140">
              <w:r>
                <w:rPr>
                  <w:rFonts w:ascii="Times New Roman" w:cs="Times New Roman" w:eastAsia="Times New Roman" w:hAnsi="Times New Roman"/>
                  <w:sz w:val="15"/>
                  <w:szCs w:val="15"/>
                  <w:color w:val="0000FF"/>
                  <w:w w:val="95"/>
                </w:rPr>
                <w:t>3.</w:t>
              </w:r>
              <w:r>
                <w:rPr>
                  <w:rFonts w:ascii="Times New Roman" w:cs="Times New Roman" w:eastAsia="Times New Roman" w:hAnsi="Times New Roman"/>
                  <w:sz w:val="15"/>
                  <w:szCs w:val="15"/>
                  <w:u w:val="single" w:color="auto"/>
                  <w:color w:val="0000FF"/>
                  <w:w w:val="95"/>
                </w:rPr>
                <w:t>2</w:t>
              </w:r>
            </w:hyperlink>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20" w:type="dxa"/>
            <w:vAlign w:val="bottom"/>
            <w:gridSpan w:val="8"/>
          </w:tcPr>
          <w:p>
            <w:pPr>
              <w:spacing w:after="0" w:line="168" w:lineRule="exact"/>
              <w:rPr>
                <w:rFonts w:ascii="Times New Roman" w:cs="Times New Roman" w:eastAsia="Times New Roman" w:hAnsi="Times New Roman"/>
                <w:sz w:val="15"/>
                <w:szCs w:val="15"/>
                <w:color w:val="0000FF"/>
              </w:rPr>
            </w:pPr>
            <w:hyperlink r:id="rId140">
              <w:r>
                <w:rPr>
                  <w:rFonts w:ascii="Times New Roman" w:cs="Times New Roman" w:eastAsia="Times New Roman" w:hAnsi="Times New Roman"/>
                  <w:sz w:val="15"/>
                  <w:szCs w:val="15"/>
                  <w:color w:val="0000FF"/>
                </w:rPr>
                <w:t>The Company's By-laws, as amended and restated as of February 21, 2017, are incorporated by reference from Exhibit 3.2 to the Company’s Annual Report on</w:t>
              </w:r>
            </w:hyperlink>
          </w:p>
        </w:tc>
      </w:tr>
      <w:tr>
        <w:trPr>
          <w:trHeight w:val="135"/>
        </w:trPr>
        <w:tc>
          <w:tcPr>
            <w:tcW w:w="50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40" w:type="dxa"/>
            <w:vAlign w:val="bottom"/>
            <w:tcBorders>
              <w:top w:val="single" w:sz="8" w:color="0000FF"/>
            </w:tcBorders>
            <w:gridSpan w:val="6"/>
          </w:tcPr>
          <w:p>
            <w:pPr>
              <w:spacing w:after="0" w:line="135" w:lineRule="exact"/>
              <w:rPr>
                <w:rFonts w:ascii="Times New Roman" w:cs="Times New Roman" w:eastAsia="Times New Roman" w:hAnsi="Times New Roman"/>
                <w:sz w:val="15"/>
                <w:szCs w:val="15"/>
                <w:color w:val="0000FF"/>
              </w:rPr>
            </w:pPr>
            <w:hyperlink r:id="rId140">
              <w:r>
                <w:rPr>
                  <w:rFonts w:ascii="Times New Roman" w:cs="Times New Roman" w:eastAsia="Times New Roman" w:hAnsi="Times New Roman"/>
                  <w:sz w:val="15"/>
                  <w:szCs w:val="15"/>
                  <w:color w:val="0000FF"/>
                </w:rPr>
                <w:t>Form 10-K for the fiscal year ended December 31, 2018.</w:t>
              </w:r>
            </w:hyperlink>
          </w:p>
        </w:tc>
        <w:tc>
          <w:tcPr>
            <w:tcW w:w="80" w:type="dxa"/>
            <w:vAlign w:val="bottom"/>
            <w:gridSpan w:val="2"/>
          </w:tcPr>
          <w:p>
            <w:pPr>
              <w:spacing w:after="0"/>
              <w:rPr>
                <w:sz w:val="11"/>
                <w:szCs w:val="11"/>
                <w:color w:val="auto"/>
              </w:rPr>
            </w:pPr>
          </w:p>
        </w:tc>
      </w:tr>
      <w:tr>
        <w:trPr>
          <w:trHeight w:val="29"/>
        </w:trPr>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7"/>
        </w:trPr>
        <w:tc>
          <w:tcPr>
            <w:tcW w:w="720" w:type="dxa"/>
            <w:vAlign w:val="bottom"/>
            <w:tcBorders>
              <w:right w:val="single" w:sz="8" w:color="CCEEFF"/>
            </w:tcBorders>
            <w:gridSpan w:val="2"/>
            <w:shd w:val="clear" w:color="auto" w:fill="CCEEFF"/>
          </w:tcPr>
          <w:p>
            <w:pPr>
              <w:jc w:val="center"/>
              <w:ind w:left="383"/>
              <w:spacing w:after="0"/>
              <w:rPr>
                <w:sz w:val="20"/>
                <w:szCs w:val="20"/>
                <w:color w:val="auto"/>
              </w:rPr>
            </w:pPr>
            <w:r>
              <w:rPr>
                <w:rFonts w:ascii="Times New Roman" w:cs="Times New Roman" w:eastAsia="Times New Roman" w:hAnsi="Times New Roman"/>
                <w:sz w:val="15"/>
                <w:szCs w:val="15"/>
                <w:color w:val="0000FF"/>
                <w:w w:val="98"/>
              </w:rPr>
              <w:t>31.</w:t>
            </w:r>
            <w:r>
              <w:rPr>
                <w:rFonts w:ascii="Times New Roman" w:cs="Times New Roman" w:eastAsia="Times New Roman" w:hAnsi="Times New Roman"/>
                <w:sz w:val="15"/>
                <w:szCs w:val="15"/>
                <w:u w:val="single" w:color="auto"/>
                <w:color w:val="0000FF"/>
                <w:w w:val="98"/>
              </w:rPr>
              <w:t>1</w:t>
            </w:r>
          </w:p>
        </w:tc>
        <w:tc>
          <w:tcPr>
            <w:tcW w:w="4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9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0000FF"/>
              </w:rPr>
              <w:t>Certification of Michele G. Buck, Chief Executive Officer, pursuant to Section 302 of the Sarbanes-Oxley Act of 2002.</w:t>
            </w:r>
            <w:r>
              <w:rPr>
                <w:rFonts w:ascii="Times New Roman" w:cs="Times New Roman" w:eastAsia="Times New Roman" w:hAnsi="Times New Roman"/>
                <w:sz w:val="15"/>
                <w:szCs w:val="15"/>
                <w:color w:val="000000"/>
              </w:rPr>
              <w:t>*</w:t>
            </w:r>
          </w:p>
        </w:tc>
      </w:tr>
      <w:tr>
        <w:trPr>
          <w:trHeight w:val="39"/>
        </w:trPr>
        <w:tc>
          <w:tcPr>
            <w:tcW w:w="500" w:type="dxa"/>
            <w:vAlign w:val="bottom"/>
            <w:tcBorders>
              <w:right w:val="single" w:sz="8" w:color="0000FF"/>
            </w:tcBorders>
            <w:shd w:val="clear" w:color="auto" w:fill="CCEE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3880" w:type="dxa"/>
            <w:vAlign w:val="bottom"/>
            <w:shd w:val="clear" w:color="auto" w:fill="0000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68"/>
        </w:trPr>
        <w:tc>
          <w:tcPr>
            <w:tcW w:w="720" w:type="dxa"/>
            <w:vAlign w:val="bottom"/>
            <w:gridSpan w:val="2"/>
          </w:tcPr>
          <w:p>
            <w:pPr>
              <w:jc w:val="center"/>
              <w:ind w:left="383"/>
              <w:spacing w:after="0" w:line="168" w:lineRule="exact"/>
              <w:rPr>
                <w:sz w:val="20"/>
                <w:szCs w:val="20"/>
                <w:color w:val="auto"/>
              </w:rPr>
            </w:pPr>
            <w:r>
              <w:rPr>
                <w:rFonts w:ascii="Times New Roman" w:cs="Times New Roman" w:eastAsia="Times New Roman" w:hAnsi="Times New Roman"/>
                <w:sz w:val="15"/>
                <w:szCs w:val="15"/>
                <w:color w:val="0000FF"/>
                <w:w w:val="98"/>
              </w:rPr>
              <w:t>31.</w:t>
            </w:r>
            <w:r>
              <w:rPr>
                <w:rFonts w:ascii="Times New Roman" w:cs="Times New Roman" w:eastAsia="Times New Roman" w:hAnsi="Times New Roman"/>
                <w:sz w:val="15"/>
                <w:szCs w:val="15"/>
                <w:u w:val="single" w:color="auto"/>
                <w:color w:val="0000FF"/>
                <w:w w:val="98"/>
              </w:rPr>
              <w:t>2</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20" w:type="dxa"/>
            <w:vAlign w:val="bottom"/>
            <w:gridSpan w:val="8"/>
          </w:tcPr>
          <w:p>
            <w:pPr>
              <w:spacing w:after="0" w:line="168" w:lineRule="exact"/>
              <w:rPr>
                <w:sz w:val="20"/>
                <w:szCs w:val="20"/>
                <w:color w:val="auto"/>
              </w:rPr>
            </w:pPr>
            <w:r>
              <w:rPr>
                <w:rFonts w:ascii="Times New Roman" w:cs="Times New Roman" w:eastAsia="Times New Roman" w:hAnsi="Times New Roman"/>
                <w:sz w:val="15"/>
                <w:szCs w:val="15"/>
                <w:color w:val="0000FF"/>
              </w:rPr>
              <w:t>Certification of Steven E. Voskuil, Chief Financial Officer, pursuant to Section 302 of the Sarbanes-Oxley Act of 2002.</w:t>
            </w:r>
            <w:r>
              <w:rPr>
                <w:rFonts w:ascii="Times New Roman" w:cs="Times New Roman" w:eastAsia="Times New Roman" w:hAnsi="Times New Roman"/>
                <w:sz w:val="15"/>
                <w:szCs w:val="15"/>
                <w:color w:val="000000"/>
              </w:rPr>
              <w:t>*</w:t>
            </w:r>
          </w:p>
        </w:tc>
      </w:tr>
      <w:tr>
        <w:trPr>
          <w:trHeight w:val="29"/>
        </w:trPr>
        <w:tc>
          <w:tcPr>
            <w:tcW w:w="500" w:type="dxa"/>
            <w:vAlign w:val="bottom"/>
            <w:tcBorders>
              <w:right w:val="single" w:sz="8" w:color="0000FF"/>
            </w:tcBorders>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3880" w:type="dxa"/>
            <w:vAlign w:val="bottom"/>
            <w:shd w:val="clear" w:color="auto" w:fill="0000FF"/>
          </w:tcPr>
          <w:p>
            <w:pPr>
              <w:spacing w:after="0"/>
              <w:rPr>
                <w:sz w:val="2"/>
                <w:szCs w:val="2"/>
                <w:color w:val="auto"/>
              </w:rPr>
            </w:pPr>
          </w:p>
        </w:tc>
        <w:tc>
          <w:tcPr>
            <w:tcW w:w="2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7"/>
        </w:trPr>
        <w:tc>
          <w:tcPr>
            <w:tcW w:w="720" w:type="dxa"/>
            <w:vAlign w:val="bottom"/>
            <w:tcBorders>
              <w:right w:val="single" w:sz="8" w:color="CCEEFF"/>
            </w:tcBorders>
            <w:gridSpan w:val="2"/>
            <w:shd w:val="clear" w:color="auto" w:fill="CCEEFF"/>
          </w:tcPr>
          <w:p>
            <w:pPr>
              <w:jc w:val="center"/>
              <w:ind w:left="383"/>
              <w:spacing w:after="0"/>
              <w:rPr>
                <w:sz w:val="20"/>
                <w:szCs w:val="20"/>
                <w:color w:val="auto"/>
              </w:rPr>
            </w:pPr>
            <w:r>
              <w:rPr>
                <w:rFonts w:ascii="Times New Roman" w:cs="Times New Roman" w:eastAsia="Times New Roman" w:hAnsi="Times New Roman"/>
                <w:sz w:val="15"/>
                <w:szCs w:val="15"/>
                <w:color w:val="0000FF"/>
                <w:w w:val="98"/>
              </w:rPr>
              <w:t>32.</w:t>
            </w:r>
            <w:r>
              <w:rPr>
                <w:rFonts w:ascii="Times New Roman" w:cs="Times New Roman" w:eastAsia="Times New Roman" w:hAnsi="Times New Roman"/>
                <w:sz w:val="15"/>
                <w:szCs w:val="15"/>
                <w:u w:val="single" w:color="auto"/>
                <w:color w:val="0000FF"/>
                <w:w w:val="98"/>
              </w:rPr>
              <w:t>1</w:t>
            </w:r>
          </w:p>
        </w:tc>
        <w:tc>
          <w:tcPr>
            <w:tcW w:w="4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9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0000FF"/>
              </w:rPr>
              <w:t>Certification of Michele G. Buck, Chief Executive Officer, and Steven E. Voskuil, Chief Financial Officer, pursuant to Section 906 of the Sarbanes-Oxley Act</w:t>
            </w:r>
          </w:p>
        </w:tc>
      </w:tr>
      <w:tr>
        <w:trPr>
          <w:trHeight w:val="135"/>
        </w:trPr>
        <w:tc>
          <w:tcPr>
            <w:tcW w:w="500" w:type="dxa"/>
            <w:vAlign w:val="bottom"/>
            <w:tcBorders>
              <w:top w:val="single" w:sz="8" w:color="CCEEFF"/>
              <w:right w:val="single" w:sz="8" w:color="CCEEFF"/>
            </w:tcBorders>
            <w:shd w:val="clear" w:color="auto" w:fill="CCEEFF"/>
          </w:tcPr>
          <w:p>
            <w:pPr>
              <w:spacing w:after="0"/>
              <w:rPr>
                <w:sz w:val="11"/>
                <w:szCs w:val="11"/>
                <w:color w:val="auto"/>
              </w:rPr>
            </w:pPr>
          </w:p>
        </w:tc>
        <w:tc>
          <w:tcPr>
            <w:tcW w:w="220" w:type="dxa"/>
            <w:vAlign w:val="bottom"/>
            <w:tcBorders>
              <w:top w:val="single" w:sz="8" w:color="0000FF"/>
              <w:right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9780" w:type="dxa"/>
            <w:vAlign w:val="bottom"/>
            <w:tcBorders>
              <w:top w:val="single" w:sz="8" w:color="0000FF"/>
            </w:tcBorders>
            <w:gridSpan w:val="5"/>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0000FF"/>
              </w:rPr>
              <w:t>of 2002.</w:t>
            </w:r>
            <w:r>
              <w:rPr>
                <w:rFonts w:ascii="Times New Roman" w:cs="Times New Roman" w:eastAsia="Times New Roman" w:hAnsi="Times New Roman"/>
                <w:sz w:val="15"/>
                <w:szCs w:val="15"/>
                <w:color w:val="000000"/>
              </w:rPr>
              <w:t>**</w:t>
            </w:r>
          </w:p>
        </w:tc>
        <w:tc>
          <w:tcPr>
            <w:tcW w:w="140" w:type="dxa"/>
            <w:vAlign w:val="bottom"/>
            <w:tcBorders>
              <w:top w:val="single" w:sz="8" w:color="CCEEFF"/>
            </w:tcBorders>
            <w:gridSpan w:val="3"/>
            <w:shd w:val="clear" w:color="auto" w:fill="CCEEFF"/>
          </w:tcPr>
          <w:p>
            <w:pPr>
              <w:spacing w:after="0"/>
              <w:rPr>
                <w:sz w:val="11"/>
                <w:szCs w:val="11"/>
                <w:color w:val="auto"/>
              </w:rPr>
            </w:pPr>
          </w:p>
        </w:tc>
      </w:tr>
      <w:tr>
        <w:trPr>
          <w:trHeight w:val="39"/>
        </w:trPr>
        <w:tc>
          <w:tcPr>
            <w:tcW w:w="500" w:type="dxa"/>
            <w:vAlign w:val="bottom"/>
            <w:tcBorders>
              <w:righ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56"/>
        </w:trPr>
        <w:tc>
          <w:tcPr>
            <w:tcW w:w="1320" w:type="dxa"/>
            <w:vAlign w:val="bottom"/>
            <w:gridSpan w:val="4"/>
          </w:tcPr>
          <w:p>
            <w:pPr>
              <w:jc w:val="center"/>
              <w:ind w:right="160"/>
              <w:spacing w:after="0" w:line="156" w:lineRule="exact"/>
              <w:rPr>
                <w:sz w:val="20"/>
                <w:szCs w:val="20"/>
                <w:color w:val="auto"/>
              </w:rPr>
            </w:pPr>
            <w:r>
              <w:rPr>
                <w:rFonts w:ascii="Times New Roman" w:cs="Times New Roman" w:eastAsia="Times New Roman" w:hAnsi="Times New Roman"/>
                <w:sz w:val="15"/>
                <w:szCs w:val="15"/>
                <w:color w:val="auto"/>
              </w:rPr>
              <w:t>101.INS</w:t>
            </w:r>
          </w:p>
        </w:tc>
        <w:tc>
          <w:tcPr>
            <w:tcW w:w="9920" w:type="dxa"/>
            <w:vAlign w:val="bottom"/>
            <w:gridSpan w:val="8"/>
          </w:tcPr>
          <w:p>
            <w:pPr>
              <w:spacing w:after="0" w:line="156" w:lineRule="exact"/>
              <w:rPr>
                <w:sz w:val="20"/>
                <w:szCs w:val="20"/>
                <w:color w:val="auto"/>
              </w:rPr>
            </w:pPr>
            <w:r>
              <w:rPr>
                <w:rFonts w:ascii="Times New Roman" w:cs="Times New Roman" w:eastAsia="Times New Roman" w:hAnsi="Times New Roman"/>
                <w:sz w:val="15"/>
                <w:szCs w:val="15"/>
                <w:color w:val="auto"/>
              </w:rPr>
              <w:t>Inline XBRL Instance Document - the instance document does not appear in the Interactive Data File because its XBRL tags are embedded within the Inline</w:t>
            </w:r>
          </w:p>
        </w:tc>
      </w:tr>
      <w:tr>
        <w:trPr>
          <w:trHeight w:val="203"/>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XBRL document.</w:t>
            </w:r>
          </w:p>
        </w:tc>
      </w:tr>
      <w:tr>
        <w:trPr>
          <w:trHeight w:val="222"/>
        </w:trPr>
        <w:tc>
          <w:tcPr>
            <w:tcW w:w="132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101.SCH</w:t>
            </w:r>
          </w:p>
        </w:tc>
        <w:tc>
          <w:tcPr>
            <w:tcW w:w="9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Schema</w:t>
            </w:r>
          </w:p>
        </w:tc>
      </w:tr>
      <w:tr>
        <w:trPr>
          <w:trHeight w:val="210"/>
        </w:trPr>
        <w:tc>
          <w:tcPr>
            <w:tcW w:w="132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color w:val="auto"/>
              </w:rPr>
              <w:t>101.CAL</w:t>
            </w:r>
          </w:p>
        </w:tc>
        <w:tc>
          <w:tcPr>
            <w:tcW w:w="992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w:t>
            </w:r>
          </w:p>
        </w:tc>
      </w:tr>
      <w:tr>
        <w:trPr>
          <w:trHeight w:val="215"/>
        </w:trPr>
        <w:tc>
          <w:tcPr>
            <w:tcW w:w="132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101.LAB</w:t>
            </w:r>
          </w:p>
        </w:tc>
        <w:tc>
          <w:tcPr>
            <w:tcW w:w="9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w:t>
            </w:r>
          </w:p>
        </w:tc>
      </w:tr>
      <w:tr>
        <w:trPr>
          <w:trHeight w:val="203"/>
        </w:trPr>
        <w:tc>
          <w:tcPr>
            <w:tcW w:w="132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color w:val="auto"/>
              </w:rPr>
              <w:t>101.PRE</w:t>
            </w:r>
          </w:p>
        </w:tc>
        <w:tc>
          <w:tcPr>
            <w:tcW w:w="992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w:t>
            </w:r>
          </w:p>
        </w:tc>
      </w:tr>
      <w:tr>
        <w:trPr>
          <w:trHeight w:val="209"/>
        </w:trPr>
        <w:tc>
          <w:tcPr>
            <w:tcW w:w="132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101.DEF</w:t>
            </w:r>
          </w:p>
        </w:tc>
        <w:tc>
          <w:tcPr>
            <w:tcW w:w="9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w:t>
            </w:r>
          </w:p>
        </w:tc>
      </w:tr>
    </w:tbl>
    <w:p>
      <w:pPr>
        <w:spacing w:after="0" w:line="14" w:lineRule="exact"/>
        <w:rPr>
          <w:sz w:val="20"/>
          <w:szCs w:val="20"/>
          <w:color w:val="auto"/>
        </w:rPr>
      </w:pPr>
    </w:p>
    <w:p>
      <w:pPr>
        <w:ind w:left="1300" w:right="140" w:hanging="826"/>
        <w:spacing w:after="0" w:line="307" w:lineRule="auto"/>
        <w:tabs>
          <w:tab w:leader="none" w:pos="13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cover page from the Company's Quarterly Report on Form 10-Q for the quarterly period ended October 2, 2022, formatted in Inline XBRL and contained in Exhibit 101.</w:t>
      </w:r>
    </w:p>
    <w:p>
      <w:pPr>
        <w:spacing w:after="0" w:line="229" w:lineRule="exact"/>
        <w:rPr>
          <w:sz w:val="20"/>
          <w:szCs w:val="20"/>
          <w:color w:val="auto"/>
        </w:rPr>
      </w:pPr>
    </w:p>
    <w:p>
      <w:pPr>
        <w:ind w:left="1300" w:hanging="749"/>
        <w:spacing w:after="0"/>
        <w:tabs>
          <w:tab w:leader="none" w:pos="13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34" w:lineRule="exact"/>
        <w:rPr>
          <w:sz w:val="20"/>
          <w:szCs w:val="20"/>
          <w:color w:val="auto"/>
        </w:rPr>
      </w:pPr>
    </w:p>
    <w:p>
      <w:pPr>
        <w:ind w:left="1300" w:hanging="788"/>
        <w:spacing w:after="0"/>
        <w:tabs>
          <w:tab w:leader="none" w:pos="13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1117600</wp:posOffset>
            </wp:positionV>
            <wp:extent cx="188595" cy="163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ind w:left="50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19"/>
        </w:trPr>
        <w:tc>
          <w:tcPr>
            <w:tcW w:w="2640" w:type="dxa"/>
            <w:vAlign w:val="bottom"/>
          </w:tcPr>
          <w:p>
            <w:pPr>
              <w:spacing w:after="0"/>
              <w:rPr>
                <w:sz w:val="19"/>
                <w:szCs w:val="19"/>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THE HERSHEY COMPANY</w:t>
            </w:r>
          </w:p>
        </w:tc>
      </w:tr>
      <w:tr>
        <w:trPr>
          <w:trHeight w:val="227"/>
        </w:trPr>
        <w:tc>
          <w:tcPr>
            <w:tcW w:w="2640" w:type="dxa"/>
            <w:vAlign w:val="bottom"/>
          </w:tcPr>
          <w:p>
            <w:pPr>
              <w:spacing w:after="0"/>
              <w:rPr>
                <w:sz w:val="19"/>
                <w:szCs w:val="19"/>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(Registrant)</w:t>
            </w:r>
          </w:p>
        </w:tc>
      </w:tr>
      <w:tr>
        <w:trPr>
          <w:trHeight w:val="477"/>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4, 2022</w:t>
            </w:r>
          </w:p>
        </w:tc>
        <w:tc>
          <w:tcPr>
            <w:tcW w:w="5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/s/ Steven E. Voskuil</w:t>
            </w:r>
          </w:p>
        </w:tc>
      </w:tr>
      <w:tr>
        <w:trPr>
          <w:trHeight w:val="209"/>
        </w:trPr>
        <w:tc>
          <w:tcPr>
            <w:tcW w:w="264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Steven E. Voskuil</w:t>
            </w:r>
          </w:p>
        </w:tc>
      </w:tr>
      <w:tr>
        <w:trPr>
          <w:trHeight w:val="219"/>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Senior Vice President, Chief Financial Officer</w:t>
            </w:r>
          </w:p>
        </w:tc>
      </w:tr>
      <w:tr>
        <w:trPr>
          <w:trHeight w:val="223"/>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77"/>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4, 2022</w:t>
            </w:r>
          </w:p>
        </w:tc>
        <w:tc>
          <w:tcPr>
            <w:tcW w:w="5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/s/ Jennifer L. McCalman</w:t>
            </w:r>
          </w:p>
        </w:tc>
      </w:tr>
      <w:tr>
        <w:trPr>
          <w:trHeight w:val="209"/>
        </w:trPr>
        <w:tc>
          <w:tcPr>
            <w:tcW w:w="264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Jennifer L. McCalman</w:t>
            </w:r>
          </w:p>
        </w:tc>
      </w:tr>
      <w:tr>
        <w:trPr>
          <w:trHeight w:val="219"/>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Vice President, Chief Accounting Officer</w:t>
            </w:r>
          </w:p>
        </w:tc>
      </w:tr>
      <w:tr>
        <w:trPr>
          <w:trHeight w:val="223"/>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466090</wp:posOffset>
            </wp:positionV>
            <wp:extent cx="188595" cy="163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3900" w:val="left"/>
        </w:tabs>
        <w:rPr>
          <w:sz w:val="20"/>
          <w:szCs w:val="20"/>
          <w:color w:val="auto"/>
        </w:rPr>
      </w:pPr>
      <w:r>
        <w:rPr>
          <w:rFonts w:ascii="Times New Roman" w:cs="Times New Roman" w:eastAsia="Times New Roman" w:hAnsi="Times New Roman"/>
          <w:sz w:val="15"/>
          <w:szCs w:val="15"/>
          <w:u w:val="single" w:color="auto"/>
          <w:color w:val="0000FF"/>
        </w:rPr>
        <w:t>Table of Contents</w:t>
      </w:r>
      <w:r>
        <w:rPr>
          <w:sz w:val="20"/>
          <w:szCs w:val="20"/>
          <w:color w:val="auto"/>
        </w:rPr>
        <w:tab/>
      </w:r>
      <w:r>
        <w:rPr>
          <w:rFonts w:ascii="Times New Roman" w:cs="Times New Roman" w:eastAsia="Times New Roman" w:hAnsi="Times New Roman"/>
          <w:sz w:val="15"/>
          <w:szCs w:val="15"/>
          <w:color w:val="auto"/>
        </w:rPr>
        <w:t>The Hershey Company | Q3 2022 Form 10-Q | Page 54</w:t>
      </w:r>
    </w:p>
    <w:p>
      <w:pPr>
        <w:sectPr>
          <w:pgSz w:w="11900" w:h="16838" w:orient="portrait"/>
          <w:cols w:equalWidth="0" w:num="1">
            <w:col w:w="10720"/>
          </w:cols>
          <w:pgMar w:left="320" w:top="1202" w:right="8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Michele G. Buck, certify that:</w:t>
      </w:r>
    </w:p>
    <w:p>
      <w:pPr>
        <w:spacing w:after="0" w:line="101" w:lineRule="exact"/>
        <w:rPr>
          <w:sz w:val="20"/>
          <w:szCs w:val="20"/>
          <w:color w:val="auto"/>
        </w:rPr>
      </w:pPr>
    </w:p>
    <w:p>
      <w:pPr>
        <w:ind w:left="300" w:hanging="298"/>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Hershey Company;</w:t>
      </w:r>
    </w:p>
    <w:p>
      <w:pPr>
        <w:spacing w:after="0" w:line="88" w:lineRule="exact"/>
        <w:rPr>
          <w:rFonts w:ascii="Times New Roman" w:cs="Times New Roman" w:eastAsia="Times New Roman" w:hAnsi="Times New Roman"/>
          <w:sz w:val="17"/>
          <w:szCs w:val="17"/>
          <w:color w:val="auto"/>
        </w:rPr>
      </w:pPr>
    </w:p>
    <w:p>
      <w:pPr>
        <w:ind w:left="380" w:right="140" w:hanging="378"/>
        <w:spacing w:after="0" w:line="287" w:lineRule="auto"/>
        <w:tabs>
          <w:tab w:leader="none" w:pos="29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Times New Roman" w:cs="Times New Roman" w:eastAsia="Times New Roman" w:hAnsi="Times New Roman"/>
          <w:sz w:val="17"/>
          <w:szCs w:val="17"/>
          <w:color w:val="auto"/>
        </w:rPr>
      </w:pPr>
    </w:p>
    <w:p>
      <w:pPr>
        <w:ind w:left="380" w:right="220" w:hanging="378"/>
        <w:spacing w:after="0" w:line="287" w:lineRule="auto"/>
        <w:tabs>
          <w:tab w:leader="none" w:pos="29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Times New Roman" w:cs="Times New Roman" w:eastAsia="Times New Roman" w:hAnsi="Times New Roman"/>
          <w:sz w:val="17"/>
          <w:szCs w:val="17"/>
          <w:color w:val="auto"/>
        </w:rPr>
      </w:pPr>
    </w:p>
    <w:p>
      <w:pPr>
        <w:ind w:left="380" w:right="180" w:hanging="378"/>
        <w:spacing w:after="0" w:line="270" w:lineRule="auto"/>
        <w:tabs>
          <w:tab w:leader="none" w:pos="29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Times New Roman" w:cs="Times New Roman" w:eastAsia="Times New Roman" w:hAnsi="Times New Roman"/>
          <w:sz w:val="17"/>
          <w:szCs w:val="17"/>
          <w:color w:val="auto"/>
        </w:rPr>
      </w:pPr>
    </w:p>
    <w:p>
      <w:pPr>
        <w:ind w:left="820" w:right="180" w:hanging="393"/>
        <w:spacing w:after="0" w:line="270" w:lineRule="auto"/>
        <w:tabs>
          <w:tab w:leader="none" w:pos="79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820" w:right="160" w:hanging="393"/>
        <w:spacing w:after="0" w:line="270" w:lineRule="auto"/>
        <w:tabs>
          <w:tab w:leader="none" w:pos="805"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20" w:right="20" w:hanging="393"/>
        <w:spacing w:after="0" w:line="287" w:lineRule="auto"/>
        <w:tabs>
          <w:tab w:leader="none" w:pos="79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Times New Roman" w:cs="Times New Roman" w:eastAsia="Times New Roman" w:hAnsi="Times New Roman"/>
          <w:sz w:val="17"/>
          <w:szCs w:val="17"/>
          <w:color w:val="auto"/>
        </w:rPr>
      </w:pPr>
    </w:p>
    <w:p>
      <w:pPr>
        <w:ind w:left="820" w:right="40" w:hanging="393"/>
        <w:spacing w:after="0" w:line="270" w:lineRule="auto"/>
        <w:tabs>
          <w:tab w:leader="none" w:pos="805"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380" w:right="620" w:hanging="378"/>
        <w:spacing w:after="0" w:line="287" w:lineRule="auto"/>
        <w:tabs>
          <w:tab w:leader="none" w:pos="29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Times New Roman" w:cs="Times New Roman" w:eastAsia="Times New Roman" w:hAnsi="Times New Roman"/>
          <w:sz w:val="17"/>
          <w:szCs w:val="17"/>
          <w:color w:val="auto"/>
        </w:rPr>
      </w:pPr>
    </w:p>
    <w:p>
      <w:pPr>
        <w:ind w:left="820" w:right="140" w:hanging="393"/>
        <w:spacing w:after="0" w:line="287" w:lineRule="auto"/>
        <w:tabs>
          <w:tab w:leader="none" w:pos="78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Times New Roman" w:cs="Times New Roman" w:eastAsia="Times New Roman" w:hAnsi="Times New Roman"/>
          <w:sz w:val="17"/>
          <w:szCs w:val="17"/>
          <w:color w:val="auto"/>
        </w:rPr>
      </w:pPr>
    </w:p>
    <w:p>
      <w:pPr>
        <w:ind w:left="820" w:right="180" w:hanging="393"/>
        <w:spacing w:after="0" w:line="287" w:lineRule="auto"/>
        <w:tabs>
          <w:tab w:leader="none" w:pos="79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74295</wp:posOffset>
            </wp:positionV>
            <wp:extent cx="34709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470910" cy="8255"/>
                    </a:xfrm>
                    <a:prstGeom prst="rect">
                      <a:avLst/>
                    </a:prstGeom>
                    <a:noFill/>
                  </pic:spPr>
                </pic:pic>
              </a:graphicData>
            </a:graphic>
          </wp:anchor>
        </w:drawing>
      </w:r>
    </w:p>
    <w:p>
      <w:pPr>
        <w:spacing w:after="0" w:line="11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Michele G. Buck</w:t>
      </w:r>
    </w:p>
    <w:p>
      <w:pPr>
        <w:spacing w:after="0" w:line="21"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7"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6918325</wp:posOffset>
            </wp:positionH>
            <wp:positionV relativeFrom="paragraph">
              <wp:posOffset>461645</wp:posOffset>
            </wp:positionV>
            <wp:extent cx="188595" cy="163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The Hershey Company | Q3 2022 Form 10-Q | Exhibit 31.1</w:t>
      </w:r>
    </w:p>
    <w:p>
      <w:pPr>
        <w:sectPr>
          <w:pgSz w:w="11900" w:h="16838" w:orient="portrait"/>
          <w:cols w:equalWidth="0" w:num="1">
            <w:col w:w="11200"/>
          </w:cols>
          <w:pgMar w:left="360" w:top="738"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E. Voskuil, certify that:</w:t>
      </w:r>
    </w:p>
    <w:p>
      <w:pPr>
        <w:spacing w:after="0" w:line="101" w:lineRule="exact"/>
        <w:rPr>
          <w:sz w:val="20"/>
          <w:szCs w:val="20"/>
          <w:color w:val="auto"/>
        </w:rPr>
      </w:pPr>
    </w:p>
    <w:p>
      <w:pPr>
        <w:ind w:left="300" w:hanging="298"/>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Hershey Company;</w:t>
      </w:r>
    </w:p>
    <w:p>
      <w:pPr>
        <w:spacing w:after="0" w:line="88" w:lineRule="exact"/>
        <w:rPr>
          <w:rFonts w:ascii="Times New Roman" w:cs="Times New Roman" w:eastAsia="Times New Roman" w:hAnsi="Times New Roman"/>
          <w:sz w:val="17"/>
          <w:szCs w:val="17"/>
          <w:color w:val="auto"/>
        </w:rPr>
      </w:pPr>
    </w:p>
    <w:p>
      <w:pPr>
        <w:ind w:left="380" w:right="140" w:hanging="378"/>
        <w:spacing w:after="0" w:line="287" w:lineRule="auto"/>
        <w:tabs>
          <w:tab w:leader="none" w:pos="29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Times New Roman" w:cs="Times New Roman" w:eastAsia="Times New Roman" w:hAnsi="Times New Roman"/>
          <w:sz w:val="17"/>
          <w:szCs w:val="17"/>
          <w:color w:val="auto"/>
        </w:rPr>
      </w:pPr>
    </w:p>
    <w:p>
      <w:pPr>
        <w:ind w:left="380" w:right="220" w:hanging="378"/>
        <w:spacing w:after="0" w:line="287" w:lineRule="auto"/>
        <w:tabs>
          <w:tab w:leader="none" w:pos="29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Times New Roman" w:cs="Times New Roman" w:eastAsia="Times New Roman" w:hAnsi="Times New Roman"/>
          <w:sz w:val="17"/>
          <w:szCs w:val="17"/>
          <w:color w:val="auto"/>
        </w:rPr>
      </w:pPr>
    </w:p>
    <w:p>
      <w:pPr>
        <w:ind w:left="380" w:right="180" w:hanging="378"/>
        <w:spacing w:after="0" w:line="270" w:lineRule="auto"/>
        <w:tabs>
          <w:tab w:leader="none" w:pos="29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Times New Roman" w:cs="Times New Roman" w:eastAsia="Times New Roman" w:hAnsi="Times New Roman"/>
          <w:sz w:val="17"/>
          <w:szCs w:val="17"/>
          <w:color w:val="auto"/>
        </w:rPr>
      </w:pPr>
    </w:p>
    <w:p>
      <w:pPr>
        <w:ind w:left="820" w:right="180" w:hanging="393"/>
        <w:spacing w:after="0" w:line="270" w:lineRule="auto"/>
        <w:tabs>
          <w:tab w:leader="none" w:pos="796"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820" w:right="160" w:hanging="393"/>
        <w:spacing w:after="0" w:line="270" w:lineRule="auto"/>
        <w:tabs>
          <w:tab w:leader="none" w:pos="80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20" w:right="20" w:hanging="393"/>
        <w:spacing w:after="0" w:line="287" w:lineRule="auto"/>
        <w:tabs>
          <w:tab w:leader="none" w:pos="796"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Times New Roman" w:cs="Times New Roman" w:eastAsia="Times New Roman" w:hAnsi="Times New Roman"/>
          <w:sz w:val="17"/>
          <w:szCs w:val="17"/>
          <w:color w:val="auto"/>
        </w:rPr>
      </w:pPr>
    </w:p>
    <w:p>
      <w:pPr>
        <w:ind w:left="820" w:right="40" w:hanging="393"/>
        <w:spacing w:after="0" w:line="270" w:lineRule="auto"/>
        <w:tabs>
          <w:tab w:leader="none" w:pos="80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380" w:right="620" w:hanging="378"/>
        <w:spacing w:after="0" w:line="287" w:lineRule="auto"/>
        <w:tabs>
          <w:tab w:leader="none" w:pos="29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Times New Roman" w:cs="Times New Roman" w:eastAsia="Times New Roman" w:hAnsi="Times New Roman"/>
          <w:sz w:val="17"/>
          <w:szCs w:val="17"/>
          <w:color w:val="auto"/>
        </w:rPr>
      </w:pPr>
    </w:p>
    <w:p>
      <w:pPr>
        <w:ind w:left="820" w:right="140" w:hanging="393"/>
        <w:spacing w:after="0" w:line="287" w:lineRule="auto"/>
        <w:tabs>
          <w:tab w:leader="none" w:pos="786"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Times New Roman" w:cs="Times New Roman" w:eastAsia="Times New Roman" w:hAnsi="Times New Roman"/>
          <w:sz w:val="17"/>
          <w:szCs w:val="17"/>
          <w:color w:val="auto"/>
        </w:rPr>
      </w:pPr>
    </w:p>
    <w:p>
      <w:pPr>
        <w:ind w:left="820" w:right="180" w:hanging="393"/>
        <w:spacing w:after="0" w:line="287" w:lineRule="auto"/>
        <w:tabs>
          <w:tab w:leader="none" w:pos="796"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3"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82550</wp:posOffset>
            </wp:positionV>
            <wp:extent cx="34709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470910" cy="8255"/>
                    </a:xfrm>
                    <a:prstGeom prst="rect">
                      <a:avLst/>
                    </a:prstGeom>
                    <a:noFill/>
                  </pic:spPr>
                </pic:pic>
              </a:graphicData>
            </a:graphic>
          </wp:anchor>
        </w:drawing>
      </w:r>
    </w:p>
    <w:p>
      <w:pPr>
        <w:spacing w:after="0" w:line="124"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21"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7" w:lineRule="exact"/>
        <w:rPr>
          <w:sz w:val="20"/>
          <w:szCs w:val="20"/>
          <w:color w:val="auto"/>
        </w:rPr>
      </w:pPr>
    </w:p>
    <w:p>
      <w:pPr>
        <w:jc w:val="center"/>
        <w:ind w:right="58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6918325</wp:posOffset>
            </wp:positionH>
            <wp:positionV relativeFrom="paragraph">
              <wp:posOffset>608965</wp:posOffset>
            </wp:positionV>
            <wp:extent cx="188595" cy="163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The Hershey Company | Q3 2022 Form 10-Q | Exhibit 31.2</w:t>
      </w:r>
    </w:p>
    <w:p>
      <w:pPr>
        <w:sectPr>
          <w:pgSz w:w="11900" w:h="16838" w:orient="portrait"/>
          <w:cols w:equalWidth="0" w:num="1">
            <w:col w:w="11200"/>
          </w:cols>
          <w:pgMar w:left="360" w:top="73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Pursuant to Section 906 of the Sarbanes-Oxley Act of 2002, the undersigned officers of The Hershey Company (the “Company”) hereby certify, to the best of their knowledge, that the Company’s Quarterly Report on Form 10-Q for the quarterly period ended October 2, 2022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 w:lineRule="exact"/>
        <w:rPr>
          <w:sz w:val="20"/>
          <w:szCs w:val="20"/>
          <w:color w:val="auto"/>
        </w:rPr>
      </w:pPr>
    </w:p>
    <w:tbl>
      <w:tblPr>
        <w:tblLayout w:type="fixed"/>
        <w:tblInd w:w="560" w:type="dxa"/>
        <w:tblCellMar>
          <w:top w:w="0" w:type="dxa"/>
          <w:left w:w="0" w:type="dxa"/>
          <w:bottom w:w="0" w:type="dxa"/>
          <w:right w:w="0" w:type="dxa"/>
        </w:tblCellMar>
      </w:tblPr>
      <w:tr>
        <w:trPr>
          <w:trHeight w:val="248"/>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4, 2022</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MICHELE G. BUCK</w:t>
            </w:r>
          </w:p>
        </w:tc>
      </w:tr>
      <w:tr>
        <w:trPr>
          <w:trHeight w:val="186"/>
        </w:trPr>
        <w:tc>
          <w:tcPr>
            <w:tcW w:w="292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Michele G. Buck</w:t>
            </w:r>
          </w:p>
        </w:tc>
      </w:tr>
      <w:tr>
        <w:trPr>
          <w:trHeight w:val="155"/>
        </w:trPr>
        <w:tc>
          <w:tcPr>
            <w:tcW w:w="2920" w:type="dxa"/>
            <w:vAlign w:val="bottom"/>
          </w:tcPr>
          <w:p>
            <w:pPr>
              <w:spacing w:after="0"/>
              <w:rPr>
                <w:sz w:val="13"/>
                <w:szCs w:val="13"/>
                <w:color w:val="auto"/>
              </w:rPr>
            </w:pPr>
          </w:p>
        </w:tc>
        <w:tc>
          <w:tcPr>
            <w:tcW w:w="356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Chief Executive Officer</w:t>
            </w:r>
          </w:p>
        </w:tc>
      </w:tr>
      <w:tr>
        <w:trPr>
          <w:trHeight w:val="204"/>
        </w:trPr>
        <w:tc>
          <w:tcPr>
            <w:tcW w:w="292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(Principal Executive Officer)</w:t>
            </w:r>
          </w:p>
        </w:tc>
      </w:tr>
    </w:tbl>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248"/>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4, 2022</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STEVEN E. VOSKUIL</w:t>
            </w:r>
          </w:p>
        </w:tc>
      </w:tr>
      <w:tr>
        <w:trPr>
          <w:trHeight w:val="186"/>
        </w:trPr>
        <w:tc>
          <w:tcPr>
            <w:tcW w:w="292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Steven E. Voskuil</w:t>
            </w:r>
          </w:p>
        </w:tc>
      </w:tr>
      <w:tr>
        <w:trPr>
          <w:trHeight w:val="155"/>
        </w:trPr>
        <w:tc>
          <w:tcPr>
            <w:tcW w:w="2920" w:type="dxa"/>
            <w:vAlign w:val="bottom"/>
          </w:tcPr>
          <w:p>
            <w:pPr>
              <w:spacing w:after="0"/>
              <w:rPr>
                <w:sz w:val="13"/>
                <w:szCs w:val="13"/>
                <w:color w:val="auto"/>
              </w:rPr>
            </w:pPr>
          </w:p>
        </w:tc>
        <w:tc>
          <w:tcPr>
            <w:tcW w:w="356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Chief Financial Officer</w:t>
            </w:r>
          </w:p>
        </w:tc>
      </w:tr>
      <w:tr>
        <w:trPr>
          <w:trHeight w:val="204"/>
        </w:trPr>
        <w:tc>
          <w:tcPr>
            <w:tcW w:w="292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(Principal Financial Officer)</w:t>
            </w:r>
          </w:p>
        </w:tc>
      </w:tr>
    </w:tbl>
    <w:p>
      <w:pPr>
        <w:spacing w:after="0" w:line="23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999490</wp:posOffset>
            </wp:positionV>
            <wp:extent cx="188595" cy="163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Hershey Company | Q3 2022 Form 10-Q | Exhibit 32.1</w:t>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lvl w:ilvl="1">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41" Type="http://schemas.openxmlformats.org/officeDocument/2006/relationships/image" Target="media/image132.jpeg"/><Relationship Id="rId142" Type="http://schemas.openxmlformats.org/officeDocument/2006/relationships/image" Target="media/image133.png"/><Relationship Id="rId143" Type="http://schemas.openxmlformats.org/officeDocument/2006/relationships/image" Target="media/image134.jpeg"/><Relationship Id="rId144" Type="http://schemas.openxmlformats.org/officeDocument/2006/relationships/image" Target="media/image135.png"/><Relationship Id="rId145" Type="http://schemas.openxmlformats.org/officeDocument/2006/relationships/image" Target="media/image136.jpeg"/><Relationship Id="rId146" Type="http://schemas.openxmlformats.org/officeDocument/2006/relationships/image" Target="media/image137.png"/><Relationship Id="rId147" Type="http://schemas.openxmlformats.org/officeDocument/2006/relationships/image" Target="media/image138.jpeg"/><Relationship Id="rId148" Type="http://schemas.openxmlformats.org/officeDocument/2006/relationships/image" Target="media/image139.jpeg"/><Relationship Id="rId139" Type="http://schemas.openxmlformats.org/officeDocument/2006/relationships/hyperlink" Target="http://www.sec.gov/Archives/edgar/data/47111/000004711105000159/exhibit3.htm?_sm_byp=iVV7PRrr5tFtD2T5" TargetMode="External"/><Relationship Id="rId140" Type="http://schemas.openxmlformats.org/officeDocument/2006/relationships/hyperlink" Target="http://www.sec.gov/Archives/edgar/data/47111/000004711119000010/hsy_20181231exhibit32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2022-11-04T10:05:54Z</dcterms:created>
  <dcterms:modified xsi:type="dcterms:W3CDTF">2022-11-04T10:05:54Z</dcterms:modified>
</cp:coreProperties>
</file>