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1400" w:right="1280" w:hanging="298"/>
        <w:spacing w:after="0" w:line="237" w:lineRule="auto"/>
        <w:tabs>
          <w:tab w:leader="none" w:pos="14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 2017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______to_______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HERSHEY COMPANY</w:t>
      </w:r>
    </w:p>
    <w:p>
      <w:pPr>
        <w:spacing w:after="0" w:line="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23-0691590</w:t>
      </w:r>
    </w:p>
    <w:p>
      <w:pPr>
        <w:spacing w:after="0" w:line="75"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3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9"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100 Crystal A Drive, Hershey, PA</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3"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Common Stock, one dollar par value—152,166,921 shares, as of April 21, 2017.</w:t>
      </w:r>
    </w:p>
    <w:p>
      <w:pPr>
        <w:spacing w:after="0" w:line="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Class B Common Stock, one dollar par value—60,619,777 shares, as of April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April 2,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Statements of Income for the Three Months Ended April 2, 2017 and April 3, 2016</w:t>
              </w:r>
            </w:hyperlink>
          </w:p>
        </w:tc>
        <w:tc>
          <w:tcPr>
            <w:tcW w:w="396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Comprehensive Income for the Three Months Ended April 2, 2017 and April 3, 2016</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0000EE"/>
            </w:tcBorders>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Balance Sheets as of April 2, 2017 and December 31, 2016</w:t>
              </w:r>
            </w:hyperlink>
          </w:p>
        </w:tc>
        <w:tc>
          <w:tcPr>
            <w:tcW w:w="568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Three Months Ended April 2, 2017 and April 3, 2016</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 of Stockholders' Equity for the Three Months Ended April 2, 2017</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540" w:type="dxa"/>
            <w:vAlign w:val="bottom"/>
            <w:tcBorders>
              <w:top w:val="single" w:sz="8" w:color="0000EE"/>
            </w:tcBorders>
            <w:gridSpan w:val="14"/>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Consolidated Financial Statements</w:t>
              </w:r>
            </w:hyperlink>
          </w:p>
        </w:tc>
        <w:tc>
          <w:tcPr>
            <w:tcW w:w="4400" w:type="dxa"/>
            <w:vAlign w:val="bottom"/>
            <w:tcBorders>
              <w:top w:val="single" w:sz="8" w:color="CCEEFF"/>
            </w:tcBorders>
            <w:gridSpan w:val="5"/>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6"/>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3. Quantitative and Qualitative Disclosures About Market Risk</w:t>
              </w:r>
            </w:hyperlink>
          </w:p>
        </w:tc>
        <w:tc>
          <w:tcPr>
            <w:tcW w:w="406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6. Exhibits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45</w:t>
              </w:r>
            </w:hyperlink>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8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
        </w:trPr>
        <w:tc>
          <w:tcPr>
            <w:tcW w:w="7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34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 2016</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1,828,812</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1,011,436</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817,376</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471,734</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6,133</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339,509</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21,005</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168,361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339,729</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109,897</w:t>
            </w: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including noncontrolling interest</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229,832</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229,832</w:t>
            </w:r>
          </w:p>
        </w:tc>
      </w:tr>
      <w:tr>
        <w:trPr>
          <w:trHeight w:val="311"/>
        </w:trPr>
        <w:tc>
          <w:tcPr>
            <w:tcW w:w="7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0.583</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0.530</w:t>
            </w: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4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4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69"/>
        </w:trPr>
        <w:tc>
          <w:tcPr>
            <w:tcW w:w="5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including noncontrolling interest</w:t>
            </w: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98,248</w:t>
            </w:r>
          </w:p>
        </w:tc>
        <w:tc>
          <w:tcPr>
            <w:tcW w:w="2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229,832</w:t>
            </w:r>
          </w:p>
        </w:tc>
        <w:tc>
          <w:tcPr>
            <w:tcW w:w="0" w:type="dxa"/>
            <w:vAlign w:val="bottom"/>
          </w:tcPr>
          <w:p>
            <w:pPr>
              <w:spacing w:after="0"/>
              <w:rPr>
                <w:sz w:val="1"/>
                <w:szCs w:val="1"/>
                <w:color w:val="auto"/>
              </w:rPr>
            </w:pPr>
          </w:p>
        </w:tc>
      </w:tr>
      <w:tr>
        <w:trPr>
          <w:trHeight w:val="259"/>
        </w:trPr>
        <w:tc>
          <w:tcPr>
            <w:tcW w:w="5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13,951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12,166</w:t>
            </w:r>
          </w:p>
        </w:tc>
        <w:tc>
          <w:tcPr>
            <w:tcW w:w="0" w:type="dxa"/>
            <w:vAlign w:val="bottom"/>
          </w:tcPr>
          <w:p>
            <w:pPr>
              <w:spacing w:after="0"/>
              <w:rPr>
                <w:sz w:val="1"/>
                <w:szCs w:val="1"/>
                <w:color w:val="auto"/>
              </w:rPr>
            </w:pPr>
          </w:p>
        </w:tc>
      </w:tr>
      <w:tr>
        <w:trPr>
          <w:trHeight w:val="265"/>
        </w:trPr>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actuarial loss and prior service cost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5,101</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Losses on cash flow hedging derivatives</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(22,144)</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1,867</w:t>
            </w: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0" w:type="dxa"/>
            <w:vAlign w:val="bottom"/>
          </w:tcPr>
          <w:p>
            <w:pPr>
              <w:spacing w:after="0"/>
              <w:rPr>
                <w:sz w:val="1"/>
                <w:szCs w:val="1"/>
                <w:color w:val="auto"/>
              </w:rPr>
            </w:pPr>
          </w:p>
        </w:tc>
      </w:tr>
      <w:tr>
        <w:trPr>
          <w:trHeight w:val="282"/>
        </w:trPr>
        <w:tc>
          <w:tcPr>
            <w:tcW w:w="5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22,442</w:t>
            </w:r>
          </w:p>
        </w:tc>
        <w:tc>
          <w:tcPr>
            <w:tcW w:w="12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18,818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(9,789)</w:t>
            </w:r>
          </w:p>
        </w:tc>
        <w:tc>
          <w:tcPr>
            <w:tcW w:w="0" w:type="dxa"/>
            <w:vAlign w:val="bottom"/>
          </w:tcPr>
          <w:p>
            <w:pPr>
              <w:spacing w:after="0"/>
              <w:rPr>
                <w:sz w:val="1"/>
                <w:szCs w:val="1"/>
                <w:color w:val="auto"/>
              </w:rPr>
            </w:pPr>
          </w:p>
        </w:tc>
      </w:tr>
      <w:tr>
        <w:trPr>
          <w:trHeight w:val="246"/>
        </w:trPr>
        <w:tc>
          <w:tcPr>
            <w:tcW w:w="5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comprehensive income including noncontrolling interest</w:t>
            </w:r>
          </w:p>
        </w:tc>
        <w:tc>
          <w:tcPr>
            <w:tcW w:w="1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117,066</w:t>
            </w: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220,043</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(26,456)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242"/>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The Hershey Company</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143,522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221,119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April 2,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296,967</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581,381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745,678</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192,752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1,816,778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2,050,439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2,177,248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812,344</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492,737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168,365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56,861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5,342,385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499,149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522,536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750,986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632,471</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1,710,917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1,909,443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2,350,941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2,347,455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400,161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4,496,932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4,696,646</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shares issued: none at April 2, 2017 and December 31, 2016</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shares issued: 299,281,967 at April 2, 2017 and December 31, 2016</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B common stock, shares issued: 60,619,777 at April 2, 2017 and December 31, 2016</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869,857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6,112,471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6,115,961</w:t>
            </w:r>
          </w:p>
        </w:tc>
        <w:tc>
          <w:tcPr>
            <w:tcW w:w="0" w:type="dxa"/>
            <w:vAlign w:val="bottom"/>
          </w:tcPr>
          <w:p>
            <w:pPr>
              <w:spacing w:after="0"/>
              <w:rPr>
                <w:sz w:val="1"/>
                <w:szCs w:val="1"/>
                <w:color w:val="auto"/>
              </w:rPr>
            </w:pPr>
          </w:p>
        </w:tc>
      </w:tr>
      <w:tr>
        <w:trPr>
          <w:trHeight w:val="225"/>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Treasury—common stock shares, at cost: 147,150,754 at April 2, 2017 and 147,642,009 at</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2016</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(6,183,975)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(375,888)</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Total—The Hershey Company stockholders’ equity</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830,078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785,856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41,831</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845,453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827,687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5,342,385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ectPr>
          <w:pgSz w:w="11900" w:h="16838" w:orient="portrait"/>
          <w:cols w:equalWidth="0" w:num="1">
            <w:col w:w="11420"/>
          </w:cols>
          <w:pgMar w:left="240" w:top="57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69"/>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52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98,248</w:t>
            </w:r>
          </w:p>
        </w:tc>
        <w:tc>
          <w:tcPr>
            <w:tcW w:w="120" w:type="dxa"/>
            <w:vAlign w:val="bottom"/>
          </w:tcPr>
          <w:p>
            <w:pPr>
              <w:spacing w:after="0"/>
              <w:rPr>
                <w:sz w:val="23"/>
                <w:szCs w:val="23"/>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229,832</w:t>
            </w:r>
          </w:p>
        </w:tc>
      </w:tr>
      <w:tr>
        <w:trPr>
          <w:trHeight w:val="275"/>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6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5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64,952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59,913</w:t>
            </w:r>
          </w:p>
        </w:tc>
      </w:tr>
      <w:tr>
        <w:trPr>
          <w:trHeight w:val="275"/>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12,122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11,678</w:t>
            </w:r>
          </w:p>
        </w:tc>
      </w:tr>
      <w:tr>
        <w:trPr>
          <w:trHeight w:val="265"/>
        </w:trPr>
        <w:tc>
          <w:tcPr>
            <w:tcW w:w="6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income taxes</w:t>
            </w: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275"/>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Impairment of long-lived assets (see Note 7)</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208,712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Write-down of equity investments</w:t>
            </w:r>
          </w:p>
        </w:tc>
        <w:tc>
          <w:tcPr>
            <w:tcW w:w="15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5,593</w:t>
            </w:r>
          </w:p>
        </w:tc>
      </w:tr>
      <w:tr>
        <w:trPr>
          <w:trHeight w:val="275"/>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Gain on settlement of SGM liability (see Note 2)</w:t>
            </w:r>
          </w:p>
        </w:tc>
        <w:tc>
          <w:tcPr>
            <w:tcW w:w="15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w:t>
            </w:r>
          </w:p>
        </w:tc>
      </w:tr>
      <w:tr>
        <w:trPr>
          <w:trHeight w:val="265"/>
        </w:trPr>
        <w:tc>
          <w:tcPr>
            <w:tcW w:w="6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Other</w:t>
            </w:r>
          </w:p>
        </w:tc>
        <w:tc>
          <w:tcPr>
            <w:tcW w:w="15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11,512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3,059</w:t>
            </w:r>
          </w:p>
        </w:tc>
      </w:tr>
      <w:tr>
        <w:trPr>
          <w:trHeight w:val="275"/>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6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Accounts receivable—trade, net</w:t>
            </w: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(14,398)</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55,046</w:t>
            </w:r>
          </w:p>
        </w:tc>
      </w:tr>
      <w:tr>
        <w:trPr>
          <w:trHeight w:val="275"/>
        </w:trPr>
        <w:tc>
          <w:tcPr>
            <w:tcW w:w="6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Inventories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(49,726)</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w:t>
            </w:r>
          </w:p>
        </w:tc>
      </w:tr>
      <w:tr>
        <w:trPr>
          <w:trHeight w:val="265"/>
        </w:trPr>
        <w:tc>
          <w:tcPr>
            <w:tcW w:w="6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(24,303)</w:t>
            </w:r>
          </w:p>
        </w:tc>
      </w:tr>
      <w:tr>
        <w:trPr>
          <w:trHeight w:val="275"/>
        </w:trPr>
        <w:tc>
          <w:tcPr>
            <w:tcW w:w="6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(124,664)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(103,480)</w:t>
            </w:r>
          </w:p>
        </w:tc>
      </w:tr>
      <w:tr>
        <w:trPr>
          <w:trHeight w:val="265"/>
        </w:trPr>
        <w:tc>
          <w:tcPr>
            <w:tcW w:w="6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Accrued income taxes</w:t>
            </w:r>
          </w:p>
        </w:tc>
        <w:tc>
          <w:tcPr>
            <w:tcW w:w="15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76,779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83,553</w:t>
            </w:r>
          </w:p>
        </w:tc>
      </w:tr>
      <w:tr>
        <w:trPr>
          <w:trHeight w:val="275"/>
        </w:trPr>
        <w:tc>
          <w:tcPr>
            <w:tcW w:w="6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Contributions to pension and other benefits plans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(11,576)</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w:t>
            </w:r>
          </w:p>
        </w:tc>
      </w:tr>
      <w:tr>
        <w:trPr>
          <w:trHeight w:val="265"/>
        </w:trPr>
        <w:tc>
          <w:tcPr>
            <w:tcW w:w="698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5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8,513</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6,888</w:t>
            </w:r>
          </w:p>
        </w:tc>
      </w:tr>
      <w:tr>
        <w:trPr>
          <w:trHeight w:val="25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5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234,462</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269,469</w:t>
            </w:r>
          </w:p>
        </w:tc>
      </w:tr>
      <w:tr>
        <w:trPr>
          <w:trHeight w:val="259"/>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5"/>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Capital additions (including software)</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(41,439)</w:t>
            </w:r>
          </w:p>
        </w:tc>
      </w:tr>
      <w:tr>
        <w:trPr>
          <w:trHeight w:val="26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sales of property, plant and equipment</w:t>
            </w:r>
          </w:p>
        </w:tc>
        <w:tc>
          <w:tcPr>
            <w:tcW w:w="15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1,934</w:t>
            </w:r>
          </w:p>
        </w:tc>
      </w:tr>
      <w:tr>
        <w:trPr>
          <w:trHeight w:val="270"/>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investments in tax credit qualifying partnerships</w:t>
            </w:r>
          </w:p>
        </w:tc>
        <w:tc>
          <w:tcPr>
            <w:tcW w:w="15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5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(40,684)</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(49,177)</w:t>
            </w:r>
          </w:p>
        </w:tc>
      </w:tr>
      <w:tr>
        <w:trPr>
          <w:trHeight w:val="269"/>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increase in short-term debt</w:t>
            </w: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(146,604)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153,863</w:t>
            </w:r>
          </w:p>
        </w:tc>
      </w:tr>
      <w:tr>
        <w:trPr>
          <w:trHeight w:val="275"/>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SGM liability (see Note 2)</w:t>
            </w:r>
          </w:p>
        </w:tc>
        <w:tc>
          <w:tcPr>
            <w:tcW w:w="15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(35,762)</w:t>
            </w:r>
          </w:p>
        </w:tc>
      </w:tr>
      <w:tr>
        <w:trPr>
          <w:trHeight w:val="275"/>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dividends paid</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(128,017)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(122,367)</w:t>
            </w:r>
          </w:p>
        </w:tc>
      </w:tr>
      <w:tr>
        <w:trPr>
          <w:trHeight w:val="265"/>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5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(303,950)</w:t>
            </w:r>
          </w:p>
        </w:tc>
      </w:tr>
      <w:tr>
        <w:trPr>
          <w:trHeight w:val="270"/>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5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17,841</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24,627</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5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(256,874)</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(283,589)</w:t>
            </w:r>
          </w:p>
        </w:tc>
      </w:tr>
      <w:tr>
        <w:trPr>
          <w:trHeight w:val="25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5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2,726</w:t>
            </w:r>
          </w:p>
        </w:tc>
      </w:tr>
      <w:tr>
        <w:trPr>
          <w:trHeight w:val="250"/>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1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(60,571)</w:t>
            </w:r>
          </w:p>
        </w:tc>
      </w:tr>
      <w:tr>
        <w:trPr>
          <w:trHeight w:val="27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5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296,967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346,529</w:t>
            </w:r>
          </w:p>
        </w:tc>
      </w:tr>
      <w:tr>
        <w:trPr>
          <w:trHeight w:val="282"/>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520" w:type="dxa"/>
            <w:vAlign w:val="bottom"/>
            <w:tcBorders>
              <w:bottom w:val="single" w:sz="8" w:color="auto"/>
            </w:tcBorders>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235,031</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285,958</w:t>
            </w:r>
          </w:p>
        </w:tc>
      </w:tr>
      <w:tr>
        <w:trPr>
          <w:trHeight w:val="251"/>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5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paid</w:t>
            </w:r>
          </w:p>
        </w:tc>
        <w:tc>
          <w:tcPr>
            <w:tcW w:w="152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33,732</w:t>
            </w:r>
          </w:p>
        </w:tc>
        <w:tc>
          <w:tcPr>
            <w:tcW w:w="120" w:type="dxa"/>
            <w:vAlign w:val="bottom"/>
          </w:tcPr>
          <w:p>
            <w:pPr>
              <w:spacing w:after="0"/>
              <w:rPr>
                <w:sz w:val="23"/>
                <w:szCs w:val="23"/>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27,786</w:t>
            </w:r>
          </w:p>
        </w:tc>
      </w:tr>
      <w:tr>
        <w:trPr>
          <w:trHeight w:val="27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paid</w:t>
            </w:r>
          </w:p>
        </w:tc>
        <w:tc>
          <w:tcPr>
            <w:tcW w:w="15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7,532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29,574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ectPr>
          <w:pgSz w:w="11900" w:h="16838" w:orient="portrait"/>
          <w:cols w:equalWidth="0" w:num="1">
            <w:col w:w="11420"/>
          </w:cols>
          <w:pgMar w:left="240" w:top="57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December 31, 2016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42"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Common Stock, $0.618 per share</w:t>
      </w:r>
    </w:p>
    <w:p>
      <w:pPr>
        <w:spacing w:after="0" w:line="42" w:lineRule="exact"/>
        <w:rPr>
          <w:sz w:val="20"/>
          <w:szCs w:val="20"/>
          <w:color w:val="auto"/>
        </w:rPr>
      </w:pPr>
    </w:p>
    <w:p>
      <w:pPr>
        <w:ind w:left="240"/>
        <w:spacing w:after="0" w:line="262" w:lineRule="auto"/>
        <w:rPr>
          <w:sz w:val="20"/>
          <w:szCs w:val="20"/>
          <w:color w:val="auto"/>
        </w:rPr>
      </w:pPr>
      <w:r>
        <w:rPr>
          <w:rFonts w:ascii="Times New Roman" w:cs="Times New Roman" w:eastAsia="Times New Roman" w:hAnsi="Times New Roman"/>
          <w:sz w:val="14"/>
          <w:szCs w:val="14"/>
          <w:color w:val="auto"/>
          <w:shd w:val="clear" w:color="auto" w:fill="CCEEFF"/>
        </w:rPr>
        <w:t>Class B Common Stock, $0.562 per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April 2, 2017</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ind w:left="600"/>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jc w:val="center"/>
        <w:ind w:right="26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0"/>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$ 299,281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60,620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869,857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6,115,961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(6,183,975)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(375,888)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41,831</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125,044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98,248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18,818</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(94,466)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(94,466)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11,393</w:t>
            </w:r>
          </w:p>
        </w:tc>
        <w:tc>
          <w:tcPr>
            <w:tcW w:w="0" w:type="dxa"/>
            <w:vAlign w:val="bottom"/>
          </w:tcPr>
          <w:p>
            <w:pPr>
              <w:spacing w:after="0"/>
              <w:rPr>
                <w:sz w:val="1"/>
                <w:szCs w:val="1"/>
                <w:color w:val="auto"/>
              </w:rPr>
            </w:pPr>
          </w:p>
        </w:tc>
      </w:tr>
      <w:tr>
        <w:trPr>
          <w:trHeight w:val="35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20,441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17,841</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$ 299,281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60,620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878,650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6,112,471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(6,163,534)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(357,410)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15,375</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845,453</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-1543050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-1200150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-805180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-410845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6"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300" w:space="300"/>
            <w:col w:w="8780"/>
          </w:cols>
          <w:pgMar w:left="280" w:top="555"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4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April 2, 2017 may not be indicative of the results that may be expected for the year ending December 31, 2017 because of seasonal effects on our business. These financial statements should be read in conjunction with our Annual Report on Form 10-K for the year ended December 31, 2016 (our “2016 Annual Report on Form 10-K”), which provides a more complete understanding of our accounting policies, financial position, operating results and other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year presentation. Specifically, this includes amounts reclassified to conform to the current year presentation in the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which outlines a single comprehensive model for entities to use in accounting for revenue arising from contracts with customers that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current revenue recognition guidance. This guidance requires an entity to recognize revenue when it transfers promised goods or services to customers in an amount that reflects the consideration to which the entity expects to be entitled in exchange for those goods or services. The guidance also requires additional financial statement disclosures that will enable users to understand the nature, amount, timing and uncertainty of revenue and cash flows relating to customer contracts. The new standard was originally effective for us on January 1, 2017; however, in July 2015 the FASB decided to defer the effective date by one year. Early application is not permitted, but reporting entities may choose to adopt the standard as of the original effective date. The standard permits the use of either the retrospective or cumulative effect transition method.</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2017, we continued our assessment of the new standard with a focus on identifying the performance obligations included within our revenue arrangements with customers and evaluating our methods of estimating the amount and timing of variable consideration. Based on our assessment to date, we do not currently expect adoption of the new standard to have a material impact on our consolidated financial statements. We currently plan to adopt the requirements of the new standard in the first quarter of 2018 utilizing the cumulative effect transition method. We are continuing our assessment, which may identify other impacts.</w:t>
      </w:r>
    </w:p>
    <w:p>
      <w:pPr>
        <w:spacing w:after="0" w:line="1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in the process of developing an inventory of our lease arrangements in order to determine the impact that the adoption of ASU 2016-02 will have on our consolidated financial statements and related disclosures. Based on our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assessment to date,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We adopted the provisions of this ASU in the first quarter of 2017. This update principally affects the recognition of excess tax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deficiencies and the cash flow classification of share-based compensation-related transactions. The requirement to recognize excess tax benefits and deficiencies as income tax expense or benefit in the income statement was applied prospectively, with a benefit of $1,938 recognized during the three months ended April 2, 2017. Additionally, within the Consolidated Statement of Cash Flows, the impact of the adoption resulted in a $7,886 increase in net cash flow from operating activities and a corresponding decrease in net cash flow from financing activities for the three months ended April 2, 2017. These classification requirements were adopted retrospectively to the Consolidated Statement of Cash Flows for the three months ended April 3, 2016, resulting in a $12,354 increase in net cash flow from operating activities and a corresponding $12,354 decrease in net cash flow from financing activities.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of the acquisitions is allocated to the assets acquired and liabilities assumed.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Acquisition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Ripple Brand Collective, LLC</w:t>
      </w:r>
    </w:p>
    <w:p>
      <w:pPr>
        <w:spacing w:after="0" w:line="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On April 26, 2016, we completed the acquisition of all of the outstanding shares of Ripple Brand Collective, LLC, a privately held company based in Congers, New York that owns the </w:t>
      </w:r>
      <w:r>
        <w:rPr>
          <w:rFonts w:ascii="Times New Roman" w:cs="Times New Roman" w:eastAsia="Times New Roman" w:hAnsi="Times New Roman"/>
          <w:sz w:val="18"/>
          <w:szCs w:val="18"/>
          <w:i w:val="1"/>
          <w:iCs w:val="1"/>
          <w:color w:val="auto"/>
        </w:rPr>
        <w:t>barkTHINS</w:t>
      </w:r>
      <w:r>
        <w:rPr>
          <w:rFonts w:ascii="Times New Roman" w:cs="Times New Roman" w:eastAsia="Times New Roman" w:hAnsi="Times New Roman"/>
          <w:sz w:val="18"/>
          <w:szCs w:val="18"/>
          <w:color w:val="auto"/>
        </w:rPr>
        <w:t xml:space="preserve"> mass premium chocolate snacking brand. The </w:t>
      </w:r>
      <w:r>
        <w:rPr>
          <w:rFonts w:ascii="Times New Roman" w:cs="Times New Roman" w:eastAsia="Times New Roman" w:hAnsi="Times New Roman"/>
          <w:sz w:val="18"/>
          <w:szCs w:val="18"/>
          <w:i w:val="1"/>
          <w:iCs w:val="1"/>
          <w:color w:val="auto"/>
        </w:rPr>
        <w:t>barkTHINS</w:t>
      </w:r>
      <w:r>
        <w:rPr>
          <w:rFonts w:ascii="Times New Roman" w:cs="Times New Roman" w:eastAsia="Times New Roman" w:hAnsi="Times New Roman"/>
          <w:sz w:val="18"/>
          <w:szCs w:val="18"/>
          <w:color w:val="auto"/>
        </w:rPr>
        <w:t xml:space="preserve"> brand is largely sold in the United States in take-home resealable packages and is available in the club channel, as well as select natural and conventional grocers. Our consolidated net sales for the year ended December 31, 2016 included approximately $35,600 attributed to </w:t>
      </w:r>
      <w:r>
        <w:rPr>
          <w:rFonts w:ascii="Times New Roman" w:cs="Times New Roman" w:eastAsia="Times New Roman" w:hAnsi="Times New Roman"/>
          <w:sz w:val="18"/>
          <w:szCs w:val="18"/>
          <w:i w:val="1"/>
          <w:iCs w:val="1"/>
          <w:color w:val="auto"/>
        </w:rPr>
        <w:t>barkTHINS</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consideration was allocated to assets acquired and liabilities assumed based on their respective fair values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128,110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60,900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57"/>
        </w:trPr>
        <w:tc>
          <w:tcPr>
            <w:tcW w:w="9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Times New Roman" w:cs="Times New Roman" w:eastAsia="Times New Roman" w:hAnsi="Times New Roman"/>
          <w:sz w:val="18"/>
          <w:szCs w:val="18"/>
          <w:i w:val="1"/>
          <w:iCs w:val="1"/>
          <w:color w:val="auto"/>
        </w:rPr>
        <w:t>barkTHINS</w:t>
      </w:r>
      <w:r>
        <w:rPr>
          <w:rFonts w:ascii="Times New Roman" w:cs="Times New Roman" w:eastAsia="Times New Roman" w:hAnsi="Times New Roman"/>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Shanghai Golden Monkey (“SGM”)</w:t>
      </w:r>
    </w:p>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3, 2016, we completed the purchase of the remaining 20% of the outstanding shares of SGM for cash consideration totaling $35,762, pursuant to a new agreement entered into during the fourth quarter of 2015 with the SGM selling shareholders which revised the originally-agreed purchase price for these shares. For accounting purposes, we treated the acquisition as if we had acquired 100% at the initial acquisition date in 2014 and financed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payment for the remaining 20% of the outstanding shares. Therefore, the cash settlement of the liability for the purchase of these remaining shares is reflected within the financing section of the Unaudited Consolidated Statements of Cash Flows.</w:t>
      </w:r>
    </w:p>
    <w:p>
      <w:pPr>
        <w:spacing w:after="0" w:line="24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Unaudited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three months ended April 2, 2017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812,344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April 2, 2017</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793,881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814,882</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269,119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317,023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r>
      <w:tr>
        <w:trPr>
          <w:trHeight w:val="24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411,858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533,858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(80,640)</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492,737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discussed in Note 7, 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three months ended April 2, 2017 we recorded an impairment charge totaling $105,992 representing the portion of the impairment loss that was allocated to the distributor relationship and trademark intangible assets that had been recognized in connection with the 2014 SGM acquisition.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April 2, 2017 and April 3, 2016 was $7,151 and $5,180, respectively.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customary representations, warranties and events of default. As of April 2, 2017, we were in compliance with all covenants pertaining to the credit agreement, and we had no significant compensating balance agreements that legally restricted these funds. For more information, refer to the Consolidated Financial Statements included in our 2016 Annual Report on Form 10-K.</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We had short-term foreign bank loans against these lines of credit for $140,065 at April 2, 2017 and $158,805 at December 31, 2016. Commitment fees relating to our revolving credit facility and lines of credit are not material.</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At April 2, 2017, we had outstanding commercial paper totaling $347,422, at a weighted average interest rate of 0.8%. At December 31, 2016, we had outstanding commercial paper totaling $473,666, at a weighted average interest rate of 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1.60% Notes due 2018</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4.125% Notes due 2020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8.8% Debentures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84,715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2.625% Notes due 2023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3.20% Notes due 2025</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2.30% Notes due 2026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7.2% Debentures due 2027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193,639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3.375% Notes due 2046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obligations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83,619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impact of interest rate swaps, debt issuance costs and unamortized debt discounts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2,351,099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2,347,698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Less—current portion</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portion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2,350,941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2,347,455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consisted of the following:</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21,350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and options to manage foreign currency exchange rate risk, and commodities futures and options contracts to manage commodity market price risk exposures.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$609,221 as of April 2, 2017 and $739,374 as of December 31, 2016.</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Derivatives used to manage commodity price risk are not designated for hedge accounting treatment. Therefore, the changes in fair value of these derivatives are recorded as incurred within cost of sales. As discussed in Note 11,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and options to hedge these exposures for periods ranging from 3 to 12 months. The contracts are either designated as cash flow hedges or are undesignated. The net notional amount of foreign exchange contracts accounted for as cash flow hedges was $111,589 at April 2, 2017 and $68,263 at December 31, 2016.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April 2, 2017 and December 31, 2016. The change in fair value on these instruments is recorded directly in cost of sales or selling, marketing and administrative expense, depending on the nature of the underlying exposure.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At April 2, 2017 and December 31, 2016, we had interest rate derivative instruments in fair value hedging relationships with a total notional amount of $350,000.</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April 2, 2017 and December 31, 2016 was $22,099.</w:t>
      </w:r>
    </w:p>
    <w:p>
      <w:pPr>
        <w:spacing w:after="0" w:line="13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April 2, 2017 and December 31,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30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10,016</w:t>
            </w:r>
          </w:p>
        </w:tc>
      </w:tr>
      <w:tr>
        <w:trPr>
          <w:trHeight w:val="25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10,825</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right="220" w:hanging="330"/>
        <w:spacing w:after="0" w:line="28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2, 2017, assets and liabilities include the net of assets of $61,140 and liabilities of $60,946 associated with cash transfers receivable or payable on commodities futures contracts reflecting the change in quoted market prices on the last trading day for the period. The comparable amounts reflected on a net basis in liabilities at December 31, 2016 were assets of $140,885 and liabilities of $150,872. At April 2, 2017 and December 31, 2016, the remaining amount reflected in assets and liabilities relates to the fair value of other non-exchange traded derivative instruments, respectively.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April 2, 2017 and April 3, 2016 was as follows: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7"/>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Gains (losses) recognized in</w:t>
            </w:r>
          </w:p>
        </w:tc>
        <w:tc>
          <w:tcPr>
            <w:tcW w:w="24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accumulated OCI into income</w:t>
            </w:r>
          </w:p>
        </w:tc>
      </w:tr>
      <w:tr>
        <w:trPr>
          <w:trHeight w:val="212"/>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9,730</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1,277</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7,909</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right="22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4" w:lineRule="exact"/>
        <w:rPr>
          <w:rFonts w:ascii="Times New Roman" w:cs="Times New Roman" w:eastAsia="Times New Roman" w:hAnsi="Times New Roman"/>
          <w:sz w:val="18"/>
          <w:szCs w:val="18"/>
          <w:color w:val="auto"/>
        </w:rPr>
      </w:pPr>
    </w:p>
    <w:p>
      <w:pPr>
        <w:ind w:left="340" w:right="12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foreign currency forward exchange contracts and options, commodities futures and options contracts, and other commodity derivative instruments expected to be reclassified from AOCI into earnings in the next 12 months was approximately $9,730 as of April 2, 2017. This amount is primarily associated with deferred losses relating to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2, 2017 and April 3, 2016, we recognized a net pretax benefit to interest expense of $898 and $1,317 relating to our fixed-to-floating interest swap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would use in pricing the asset or liability.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April 2, 2017 and December 31, 2016:</w:t>
      </w:r>
    </w:p>
    <w:p>
      <w:pPr>
        <w:spacing w:after="0" w:line="10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36830</wp:posOffset>
            </wp:positionV>
            <wp:extent cx="4356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4,432</w:t>
            </w:r>
          </w:p>
        </w:tc>
      </w:tr>
      <w:tr>
        <w:trPr>
          <w:trHeight w:val="243"/>
        </w:trPr>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r>
      <w:tr>
        <w:trPr>
          <w:trHeight w:val="243"/>
        </w:trPr>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w:t>
            </w:r>
          </w:p>
        </w:tc>
      </w:tr>
      <w:tr>
        <w:trPr>
          <w:trHeight w:val="243"/>
        </w:trPr>
        <w:tc>
          <w:tcPr>
            <w:tcW w:w="45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r>
      <w:tr>
        <w:trPr>
          <w:trHeight w:val="243"/>
        </w:trPr>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43"/>
        </w:trPr>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660" w:right="1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4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receivable, accounts payable and short-term debt approximated fair values as of April 2, 2017 and April 3, 2016 because of the relatively short maturity of these instruments.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3720" w:type="dxa"/>
            <w:vAlign w:val="bottom"/>
            <w:gridSpan w:val="4"/>
          </w:tcPr>
          <w:p>
            <w:pPr>
              <w:jc w:val="right"/>
              <w:ind w:right="1332"/>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340" w:type="dxa"/>
            <w:vAlign w:val="bottom"/>
          </w:tcPr>
          <w:p>
            <w:pPr>
              <w:spacing w:after="0"/>
              <w:rPr>
                <w:sz w:val="20"/>
                <w:szCs w:val="20"/>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240" w:type="dxa"/>
            <w:vAlign w:val="bottom"/>
          </w:tcPr>
          <w:p>
            <w:pPr>
              <w:spacing w:after="0"/>
              <w:rPr>
                <w:sz w:val="20"/>
                <w:szCs w:val="20"/>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2,385,100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2,379,054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2,350,941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2,347,455</w:t>
            </w:r>
          </w:p>
        </w:tc>
      </w:tr>
      <w:tr>
        <w:trPr>
          <w:trHeight w:val="27"/>
        </w:trPr>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2,385,258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2,379,297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2,351,099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2,347,698</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 Generally, assets are recorded at fair value on a nonrecurring basis as a result of impairment charges. During the three months ended April 2, 2017, as discussed in Note 7, we recorded impairment charges totaling $105,992 to write-down distributor relationship and trademark intangible assets that had been recognized in connection with the 2014 SGM acquisition and wrote-down property, plant and equipment by $102,720. These charges were determined by comparing the fair value of the assets to their carrying value. The fair value of the assets were derived using a combination of an estimated market liquidation approach and discounted cash flow analyses based on Level 3 inputs.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REALIGNMENT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pursuing several business realignment activities designed to increase our efficiency and focus our business behind our key growth strategies.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during the three months ended April 2, 2017 and April 3, 2016 related to these activities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60" w:type="dxa"/>
            <w:vAlign w:val="bottom"/>
          </w:tcPr>
          <w:p>
            <w:pPr>
              <w:spacing w:after="0"/>
              <w:rPr>
                <w:sz w:val="22"/>
                <w:szCs w:val="22"/>
                <w:color w:val="auto"/>
              </w:rPr>
            </w:pPr>
          </w:p>
        </w:tc>
        <w:tc>
          <w:tcPr>
            <w:tcW w:w="15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Margin for Growth Program:</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29,567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program costs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Operational Optimization Program:</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Severance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7,427</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program costs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5,545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 Productivity Initiative: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Severance</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program costs</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2,752</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business realignment costs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46,988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costs and related benefits to be derived from the Margin for Growth Program relate approximately 20% to the North America segment and 80% to the International and Other segment. The costs and related benefits to be derived from the Operational Optimization Program primarily relate to the North America segment in 2017 and to the International and Other segment in 2016. The costs and related benefits to be derived from the 2015 Productivity Initiative relate primarily to the North American segment. However, segment operating results do not include these business realignment expenses because we evaluate segment performance excluding such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Margin for Growth Program</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chain, streamlining the Company’s operating model and reducing administrative expenses to generate long-term savings.</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estimates that the “Margin for Growth” program will result in total pre-tax charges of $375,000 to $425,000 over the next three years.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$175,000 to $200,000. At the conclusion of the program in 2019, ongoing annual savings are expected to be approximately $150,000 to $175,000. The Company expects that implementation of the program will reduce its global workforce by approximately 15%, with a majority of the reductions coming from hourly headcount positions outside of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program includes an initiative to optimize the manufacturing operations supporting our China business. We deemed this to be a triggering 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requiring us to test our China long-lived asset group for impairment by first determining whether the carrying value of the asset group was recovered by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estimates of future cash flows associated with the asset group. Because this assessment indicated that the carrying value was not recoverable,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an impairment loss as the excess of the asset group's carrying value over its fair value. The resulting impairment loss was allocated to the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group's long-lived assets. Therefore, as a result of this testing, during the three months ended April 2, 2017 we recorded impairment charges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$208,712, with $105,992 representing the portion of the impairment loss that was allocated to the distributor relationship and trademark intangible assets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been recognized in connection with the 2014 SGM acquisition and $102,720 representing the portion of the impairment loss that was allocated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These impairment charges are recorded within the long-lived asset impairment charges caption within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2, 2017, we also recognized estimated employee severance and related charges totaling $29,567, relating largely to our initiative to improve the cost structure of our China business, as well as our initiative to further streamline our corporate operating model.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Operational Optimization Program</w:t>
      </w:r>
    </w:p>
    <w:p>
      <w:pPr>
        <w:spacing w:after="0" w:line="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Times New Roman" w:cs="Times New Roman" w:eastAsia="Times New Roman" w:hAnsi="Times New Roman"/>
          <w:sz w:val="18"/>
          <w:szCs w:val="18"/>
          <w:i w:val="1"/>
          <w:iCs w:val="1"/>
          <w:color w:val="auto"/>
        </w:rPr>
        <w:t xml:space="preserve">Golden Hershey </w:t>
      </w:r>
      <w:r>
        <w:rPr>
          <w:rFonts w:ascii="Times New Roman" w:cs="Times New Roman" w:eastAsia="Times New Roman" w:hAnsi="Times New Roman"/>
          <w:sz w:val="18"/>
          <w:szCs w:val="18"/>
          <w:color w:val="auto"/>
        </w:rPr>
        <w:t>platform, including the integration of the China sales force, as well as workforce planning efforts and the consolidation of production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facilities in China and North America.</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2, 2017, we recognized costs of $12,599 primarily related to employee severance associated with the workforce planning efforts within North America. We currently expect to incur additional cash costs of approximately $8,000 over the next two years to complete this program.</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2, 2017, we reclassified property, plant and equipment and land use rights with a total book value of $20,303 to prepaid and other current assets within the Consolidated Balance Sheets. These represent select China facilities that were taken out of operation in connection with this program and are currently being marketed for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2015 Productivity Initiative</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We incurred total costs of $125,031 relating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 this program, including pension settlement charges of $13,669 recorded in 2016 and $10,178 recorded in 2015 relating to lump sum withdrawals by employees retiring or leaving the Company as a result of this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for the three months ended April 2,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2016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49"/>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780" w:type="dxa"/>
            <w:vAlign w:val="bottom"/>
            <w:tcBorders>
              <w:bottom w:val="single" w:sz="8" w:color="CCEEFF"/>
            </w:tcBorders>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8,784</w:t>
            </w:r>
          </w:p>
        </w:tc>
      </w:tr>
      <w:tr>
        <w:trPr>
          <w:trHeight w:val="27"/>
        </w:trPr>
        <w:tc>
          <w:tcPr>
            <w:tcW w:w="7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15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6,133</w:t>
            </w:r>
          </w:p>
        </w:tc>
      </w:tr>
      <w:tr>
        <w:trPr>
          <w:trHeight w:val="25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500" w:type="dxa"/>
            <w:vAlign w:val="bottom"/>
            <w:tcBorders>
              <w:top w:val="single" w:sz="8" w:color="auto"/>
              <w:bottom w:val="single" w:sz="8" w:color="auto"/>
            </w:tcBorders>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7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65"/>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employee-related costs qualifying as exit and disposal costs: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2"/>
        </w:trPr>
        <w:tc>
          <w:tcPr>
            <w:tcW w:w="7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7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balance at December 31, 2016</w:t>
            </w:r>
          </w:p>
        </w:tc>
        <w:tc>
          <w:tcPr>
            <w:tcW w:w="1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3,725</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business realignment charges (1)</w:t>
            </w:r>
          </w:p>
        </w:tc>
        <w:tc>
          <w:tcPr>
            <w:tcW w:w="1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45,913</w:t>
            </w:r>
          </w:p>
        </w:tc>
      </w:tr>
      <w:tr>
        <w:trPr>
          <w:trHeight w:val="27"/>
        </w:trPr>
        <w:tc>
          <w:tcPr>
            <w:tcW w:w="7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(3,287)</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7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balance at April 2, 2017 (reported within accrued and other long-term liabilities)</w:t>
            </w:r>
          </w:p>
        </w:tc>
        <w:tc>
          <w:tcPr>
            <w:tcW w:w="15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46,063</w:t>
            </w:r>
          </w:p>
        </w:tc>
      </w:tr>
      <w:tr>
        <w:trPr>
          <w:trHeight w:val="20"/>
        </w:trPr>
        <w:tc>
          <w:tcPr>
            <w:tcW w:w="7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right="540" w:hanging="330"/>
        <w:spacing w:after="0" w:line="266" w:lineRule="auto"/>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above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9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majority of our taxable income is generated in the U.S. and taxed at the U.S. statutory rate of 35%. The effective tax rates for the three months ended April 2, 2017 and April 3, 2016 were 41.6% and 32.3%, respectively. Relative to the statutory rate, the 2017 effective tax rate was impacted by non-benefited costs resulting from the Margin for Growth Program, partially offset by a favorable foreign rate differential relating to our cocoa procurement operations. The 2016 effective rate benefited from the impact of non-taxable income related to the settlement of the SGM liability.</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$3,910 within the next 12 months because of the expiration of statutes of limitations and settlements of tax audits.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OTHER POST-RETIREMENT BENEFIT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April 2, 2017 were as follows:</w:t>
      </w:r>
    </w:p>
    <w:p>
      <w:pPr>
        <w:spacing w:after="0" w:line="187" w:lineRule="exact"/>
        <w:rPr>
          <w:sz w:val="20"/>
          <w:szCs w:val="20"/>
          <w:color w:val="auto"/>
        </w:rPr>
      </w:pPr>
    </w:p>
    <w:p>
      <w:pPr>
        <w:jc w:val="right"/>
        <w:ind w:right="13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38735</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p>
      <w:pPr>
        <w:spacing w:after="0" w:line="86"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38735</wp:posOffset>
            </wp:positionV>
            <wp:extent cx="2280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444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April 2, 2017</w:t>
      </w:r>
      <w:r>
        <w:rPr>
          <w:sz w:val="20"/>
          <w:szCs w:val="20"/>
          <w:color w:val="auto"/>
        </w:rPr>
        <w:tab/>
      </w:r>
      <w:r>
        <w:rPr>
          <w:rFonts w:ascii="Times New Roman" w:cs="Times New Roman" w:eastAsia="Times New Roman" w:hAnsi="Times New Roman"/>
          <w:sz w:val="15"/>
          <w:szCs w:val="15"/>
          <w:b w:val="1"/>
          <w:bCs w:val="1"/>
          <w:color w:val="auto"/>
        </w:rPr>
        <w:t>April 3, 2016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38735</wp:posOffset>
            </wp:positionV>
            <wp:extent cx="2280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6"/>
          <w:szCs w:val="16"/>
          <w:b w:val="1"/>
          <w:bCs w:val="1"/>
          <w:color w:val="auto"/>
        </w:rPr>
        <w:t>April 2, 2017</w:t>
      </w:r>
      <w:r>
        <w:rPr>
          <w:sz w:val="20"/>
          <w:szCs w:val="20"/>
          <w:color w:val="auto"/>
        </w:rPr>
        <w:tab/>
      </w:r>
      <w:r>
        <w:rPr>
          <w:rFonts w:ascii="Times New Roman" w:cs="Times New Roman" w:eastAsia="Times New Roman" w:hAnsi="Times New Roman"/>
          <w:sz w:val="15"/>
          <w:szCs w:val="15"/>
          <w:b w:val="1"/>
          <w:bCs w:val="1"/>
          <w:color w:val="auto"/>
        </w:rPr>
        <w:t>April 3, 2016</w:t>
      </w:r>
    </w:p>
    <w:p>
      <w:pPr>
        <w:spacing w:after="0" w:line="41" w:lineRule="exact"/>
        <w:rPr>
          <w:sz w:val="20"/>
          <w:szCs w:val="20"/>
          <w:color w:val="auto"/>
        </w:rPr>
      </w:pPr>
    </w:p>
    <w:p>
      <w:pPr>
        <w:sectPr>
          <w:pgSz w:w="11900" w:h="16838" w:orient="portrait"/>
          <w:cols w:equalWidth="0" w:num="2">
            <w:col w:w="7420" w:space="720"/>
            <w:col w:w="3260"/>
          </w:cols>
          <w:pgMar w:left="240" w:top="117"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r>
      <w:tr>
        <w:trPr>
          <w:trHeight w:val="27"/>
        </w:trPr>
        <w:tc>
          <w:tcPr>
            <w:tcW w:w="4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4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2,642</w:t>
            </w:r>
          </w:p>
        </w:tc>
      </w:tr>
      <w:tr>
        <w:trPr>
          <w:trHeight w:val="20"/>
        </w:trPr>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made contributions of $4,692 and $6,884 to the pension plans and other benefits plans, respectively, during the first quarter of 2017. In the first quarter of 2016, we made contributions of $1,175 and $7,664 to our pension plans and other benefits plans, respectively. The contributions in 2017 and 2016 also included benefit payments from our non-qualified pension plans and post-retirement benefit plans.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2017, there are no significant minimum funding requirements for our domestic pension plans and planned voluntary funding of our non-domestic pension plans in 2017 is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COMPENSATION PLANS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2016 Annual Report on Form 10-K.</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60" w:type="dxa"/>
            <w:vAlign w:val="bottom"/>
          </w:tcPr>
          <w:p>
            <w:pPr>
              <w:spacing w:after="0"/>
              <w:rPr>
                <w:sz w:val="22"/>
                <w:szCs w:val="22"/>
                <w:color w:val="auto"/>
              </w:rPr>
            </w:pPr>
          </w:p>
        </w:tc>
        <w:tc>
          <w:tcPr>
            <w:tcW w:w="16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49"/>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11,678</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36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4,087</w:t>
            </w: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costs for stock compensation plans are primarily included in selling, marketing and administrative expense. As of April 2, 2017, total stock-based compensation cost related to non-vested awards not yet recognized was $95,521 and the weighted-average period over which this amount is expected to be recognized was approximately 2.4 years.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7" w:right="25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April 2,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r>
      <w:tr>
        <w:trPr>
          <w:trHeight w:val="238"/>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20"/>
                <w:szCs w:val="20"/>
                <w:color w:val="auto"/>
              </w:rPr>
            </w:pPr>
          </w:p>
        </w:tc>
        <w:tc>
          <w:tcPr>
            <w:tcW w:w="13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2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6,192,008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82.67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 years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1,047,725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108.06</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(367,721)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66.68</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(112,089)</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106.25</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April 2, 2017</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6,759,923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87.09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 years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145,967</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exercisable as of April 2, 2017</w:t>
            </w: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4,383,186</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79.45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128,066</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was $15.78 and $11.42 per share for the periods ended April 2, 2017 and April 3, 2016, respectively. The fair value was estimated on the date of grant using a Black-Scholes option-pricing model and the following weighted-average assumptions:</w:t>
      </w:r>
    </w:p>
    <w:p>
      <w:pPr>
        <w:spacing w:after="0" w:line="16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24765</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49"/>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6.8</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$15,181 and $20,348 for the periods ended April 2, 2017 and April 3, 2016,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April 2, 2017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Stock Units and Restricted Stock Units</w:t>
            </w:r>
          </w:p>
        </w:tc>
        <w:tc>
          <w:tcPr>
            <w:tcW w:w="100" w:type="dxa"/>
            <w:vAlign w:val="bottom"/>
            <w:vMerge w:val="restart"/>
          </w:tcPr>
          <w:p>
            <w:pPr>
              <w:spacing w:after="0"/>
              <w:rPr>
                <w:sz w:val="13"/>
                <w:szCs w:val="13"/>
                <w:color w:val="auto"/>
              </w:rPr>
            </w:pPr>
          </w:p>
        </w:tc>
        <w:tc>
          <w:tcPr>
            <w:tcW w:w="1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36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for equity awards (per unit)</w:t>
            </w: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828,228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351,793</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59,846</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(175,088)</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(92,905)</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as of April 2, 2017</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971,874</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includes 6,410 units of PSUs awarded in a prior period for which the measurement (grant) date has occurred for accounting purposes in 2017.</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60" w:type="dxa"/>
            <w:vAlign w:val="bottom"/>
          </w:tcPr>
          <w:p>
            <w:pPr>
              <w:spacing w:after="0"/>
              <w:rPr>
                <w:sz w:val="22"/>
                <w:szCs w:val="22"/>
                <w:color w:val="auto"/>
              </w:rPr>
            </w:pPr>
          </w:p>
        </w:tc>
        <w:tc>
          <w:tcPr>
            <w:tcW w:w="16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0" w:type="dxa"/>
            <w:vAlign w:val="bottom"/>
          </w:tcPr>
          <w:p>
            <w:pPr>
              <w:spacing w:after="0"/>
              <w:rPr>
                <w:sz w:val="1"/>
                <w:szCs w:val="1"/>
                <w:color w:val="auto"/>
              </w:rPr>
            </w:pPr>
          </w:p>
        </w:tc>
      </w:tr>
      <w:tr>
        <w:trPr>
          <w:trHeight w:val="249"/>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Units granted</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351,793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483,678</w:t>
            </w: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Pr>
          <w:p>
            <w:pPr>
              <w:spacing w:after="0"/>
              <w:rPr>
                <w:sz w:val="21"/>
                <w:szCs w:val="21"/>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81"/>
        </w:trPr>
        <w:tc>
          <w:tcPr>
            <w:tcW w:w="72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$18,883 and $16,181 for the periods ended April 2, 2017 and April 3, 2016, respectively.</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461,338 units as of April 2, 2017. Each unit is equivalent to one share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30" w:lineRule="exact"/>
        <w:rPr>
          <w:sz w:val="20"/>
          <w:szCs w:val="20"/>
          <w:color w:val="auto"/>
        </w:rPr>
      </w:pPr>
    </w:p>
    <w:p>
      <w:pPr>
        <w:ind w:left="660" w:right="160" w:hanging="328"/>
        <w:spacing w:after="0" w:line="268"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as well as our grocery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16" w:lineRule="exact"/>
        <w:rPr>
          <w:rFonts w:ascii="Times New Roman" w:cs="Times New Roman" w:eastAsia="Times New Roman" w:hAnsi="Times New Roman"/>
          <w:sz w:val="18"/>
          <w:szCs w:val="18"/>
          <w:b w:val="1"/>
          <w:bCs w:val="1"/>
          <w:i w:val="1"/>
          <w:iCs w:val="1"/>
          <w:color w:val="auto"/>
        </w:rPr>
      </w:pPr>
    </w:p>
    <w:p>
      <w:pPr>
        <w:ind w:left="660" w:hanging="328"/>
        <w:spacing w:after="0" w:line="257"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and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and Other is a combination of all other operating segments that are not individually material, including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Shanghai, Niagara Falls (Ontario), Dubai, and Singapore, as well as operations associated with licensing the use of certain of the Company's trademarks and products to third parties around the world.</w:t>
      </w:r>
    </w:p>
    <w:p>
      <w:pPr>
        <w:spacing w:after="0" w:line="1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components of our operating income are managed centrally at the corporate level and are excluded from the measure of segment income reviewed by the CODM as well the measure of segment performance used for incentive compensation purposes.</w:t>
      </w:r>
    </w:p>
    <w:p>
      <w:pPr>
        <w:spacing w:after="0" w:line="13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Accounting policies associated with our operating segments are generally the same as those described in Note 1 to the Consolidated Financial Statements included in our 2016 Annual Report on Form 10-K.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17" w:right="2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derivative gains and losses with the underlying economic exposure being hedged and thereby eliminate the mark-to-market volatility within our reported segment income.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gridSpan w:val="4"/>
          </w:tcPr>
          <w:p>
            <w:pPr>
              <w:jc w:val="right"/>
              <w:ind w:right="139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6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380" w:type="dxa"/>
            <w:vAlign w:val="bottom"/>
          </w:tcPr>
          <w:p>
            <w:pPr>
              <w:spacing w:after="0"/>
              <w:rPr>
                <w:sz w:val="20"/>
                <w:szCs w:val="20"/>
                <w:color w:val="auto"/>
              </w:rPr>
            </w:pPr>
          </w:p>
        </w:tc>
        <w:tc>
          <w:tcPr>
            <w:tcW w:w="180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April 3, 2016</w:t>
            </w:r>
          </w:p>
        </w:tc>
      </w:tr>
      <w:tr>
        <w:trPr>
          <w:trHeight w:val="33"/>
        </w:trPr>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1,677,146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1,633,471</w:t>
            </w: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202,532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195,341</w:t>
            </w:r>
          </w:p>
        </w:tc>
      </w:tr>
      <w:tr>
        <w:trPr>
          <w:trHeight w:val="297"/>
        </w:trPr>
        <w:tc>
          <w:tcPr>
            <w:tcW w:w="6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1,879,678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1,828,812</w:t>
            </w:r>
          </w:p>
        </w:tc>
      </w:tr>
      <w:tr>
        <w:trPr>
          <w:trHeight w:val="311"/>
        </w:trPr>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 (loss):</w:t>
            </w: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553,138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529,390</w:t>
            </w: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and Other</w:t>
            </w:r>
          </w:p>
        </w:tc>
        <w:tc>
          <w:tcPr>
            <w:tcW w:w="380" w:type="dxa"/>
            <w:vAlign w:val="bottom"/>
          </w:tcPr>
          <w:p>
            <w:pPr>
              <w:spacing w:after="0"/>
              <w:rPr>
                <w:sz w:val="21"/>
                <w:szCs w:val="21"/>
                <w:color w:val="auto"/>
              </w:rPr>
            </w:pPr>
          </w:p>
        </w:tc>
        <w:tc>
          <w:tcPr>
            <w:tcW w:w="1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(13,233)</w:t>
            </w:r>
          </w:p>
        </w:tc>
      </w:tr>
      <w:tr>
        <w:trPr>
          <w:trHeight w:val="27"/>
        </w:trPr>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554,861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516,157</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380" w:type="dxa"/>
            <w:vAlign w:val="bottom"/>
          </w:tcPr>
          <w:p>
            <w:pPr>
              <w:spacing w:after="0"/>
              <w:rPr>
                <w:sz w:val="21"/>
                <w:szCs w:val="21"/>
                <w:color w:val="auto"/>
              </w:rPr>
            </w:pPr>
          </w:p>
        </w:tc>
        <w:tc>
          <w:tcPr>
            <w:tcW w:w="1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119,650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122,171</w:t>
            </w: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mark-to-market (gains) losses on commodity derivatives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34,946</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380" w:type="dxa"/>
            <w:vAlign w:val="bottom"/>
          </w:tcPr>
          <w:p>
            <w:pPr>
              <w:spacing w:after="0"/>
              <w:rPr>
                <w:sz w:val="21"/>
                <w:szCs w:val="21"/>
                <w:color w:val="auto"/>
              </w:rPr>
            </w:pPr>
          </w:p>
        </w:tc>
        <w:tc>
          <w:tcPr>
            <w:tcW w:w="1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208,712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14,430</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Non-service related pension expense</w:t>
            </w:r>
          </w:p>
        </w:tc>
        <w:tc>
          <w:tcPr>
            <w:tcW w:w="380" w:type="dxa"/>
            <w:vAlign w:val="bottom"/>
          </w:tcPr>
          <w:p>
            <w:pPr>
              <w:spacing w:after="0"/>
              <w:rPr>
                <w:sz w:val="21"/>
                <w:szCs w:val="21"/>
                <w:color w:val="auto"/>
              </w:rPr>
            </w:pPr>
          </w:p>
        </w:tc>
        <w:tc>
          <w:tcPr>
            <w:tcW w:w="1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5,101</w:t>
            </w: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191,931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339,509</w:t>
            </w:r>
          </w:p>
        </w:tc>
      </w:tr>
      <w:tr>
        <w:trPr>
          <w:trHeight w:val="27"/>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21,005</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(21,225)</w:t>
            </w:r>
          </w:p>
        </w:tc>
      </w:tr>
      <w:tr>
        <w:trPr>
          <w:trHeight w:val="27"/>
        </w:trPr>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168,361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339,729</w:t>
            </w:r>
          </w:p>
        </w:tc>
      </w:tr>
      <w:tr>
        <w:trPr>
          <w:trHeight w:val="20"/>
        </w:trPr>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righ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 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on mark-to-market valuation of unallocated commodity derivative positions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losses on commodity derivative positions allocated to segment income</w:t>
            </w: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(gains) losses on mark-to-market valuation of commodity derivative positions remaining in</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34,946</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derivative (gains) losses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April 2, 2017, the cumulative amount of mark-to-market losses on commodity derivatives that had been recognized in our consolidated cost of sales and not yet allocated to reportable segments was $145,937. Based on our forecasts of the timing of the recognition of the underlying hedged items, we expect to reclassify net pre-tax losses on commodity derivatives of $88,675 to segment operating results in the next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80" w:type="dxa"/>
            <w:vAlign w:val="bottom"/>
            <w:gridSpan w:val="4"/>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
        </w:trPr>
        <w:tc>
          <w:tcPr>
            <w:tcW w:w="7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34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 2016</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38,942</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10,923</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10,048</w:t>
            </w:r>
          </w:p>
        </w:tc>
      </w:tr>
      <w:tr>
        <w:trPr>
          <w:trHeight w:val="25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59,913</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TREASURY STOCK ACTIVITY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200" w:lineRule="exact"/>
        <w:rPr>
          <w:sz w:val="20"/>
          <w:szCs w:val="20"/>
          <w:color w:val="auto"/>
        </w:rPr>
      </w:pPr>
    </w:p>
    <w:p>
      <w:pPr>
        <w:spacing w:after="0" w:line="31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Three Months Ended April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486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66" w:lineRule="exact"/>
        <w:rPr>
          <w:sz w:val="20"/>
          <w:szCs w:val="20"/>
          <w:color w:val="auto"/>
        </w:rPr>
      </w:pPr>
    </w:p>
    <w:p>
      <w:pPr>
        <w:ind w:left="7700"/>
        <w:spacing w:after="0"/>
        <w:tabs>
          <w:tab w:leader="none" w:pos="9900" w:val="left"/>
        </w:tabs>
        <w:rPr>
          <w:sz w:val="20"/>
          <w:szCs w:val="20"/>
          <w:color w:val="auto"/>
        </w:rPr>
      </w:pP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6"/>
          <w:szCs w:val="16"/>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47625</wp:posOffset>
            </wp:positionV>
            <wp:extent cx="2778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80"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48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64" w:lineRule="exact"/>
        <w:rPr>
          <w:sz w:val="20"/>
          <w:szCs w:val="20"/>
          <w:color w:val="auto"/>
        </w:rPr>
      </w:pPr>
    </w:p>
    <w:p>
      <w:pPr>
        <w:ind w:left="40"/>
        <w:spacing w:after="0"/>
        <w:tabs>
          <w:tab w:leader="none" w:pos="8280" w:val="left"/>
          <w:tab w:leader="none" w:pos="9120" w:val="left"/>
          <w:tab w:leader="none" w:pos="10620" w:val="left"/>
        </w:tabs>
        <w:rPr>
          <w:sz w:val="20"/>
          <w:szCs w:val="20"/>
          <w:color w:val="auto"/>
        </w:rPr>
      </w:pPr>
      <w:r>
        <w:rPr>
          <w:rFonts w:ascii="Times New Roman" w:cs="Times New Roman" w:eastAsia="Times New Roman" w:hAnsi="Times New Roman"/>
          <w:sz w:val="18"/>
          <w:szCs w:val="18"/>
          <w:color w:val="auto"/>
        </w:rPr>
        <w:t>Shares issued for stock options and incentive compensation</w:t>
      </w:r>
      <w:r>
        <w:rPr>
          <w:sz w:val="20"/>
          <w:szCs w:val="20"/>
          <w:color w:val="auto"/>
        </w:rPr>
        <w:tab/>
      </w:r>
      <w:r>
        <w:rPr>
          <w:rFonts w:ascii="Times New Roman" w:cs="Times New Roman" w:eastAsia="Times New Roman" w:hAnsi="Times New Roman"/>
          <w:sz w:val="18"/>
          <w:szCs w:val="18"/>
          <w:color w:val="auto"/>
        </w:rPr>
        <w:t>491,255</w:t>
        <w:tab/>
        <w:t>$</w:t>
      </w:r>
      <w:r>
        <w:rPr>
          <w:sz w:val="20"/>
          <w:szCs w:val="20"/>
          <w:color w:val="auto"/>
        </w:rPr>
        <w:tab/>
      </w:r>
      <w:r>
        <w:rPr>
          <w:rFonts w:ascii="Times New Roman" w:cs="Times New Roman" w:eastAsia="Times New Roman" w:hAnsi="Times New Roman"/>
          <w:sz w:val="18"/>
          <w:szCs w:val="18"/>
          <w:color w:val="auto"/>
        </w:rPr>
        <w:t>20,441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during the three months ended April 2, 2017.</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January 2016, our Board of Directors approved a $500,000 authorization to repurchase shares of our Common Stock. As of April 2, 2017, $100,000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showing the 2017 activity relating to the noncontrolling interest follows:</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r>
      <w:tr>
        <w:trPr>
          <w:trHeight w:val="27"/>
        </w:trPr>
        <w:tc>
          <w:tcPr>
            <w:tcW w:w="9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41,831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(26,796)</w:t>
            </w:r>
          </w:p>
        </w:tc>
      </w:tr>
      <w:tr>
        <w:trPr>
          <w:trHeight w:val="27"/>
        </w:trPr>
        <w:tc>
          <w:tcPr>
            <w:tcW w:w="9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 foreign currency translation adjustments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r>
      <w:tr>
        <w:trPr>
          <w:trHeight w:val="257"/>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April 2, 2017</w:t>
            </w: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15,375</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2017 net loss attributable to the noncontrolling interest reflects the 50% allocation of LSFC-related business realignment and impairment costs (see Note 7). For the three months ended April 3, 2016, the net loss attributable to noncontrolling interests totaled $475, which was presented within selling, marketing and administrative expense in the Consolidated Statements of Income since the amount not considered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CONTINGENCIES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With respect to dividend rights, the Common Stock holders are entitled to cash dividends 10% higher than those declared and paid on the Class B common stock.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compute basic and diluted earnings per share based on the weighted-average number of shares of Common Stock and Class B common stock outstanding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300" w:type="dxa"/>
            <w:vAlign w:val="bottom"/>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93,949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32,129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Allocation of undistributed (losses) earnings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28,089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91,766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60,218</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152,313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91,766</w:t>
            </w:r>
          </w:p>
        </w:tc>
        <w:tc>
          <w:tcPr>
            <w:tcW w:w="1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33,278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169,614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60,218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Reallocation of total earnings as a result of conversion of Class B</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33,278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60,218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125,044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229,832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60,060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152,313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60,620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Performance and restricted stock options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214,522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217,487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60,620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April 2, 2017 and April 3, 2016 excluded 2,067 and 3,680, respectively, of stock options (in thousands) that would have been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9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4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Write-down of equity investments in partnerships qualifying for tax credits</w:t>
            </w: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SGM liability (see Note 2)</w:t>
            </w:r>
          </w:p>
        </w:tc>
        <w:tc>
          <w:tcPr>
            <w:tcW w:w="13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r>
      <w:tr>
        <w:trPr>
          <w:trHeight w:val="27"/>
        </w:trPr>
        <w:tc>
          <w:tcPr>
            <w:tcW w:w="7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0"/>
        </w:trPr>
        <w:tc>
          <w:tcPr>
            <w:tcW w:w="7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BALANCE SHEET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Consolidated Balance Sheet accounts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20" w:type="dxa"/>
            <w:vAlign w:val="bottom"/>
          </w:tcPr>
          <w:p>
            <w:pPr>
              <w:spacing w:after="0"/>
              <w:rPr>
                <w:sz w:val="16"/>
                <w:szCs w:val="16"/>
                <w:color w:val="auto"/>
              </w:rPr>
            </w:pPr>
          </w:p>
        </w:tc>
        <w:tc>
          <w:tcPr>
            <w:tcW w:w="16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299,484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315,239</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 in process</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88,490</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528,587</w:t>
            </w:r>
          </w:p>
        </w:tc>
      </w:tr>
      <w:tr>
        <w:trPr>
          <w:trHeight w:val="27"/>
        </w:trPr>
        <w:tc>
          <w:tcPr>
            <w:tcW w:w="7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at FIFO</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977,239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932,316</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LIFO</w:t>
            </w: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(186,638)</w:t>
            </w:r>
          </w:p>
        </w:tc>
      </w:tr>
      <w:tr>
        <w:trPr>
          <w:trHeight w:val="27"/>
        </w:trPr>
        <w:tc>
          <w:tcPr>
            <w:tcW w:w="7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795,404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745,678</w:t>
            </w:r>
          </w:p>
        </w:tc>
      </w:tr>
      <w:tr>
        <w:trPr>
          <w:trHeight w:val="20"/>
        </w:trPr>
        <w:tc>
          <w:tcPr>
            <w:tcW w:w="7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5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104,400</w:t>
            </w:r>
          </w:p>
        </w:tc>
        <w:tc>
          <w:tcPr>
            <w:tcW w:w="10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103,865</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Buildings</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1,238,634</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2,948,697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3,001,552</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206,391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230,987</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4,439,989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4,575,038</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(2,397,790)</w:t>
            </w:r>
          </w:p>
        </w:tc>
      </w:tr>
      <w:tr>
        <w:trPr>
          <w:trHeight w:val="311"/>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2,050,439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2,177,248</w:t>
            </w:r>
          </w:p>
        </w:tc>
      </w:tr>
      <w:tr>
        <w:trPr>
          <w:trHeight w:val="217"/>
        </w:trPr>
        <w:tc>
          <w:tcPr>
            <w:tcW w:w="7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net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95,737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95,301</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4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1,449</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71,615</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163,661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168,365</w:t>
            </w:r>
          </w:p>
        </w:tc>
      </w:tr>
      <w:tr>
        <w:trPr>
          <w:trHeight w:val="217"/>
        </w:trPr>
        <w:tc>
          <w:tcPr>
            <w:tcW w:w="7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compensation and benefits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240,080</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4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320,999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358,573</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149,176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152,333</w:t>
            </w:r>
          </w:p>
        </w:tc>
      </w:tr>
      <w:tr>
        <w:trPr>
          <w:trHeight w:val="297"/>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646,879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750,986</w:t>
            </w:r>
          </w:p>
        </w:tc>
      </w:tr>
      <w:tr>
        <w:trPr>
          <w:trHeight w:val="217"/>
        </w:trPr>
        <w:tc>
          <w:tcPr>
            <w:tcW w:w="7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Post-retirement benefits liabilities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220,270</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benefits liabilities</w:t>
            </w:r>
          </w:p>
        </w:tc>
        <w:tc>
          <w:tcPr>
            <w:tcW w:w="4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65,687</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119,712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114,204</w:t>
            </w:r>
          </w:p>
        </w:tc>
      </w:tr>
      <w:tr>
        <w:trPr>
          <w:trHeight w:val="297"/>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399,575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400,161</w:t>
            </w:r>
          </w:p>
        </w:tc>
      </w:tr>
      <w:tr>
        <w:trPr>
          <w:trHeight w:val="217"/>
        </w:trPr>
        <w:tc>
          <w:tcPr>
            <w:tcW w:w="7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(110,613)</w:t>
            </w: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(207,169)</w:t>
            </w: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(58,106)</w:t>
            </w: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(375,888)</w:t>
            </w:r>
          </w:p>
        </w:tc>
      </w:tr>
      <w:tr>
        <w:trPr>
          <w:trHeight w:val="20"/>
        </w:trPr>
        <w:tc>
          <w:tcPr>
            <w:tcW w:w="7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7" w:right="359" w:bottom="1440" w:gutter="0" w:footer="0" w:header="0"/>
        </w:sect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00"/>
          </w:cols>
          <w:pgMar w:left="240" w:top="117"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2016 Annual Report on Form 10-K for information concerning the key risks to achieving future performance goals.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and Outlook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Information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Overview and Outlook presented below is an executive-level summary highlighting the key trends and measures on which the Company’s management focuses in evaluating its financial condition and operating performance. Certain earnings and performance measures within the Overview and Outlook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Our first quarter 2017 net sales totaled $1,879.7 million, an increase of 2.8%, versus $1,828.8 million in 2016. Excluding a 0.1% impact from favorable foreign exchange rates, our net sales increased 2.7%. The increase was primarily driven by favorable net price realization as trade promotional spending and returns, discounts and allowances in both our North America and International and Other segments were less than the prior year. Solid U.S. seasonal volume performance was largely offset by lower non-seasonal volumes. Revenue generated by </w:t>
      </w:r>
      <w:r>
        <w:rPr>
          <w:rFonts w:ascii="Times New Roman" w:cs="Times New Roman" w:eastAsia="Times New Roman" w:hAnsi="Times New Roman"/>
          <w:sz w:val="18"/>
          <w:szCs w:val="18"/>
          <w:i w:val="1"/>
          <w:iCs w:val="1"/>
          <w:color w:val="auto"/>
        </w:rPr>
        <w:t>barkTHINS</w:t>
      </w:r>
      <w:r>
        <w:rPr>
          <w:rFonts w:ascii="Times New Roman" w:cs="Times New Roman" w:eastAsia="Times New Roman" w:hAnsi="Times New Roman"/>
          <w:sz w:val="18"/>
          <w:szCs w:val="18"/>
          <w:color w:val="auto"/>
        </w:rPr>
        <w:t xml:space="preserve"> brand, acquired in 2016, also benefited the quarter's performance.</w:t>
      </w:r>
    </w:p>
    <w:p>
      <w:pPr>
        <w:spacing w:after="0" w:line="13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reported gross margin was 48.2% in the first quarter of 2017, an increase of 350 basis points compared to the first quarter of 2016. Our non-GAAP gross margin increased 70 basis points in the first quarter of 2017, primarily due to lower levels of trade promotional spending, supply chain productivity and cost savings initiatives and lower commodity input costs, offset in part by increases in other supply chain costs.</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 chain, streamlining the Company’s operating model and reducing administrative expenses to generate long-term savings.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estimates that this “Margin for Growth” program will result in total pre-tax charges of $375 million to $425 million over the next three years. This estimate includes plant and office closure expenses of $100 million to $115 million, net intangible asset impairment charges of $100 million to $110 million, employee separation costs of $80 million to $100 million, contract termination costs of approximately $25 million, and other business realignment costs of $70 million to $75 million. The cash portion of the total charge is estimated to be $175 million to $200 million. At the conclusion of the program in 2019, ongoing annual savings are expected to be approximately $150 million to $175 million. The Company expects that implementation of the program will reduce its global workforce by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81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approximately 15%, with a majority of the reductions coming from hourly headcount positions outside of the United States.</w:t>
      </w:r>
    </w:p>
    <w:p>
      <w:pPr>
        <w:spacing w:after="0" w:line="171"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7"/>
          <w:szCs w:val="17"/>
          <w:color w:val="auto"/>
        </w:rPr>
        <w:t>Our first quarter 2017 reported net income and earnings per share-diluted (EPS) totaled $125.0 million and $0.58, respectively, compared to the first quarter 2016 reported net income and EPS-diluted of $229.8 million and $1.06, respectively. From a non-GAAP perspective, first quarter 2017 adjusted net income was $282.1 million, an increase of 18.1% versus $238.9 million in 2016, primarily driven by the improvement in our non-GAAP gross margin, as well as a lower non-GAAP effective tax rate, due mainly to a favorable foreign tax rate differential. Our adjusted EPS-diluted for the first quarter of 2017 was $1.31 compared to $1.10 for the same period of 2016, with this 19.1% increase attributable to the same factors driving the increase in non-GAAP net income.</w:t>
      </w:r>
    </w:p>
    <w:p>
      <w:pPr>
        <w:spacing w:after="0" w:line="1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Over the remainder of the year, we remain focused on driving growth in our North America core brands and achieving trial and repeat targets related to the launch of of </w:t>
      </w:r>
      <w:r>
        <w:rPr>
          <w:rFonts w:ascii="Times New Roman" w:cs="Times New Roman" w:eastAsia="Times New Roman" w:hAnsi="Times New Roman"/>
          <w:sz w:val="18"/>
          <w:szCs w:val="18"/>
          <w:i w:val="1"/>
          <w:iCs w:val="1"/>
          <w:color w:val="auto"/>
        </w:rPr>
        <w:t>Hershey’s Cookie Layer Crunch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Hershey’s Crunchers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Crunchy Cookie Cups. We anticipate that our innovation, as well as our consumer marketing plans, will enable us to build on our first quarter 2017 momentum.</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estimate that full-year 2017 net sales growth will be towards the low end of our 2% to 3% outlook, due primarily to trends within the non-seasonal U.S. CMG category and continued macroeconomic challenges in China. This outlook includes a 0.5% net benefit from acquisitions. The impact of foreign currency exchange rates is expected to be minimal. We currently expect full-year 2017 reported EPS-diluted to be in the $3.31 to $3.55 range. From a non-GAAP perspective, we expect 2017 adjusted EPS-diluted to be towards the high end of our outlook of $4.72 to $4.81, an increase of 7% to 9%, primarily due to gross margin expansion from strong productivity and cost savings initiatives, as well as a lower effective tax rate driven by a favorable foreign rate differential and benefit from tax credits. A reconciliation of reported to adjusted projections for 2017 are reflected in the non-GAAP reconciliations that follow.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comparability of certain of our financial measures is impacted by unallocated mark-to-market (gains) losses on commodity derivatives, costs associated with business realignment activities, costs relating to the integration of acquisitions, non-service related components of our pension expense ("NSRPE"), impairment of long-lived assets, and settlement of the SGM liability in conjunction with the purchase of the remaining 20% of the outstanding shares of SGM.</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742"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6700" w:type="dxa"/>
            <w:vAlign w:val="bottom"/>
            <w:gridSpan w:val="4"/>
          </w:tcPr>
          <w:p>
            <w:pPr>
              <w:ind w:left="1140"/>
              <w:spacing w:after="0"/>
              <w:rPr>
                <w:sz w:val="20"/>
                <w:szCs w:val="20"/>
                <w:color w:val="auto"/>
              </w:rPr>
            </w:pPr>
            <w:r>
              <w:rPr>
                <w:rFonts w:ascii="Times New Roman" w:cs="Times New Roman" w:eastAsia="Times New Roman" w:hAnsi="Times New Roman"/>
                <w:sz w:val="16"/>
                <w:szCs w:val="16"/>
                <w:b w:val="1"/>
                <w:bCs w:val="1"/>
                <w:color w:val="auto"/>
              </w:rPr>
              <w:t>Reconciliation of Certain Non-GAAP Financial Measures</w:t>
            </w: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380" w:type="dxa"/>
            <w:vAlign w:val="bottom"/>
          </w:tcPr>
          <w:p>
            <w:pPr>
              <w:spacing w:after="0"/>
              <w:rPr>
                <w:sz w:val="22"/>
                <w:szCs w:val="22"/>
                <w:color w:val="auto"/>
              </w:rPr>
            </w:pPr>
          </w:p>
        </w:tc>
        <w:tc>
          <w:tcPr>
            <w:tcW w:w="4060" w:type="dxa"/>
            <w:vAlign w:val="bottom"/>
            <w:gridSpan w:val="4"/>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380" w:type="dxa"/>
            <w:vAlign w:val="bottom"/>
          </w:tcPr>
          <w:p>
            <w:pPr>
              <w:spacing w:after="0"/>
              <w:rPr>
                <w:sz w:val="20"/>
                <w:szCs w:val="20"/>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36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April 3, 2016</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Reported gross profit</w:t>
            </w:r>
          </w:p>
        </w:tc>
        <w:tc>
          <w:tcPr>
            <w:tcW w:w="4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906,560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817,376</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34,946</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NSRPE</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3,241</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Non-GAAP gross profit</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892,822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855,076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Reported operating profit</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191,931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339,509</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34,946</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14,430</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Acquisition integration costs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NSRPE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5,101</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208,712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Non-GAAP operating profit</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393,986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Reported provision for income taxes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109,897</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13,245</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3,538</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Acquisition integration costs*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NSRPE*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1,953</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Non-GAAP provision for income taxes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129,708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128,633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Reported net income</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229,832</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21,701</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10,860</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Acquisition integration costs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NSRPE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3,148</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163,511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Noncontrolling interest share of business realignment and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Settlement of SGM liability</w:t>
            </w:r>
          </w:p>
        </w:tc>
        <w:tc>
          <w:tcPr>
            <w:tcW w:w="38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(26,650)</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Non-GAAP net income</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238,891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Reported EPS - Diluted</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NSRPE</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Long-lived asset impairment charges</w:t>
            </w:r>
          </w:p>
        </w:tc>
        <w:tc>
          <w:tcPr>
            <w:tcW w:w="4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Noncontrolling interest share of business realignment and impairment charges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Settlement of SGM liability</w:t>
            </w:r>
          </w:p>
        </w:tc>
        <w:tc>
          <w:tcPr>
            <w:tcW w:w="44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44"/>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Non-GAAP EPS - Diluted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2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tax effect for each adjustment is determined by calculating the tax impact of the adjustment on the Company's quarterly effective tax rate.</w:t>
      </w:r>
    </w:p>
    <w:p>
      <w:pPr>
        <w:sectPr>
          <w:pgSz w:w="11900" w:h="16838" w:orient="portrait"/>
          <w:cols w:equalWidth="0" w:num="1">
            <w:col w:w="11420"/>
          </w:cols>
          <w:pgMar w:left="240" w:top="7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45" w:right="239" w:bottom="1440" w:gutter="0" w:footer="0" w:header="0"/>
          <w:type w:val="continuous"/>
        </w:sectPr>
      </w:pPr>
    </w:p>
    <w:bookmarkStart w:id="29" w:name="page30"/>
    <w:bookmarkEnd w:id="29"/>
    <w:p>
      <w:pPr>
        <w:ind w:right="160"/>
        <w:spacing w:after="0" w:line="282" w:lineRule="auto"/>
        <w:rPr>
          <w:sz w:val="20"/>
          <w:szCs w:val="20"/>
          <w:color w:val="auto"/>
        </w:rPr>
      </w:pPr>
      <w:r>
        <w:rPr>
          <w:rFonts w:ascii="Times New Roman" w:cs="Times New Roman" w:eastAsia="Times New Roman" w:hAnsi="Times New Roman"/>
          <w:sz w:val="18"/>
          <w:szCs w:val="18"/>
          <w:color w:val="auto"/>
        </w:rPr>
        <w:t>In the assessment of our results, we review and discuss the following financial metrics that are derived from the reported and non-GAAP financial measures presented above:</w:t>
      </w:r>
    </w:p>
    <w:p>
      <w:pPr>
        <w:spacing w:after="0" w:line="11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47625</wp:posOffset>
            </wp:positionV>
            <wp:extent cx="2872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April 3, 2016</w:t>
            </w:r>
          </w:p>
        </w:tc>
      </w:tr>
      <w:tr>
        <w:trPr>
          <w:trHeight w:val="33"/>
        </w:trPr>
        <w:tc>
          <w:tcPr>
            <w:tcW w:w="6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As reported gross margin</w:t>
            </w:r>
          </w:p>
        </w:tc>
        <w:tc>
          <w:tcPr>
            <w:tcW w:w="16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37"/>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Non-GAAP gross margin (1)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24"/>
        </w:trPr>
        <w:tc>
          <w:tcPr>
            <w:tcW w:w="69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r>
      <w:tr>
        <w:trPr>
          <w:trHeight w:val="237"/>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 operating profit margin</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Non-GAAP operating profit margin (2)</w:t>
            </w:r>
          </w:p>
        </w:tc>
        <w:tc>
          <w:tcPr>
            <w:tcW w:w="1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324"/>
        </w:trPr>
        <w:tc>
          <w:tcPr>
            <w:tcW w:w="6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As reported effective tax rate</w:t>
            </w:r>
          </w:p>
        </w:tc>
        <w:tc>
          <w:tcPr>
            <w:tcW w:w="1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37"/>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Non-GAAP effective tax rate (3)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bl>
    <w:p>
      <w:pPr>
        <w:spacing w:after="0" w:line="2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non-GAAP gross profit as a percentage of net sales for each period presented.</w:t>
      </w:r>
    </w:p>
    <w:p>
      <w:pPr>
        <w:spacing w:after="0" w:line="2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non-GAAP operating profit as a percentage of net sales for each period presented.</w:t>
      </w:r>
    </w:p>
    <w:p>
      <w:pPr>
        <w:spacing w:after="0" w:line="5" w:lineRule="exact"/>
        <w:rPr>
          <w:rFonts w:ascii="Times New Roman" w:cs="Times New Roman" w:eastAsia="Times New Roman" w:hAnsi="Times New Roman"/>
          <w:sz w:val="16"/>
          <w:szCs w:val="16"/>
          <w:color w:val="auto"/>
        </w:rPr>
      </w:pPr>
    </w:p>
    <w:p>
      <w:pPr>
        <w:ind w:left="660" w:right="40" w:hanging="328"/>
        <w:spacing w:after="0" w:line="257"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Details of the activities impacting comparability that are presented as reconciling items to derive the non-GAAP financial measures in the tables above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Mark-to-market (gains) losses on commodity derivatives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Commensurate with our discontinuance of hedge accounting treatment for commodity derivatives, we are adjusting the mark-to-market (gains) losses on such commodity derivatives, until such time as the related inventory is sold.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April 2, 2017 and April 3, 2016, unallocated mark-to-market adjustment on commodity derivatives totaled pre-tax gains of $17.1 million and losses of $34.9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realignment activities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periodically undertake restructuring and cost reduction activities as part of ongoing efforts to enhance long-term profitability. For the three months ended April 2, 2017 and April 3, 2016, we incurred $47.0 million and $14.4 million, respectively, of pre-tax costs related to business realignment activities. See Note 7 to the Consolidated Financial Statements for more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integration costs</w:t>
      </w:r>
    </w:p>
    <w:p>
      <w:pPr>
        <w:spacing w:after="0" w:line="27"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Costs incurred during the three months ended April 2, 2017 relate to the integration of the 2016 acquisition of Ripple Brand Collective, LLC as we incorporate this business into our operating practices and information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pension expense</w:t>
      </w:r>
    </w:p>
    <w:p>
      <w:pPr>
        <w:spacing w:after="0" w:line="2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NSRPE includes interest costs, the expected return on pension plan assets, the amortization of actuarial gains and losses, and certain curtailment and settlement losses or credits. NSRPE can fluctuate from year to year as a result of changes in market interest rates and market returns on pension plan assets. We believe that the service cost component of our total pension benefit costs closely reflects the operating costs of our business and provides for a better comparison of our operating results from year to year. Therefore, we exclude NSRPE from our internal performance measures. Our most significant defined benefit pension plans have been closed to new participants for a number of years, resulting in ongoing service costs that are stable and predictable. We recorded pre-tax NSRPE of $4.4 million and $5.1 million, respectively, for the three months ended April 2, 2017 and April 3, 2016,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Long-lived asset impairment charges</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For the three months ended April 2, 2017, we incurred $208.7 million of pre-tax long-lived asset impairment charges related to certain business realignment activities. This includes a write-down of certain intangible assets that had been recognized in connection with the 2014 SGM acquisition and write-down of property, plant and equipment. See Note 7 to the Consolidated Financial Statements for more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 share of business realignment and impairment charges</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loss attributed to the non-controlling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SGM liability</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 Net Sales Growth</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reported and constant currency growth rates is provided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 April 2, 2017</w:t>
            </w:r>
          </w:p>
        </w:tc>
        <w:tc>
          <w:tcPr>
            <w:tcW w:w="24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7"/>
        </w:trPr>
        <w:tc>
          <w:tcPr>
            <w:tcW w:w="3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Impact of Foreign Currency</w:t>
            </w:r>
          </w:p>
        </w:tc>
        <w:tc>
          <w:tcPr>
            <w:tcW w:w="2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Percentage Change on Constant</w:t>
            </w:r>
          </w:p>
        </w:tc>
      </w:tr>
      <w:tr>
        <w:trPr>
          <w:trHeight w:val="212"/>
        </w:trPr>
        <w:tc>
          <w:tcPr>
            <w:tcW w:w="3880" w:type="dxa"/>
            <w:vAlign w:val="bottom"/>
          </w:tcPr>
          <w:p>
            <w:pPr>
              <w:spacing w:after="0"/>
              <w:rPr>
                <w:sz w:val="18"/>
                <w:szCs w:val="18"/>
                <w:color w:val="auto"/>
              </w:rPr>
            </w:pP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Percentage Change as Reported</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24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North America segment</w:t>
            </w: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38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Total North America segment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24"/>
        </w:trPr>
        <w:tc>
          <w:tcPr>
            <w:tcW w:w="3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International and Other segment</w:t>
            </w: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Mexico</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33"/>
        </w:trPr>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shd w:val="clear" w:color="auto" w:fill="CCEEFF"/>
              </w:rPr>
              <w:t>Brazil</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48.1 %</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India</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shd w:val="clear" w:color="auto" w:fill="CCEEFF"/>
              </w:rPr>
              <w:t>Greater China</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International and Other segment</w:t>
            </w: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Company</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388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2017 Outlook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projected 2017 EPS-diluted, prepared in accordance with GAAP, to projected non-GAAP EPS-diluted for 2017, prepared on a non-GAAP basis, with adjustments consistent to those discussed previously. The reconciliation of 2016 EPS-diluted, prepared in accordance with GAAP, to 2016 non-GAAP EPS-diluted is provided below for comparison.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1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2017 (Projected)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7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EPS – Diluted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mark-to-market losses</w:t>
            </w:r>
          </w:p>
        </w:tc>
        <w:tc>
          <w:tcPr>
            <w:tcW w:w="2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0.66</w:t>
            </w:r>
          </w:p>
        </w:tc>
      </w:tr>
      <w:tr>
        <w:trPr>
          <w:trHeight w:val="27"/>
        </w:trPr>
        <w:tc>
          <w:tcPr>
            <w:tcW w:w="7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realignment costs (including Margin for Growth Program costs)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Non-service related pension expense</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SGM liability</w:t>
            </w:r>
          </w:p>
        </w:tc>
        <w:tc>
          <w:tcPr>
            <w:tcW w:w="2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EPS – Diluted</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$4.81</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$4.41</w:t>
            </w: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2017 projected EPS-diluted, as presented above, does not include the impact of mark-to-market gains and losses on our commodity derivative contracts that will be reflected within corporate unallocated expenses in our segment results until the related inventory is sold, since we are not able to forecast the impact of the market changes.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8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62"/>
        </w:trPr>
        <w:tc>
          <w:tcPr>
            <w:tcW w:w="5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204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100" w:type="dxa"/>
            <w:vAlign w:val="bottom"/>
          </w:tcPr>
          <w:p>
            <w:pPr>
              <w:spacing w:after="0"/>
              <w:rPr>
                <w:sz w:val="22"/>
                <w:szCs w:val="22"/>
                <w:color w:val="auto"/>
              </w:rPr>
            </w:pPr>
          </w:p>
        </w:tc>
        <w:tc>
          <w:tcPr>
            <w:tcW w:w="200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5"/>
        </w:trPr>
        <w:tc>
          <w:tcPr>
            <w:tcW w:w="5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4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Borders>
              <w:top w:val="single" w:sz="8" w:color="auto"/>
            </w:tcBorders>
          </w:tcPr>
          <w:p>
            <w:pPr>
              <w:spacing w:after="0"/>
              <w:rPr>
                <w:sz w:val="23"/>
                <w:szCs w:val="23"/>
                <w:color w:val="auto"/>
              </w:rPr>
            </w:pPr>
          </w:p>
        </w:tc>
      </w:tr>
      <w:tr>
        <w:trPr>
          <w:trHeight w:val="255"/>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1,879.7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1,828.8</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1,011.4</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817.4</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17"/>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48.2%</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44.7%</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SM&amp;A Expense</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461.9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471.7</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1"/>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24.6%</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25.8%</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Business Realignment Costs</w:t>
            </w:r>
          </w:p>
        </w:tc>
        <w:tc>
          <w:tcPr>
            <w:tcW w:w="34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2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3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339.5</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18.6%</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21.0</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2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109.9</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7"/>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41.6%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32.3%</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Including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229.8</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34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The Hershey Company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229.8</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1"/>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2017 vs. First Quarter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Net sales increased 2.8% in the first quarter of 2017 compared to the same period of 2016, reflecting favorable price realization of 2.0%, a 0.9% benefit from acquisitions and a favorable impact from foreign currency exchange rates of 0.1%, partially offset by volume decreases of 0.2%. Excluding foreign currency, our net sales increased 2.7% in 2017. The favorable net price realization was attributed to lower levels of trade promotional spending and returns, discounts and allowances in both the North America and International and Other segments versus the prior year. Although consolidated volumes declined slightly as a result of macroeconomic challenges in China, this was partially offset by volume improvements in the United States driven by a longer Easter season in 2017 versus 2016, as well as new chocolate products launched in the second half of 2016, including </w:t>
      </w:r>
      <w:r>
        <w:rPr>
          <w:rFonts w:ascii="Times New Roman" w:cs="Times New Roman" w:eastAsia="Times New Roman" w:hAnsi="Times New Roman"/>
          <w:sz w:val="18"/>
          <w:szCs w:val="18"/>
          <w:i w:val="1"/>
          <w:iCs w:val="1"/>
          <w:color w:val="auto"/>
        </w:rPr>
        <w:t>Reese's Pieces</w:t>
      </w:r>
      <w:r>
        <w:rPr>
          <w:rFonts w:ascii="Times New Roman" w:cs="Times New Roman" w:eastAsia="Times New Roman" w:hAnsi="Times New Roman"/>
          <w:sz w:val="18"/>
          <w:szCs w:val="18"/>
          <w:color w:val="auto"/>
        </w:rPr>
        <w:t xml:space="preserve"> Peanut Butter Cups and </w:t>
      </w:r>
      <w:r>
        <w:rPr>
          <w:rFonts w:ascii="Times New Roman" w:cs="Times New Roman" w:eastAsia="Times New Roman" w:hAnsi="Times New Roman"/>
          <w:sz w:val="18"/>
          <w:szCs w:val="18"/>
          <w:i w:val="1"/>
          <w:iCs w:val="1"/>
          <w:color w:val="auto"/>
        </w:rPr>
        <w:t>Hershey's Cookie Layer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Crunch </w:t>
      </w:r>
      <w:r>
        <w:rPr>
          <w:rFonts w:ascii="Times New Roman" w:cs="Times New Roman" w:eastAsia="Times New Roman" w:hAnsi="Times New Roman"/>
          <w:sz w:val="18"/>
          <w:szCs w:val="18"/>
          <w:color w:val="auto"/>
        </w:rPr>
        <w:t>bars.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Key U.S. CMG Marketplace Metrics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For the 12 week period ended</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April 8, 2017</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23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Hershey's Consumer Takeaway (Decrease) Increase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Hershey's Market Share Increase (Decrease)</w:t>
            </w:r>
          </w:p>
        </w:tc>
        <w:tc>
          <w:tcPr>
            <w:tcW w:w="20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1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r>
    </w:tbl>
    <w:p>
      <w:pPr>
        <w:spacing w:after="0" w:line="17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consumer takeaway and market share information provided for the twelve-week period above are for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Nielsen and provide a means to assess our retail takeaway and market position relative to the overall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819" w:right="23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category. In 2017, takeaway declined relative to the prior year mainly due to the timing of Easter, which shifted into mid-April, versus March in 2016. The amounts presented above are solely for the U.S. CMG category which does not include revenue from our snack mixes and grocery items.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sales decreased 3.8% in the first quarter of 2017 compared to the same period of 2016. The improvement was driven by lower input costs, with a $52 million year-over-year favorable impact from marking-to-market our commodity derivative instruments, coupled with benefits from supply chain productivity. The benefits were offset in part by unfavorable manufacturing variances and higher freight and warehousing costs.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margin increased by 350 basis points in the first quarter of 2017 compared to the same period of 2016. Lower commodity costs, including a favorable mark-to-market impact from commodity derivative instruments, drove a 340 basis point increase in gross margin. Lower trade promotional spending and supply chain productivity also contributed to the increased gross margin, but were partially offset by higher supply chain costs.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marketing and administrative (“SM&amp;A”) expenses decreased $9.8 million or 2.1% in the first quarter of 2017. Advertising and related consumer marketing expense decreased 0.5% during this period. Excluding these advertising and related consumer marketing costs, selling and administrative expenses for 2017 decreased by 3.0% as compared to 2016. SM&amp;A benefited from lower business realignment costs as well as costs savings and efficiency initiatives, partially offset by higher investments in go-to-market capabilities and increased depreciation and amortization.</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Long-lived Asset Impairment Charges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quarter of 2017, we recorded long-lived asset impairment charges of $208.7 million. This includes a write-down of certain intangible assets that had been recognized in connection with the 2014 SGM acquisition and write-down of property, plant and equipment. See Note 7 to the Unaudited Consolidated Financial Statements.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first quarter of 2017 and 2016, we recorded business realignment costs of $44.0 million and $6.1 million, respectively. The 2017 costs related primarily to severance and other program costs attributed to the Margin for Growth Program that commenced in the first quarter of 2017. The 2016 costs related primarily to the Operational Optimization Program, as described in Note 7 to the Unaudited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profit decreased 43.5% in the first quarter of 2017 compared to the same period of 2016 due primarily to the long-lived asset impairment charges and higher business realignment costs, partially offset by lower cost of sales and SM&amp;A expenses, as discussed above. Operating profit margin decreased to 10.2% in 2017 from 18.6% in 2016 driven by these same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interest expense was $2.7 million higher in the first quarter of 2017 compared to the same period of 2016. The increase was due to higher levels of debt outstanding during the first quarter of 2017 as compared to the 2016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(income) expense, net included income of $0.2 million during first quarter of 2017 versus income, net of expenses of $21.2 million for the same period of 2016. The 2016 income, net of expense included an extinguishment gain of $26.7 million related to the settlement of the SGM liability. Additionally, in 2016, we recognized a $5.6 million write-down on equity investments qualifying for federal historic and energy tax credits, while there was no corresponding expense in the first quarter of 2017.</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742"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taxes decreased $39.8 million in the first quarter of 2017 compared to the same period of 2016, primarily due to lower income before taxes. Our effective income tax rate was 41.6% for the first quarter of 2017 compared with 32.3% for the same period of 2016. Relative to the statutory rate, the 2017 effective tax rate was impacted by non-benefited costs resulting from the Margin for Growth Program, partially offset by a favorable foreign rate differential relating to our cocoa procurement operations. The 2016 effective rate benefited from the impact of non-taxable income related to the settlement of the SGM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 and Earnings Per Share-diluted</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income decreased $104.8 million, or 45.6%, while EPS-diluted decreased $0.48, or 45.3%, in the first quarter of 2017 compared to the same period of 2016. The decreases in both net income and EPS-diluted were driven by the long-lived asset impairment charges and higher business realignment costs, as noted above.</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80"/>
          </w:cols>
          <w:pgMar w:left="240" w:top="73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and NSRPE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60" w:type="dxa"/>
            <w:vAlign w:val="bottom"/>
            <w:gridSpan w:val="4"/>
          </w:tcPr>
          <w:p>
            <w:pPr>
              <w:jc w:val="right"/>
              <w:ind w:right="12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360" w:type="dxa"/>
            <w:vAlign w:val="bottom"/>
          </w:tcPr>
          <w:p>
            <w:pPr>
              <w:spacing w:after="0"/>
              <w:rPr>
                <w:sz w:val="20"/>
                <w:szCs w:val="20"/>
                <w:color w:val="auto"/>
              </w:rPr>
            </w:pPr>
          </w:p>
        </w:tc>
        <w:tc>
          <w:tcPr>
            <w:tcW w:w="17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April 3, 2016</w:t>
            </w: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1,677,146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1,633,471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202,532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195,341</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1,879,678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1,828,812</w:t>
            </w:r>
          </w:p>
        </w:tc>
      </w:tr>
      <w:tr>
        <w:trPr>
          <w:trHeight w:val="311"/>
        </w:trPr>
        <w:tc>
          <w:tcPr>
            <w:tcW w:w="7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 (Loss):</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529,390</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and Other</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516,157</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122,171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mark-to-market (gains) losses on commodity derivatives (2)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34,946</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14,430</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Non-service related pension expense</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5,101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191,931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339,509</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339,729</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60" w:hanging="332"/>
        <w:spacing w:after="0" w:line="263"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3" w:lineRule="exact"/>
        <w:rPr>
          <w:rFonts w:ascii="Times New Roman" w:cs="Times New Roman" w:eastAsia="Times New Roman" w:hAnsi="Times New Roman"/>
          <w:sz w:val="16"/>
          <w:szCs w:val="16"/>
          <w:color w:val="auto"/>
        </w:rPr>
      </w:pPr>
    </w:p>
    <w:p>
      <w:pPr>
        <w:ind w:left="340" w:right="60" w:hanging="332"/>
        <w:spacing w:after="0" w:line="281"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gains and losses on commodity derivative instruments that are excluded from segment income until the related inventory is sold. See Note 11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92"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89.2% and 89.3% of our net sales for the three months ended April 2, 2017 and April 3, 2016, respectively. North America results for the three months ended April 2, 2017 and April 3, 2016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98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62"/>
        </w:trPr>
        <w:tc>
          <w:tcPr>
            <w:tcW w:w="5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6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198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5"/>
        </w:trPr>
        <w:tc>
          <w:tcPr>
            <w:tcW w:w="5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6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Borders>
              <w:top w:val="single" w:sz="8" w:color="auto"/>
            </w:tcBorders>
          </w:tcPr>
          <w:p>
            <w:pPr>
              <w:spacing w:after="0"/>
              <w:rPr>
                <w:sz w:val="23"/>
                <w:szCs w:val="23"/>
                <w:color w:val="auto"/>
              </w:rPr>
            </w:pPr>
          </w:p>
        </w:tc>
      </w:tr>
      <w:tr>
        <w:trPr>
          <w:trHeight w:val="255"/>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1,633.5</w:t>
            </w: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360" w:type="dxa"/>
            <w:vAlign w:val="bottom"/>
          </w:tcPr>
          <w:p>
            <w:pPr>
              <w:spacing w:after="0"/>
              <w:rPr>
                <w:sz w:val="21"/>
                <w:szCs w:val="21"/>
                <w:color w:val="auto"/>
              </w:rPr>
            </w:pPr>
          </w:p>
        </w:tc>
        <w:tc>
          <w:tcPr>
            <w:tcW w:w="16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529.4</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margin</w:t>
            </w:r>
          </w:p>
        </w:tc>
        <w:tc>
          <w:tcPr>
            <w:tcW w:w="3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32.4%</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r>
      <w:tr>
        <w:trPr>
          <w:trHeight w:val="27"/>
        </w:trPr>
        <w:tc>
          <w:tcPr>
            <w:tcW w:w="5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2017 vs. First Quarter 2016</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sales of our North America segment increased $43.6 million or 2.7% in 2017 compared to 2016, driven by favorable net price realization of 1.2% due to lower direct trade expense. Additionally, volume increased 0.3% driven by stronger Easter sales, partially offset by lower everyday product volume due in part to the challenging consumer packaged goods retail trends. In addition, the barkTHINS acquisition contributed 1% of net sales growth and a favorable impact from foreign currency exchange rates increased net sales by approximately 0.2%.</w:t>
      </w:r>
    </w:p>
    <w:p>
      <w:pPr>
        <w:spacing w:after="0" w:line="9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 xml:space="preserve">Our North America segment income increased $23.7 million or 4.5% in 2017 compared to 2016, driven by higher gross profit, partially offset by investments in greater levels of selling expense, go-to-market capabilities and increased depreciation and amortization resulting from the recent </w:t>
      </w:r>
      <w:r>
        <w:rPr>
          <w:rFonts w:ascii="Times New Roman" w:cs="Times New Roman" w:eastAsia="Times New Roman" w:hAnsi="Times New Roman"/>
          <w:sz w:val="17"/>
          <w:szCs w:val="17"/>
          <w:i w:val="1"/>
          <w:iCs w:val="1"/>
          <w:color w:val="auto"/>
        </w:rPr>
        <w:t>barkTHINS</w:t>
      </w:r>
      <w:r>
        <w:rPr>
          <w:rFonts w:ascii="Times New Roman" w:cs="Times New Roman" w:eastAsia="Times New Roman" w:hAnsi="Times New Roman"/>
          <w:sz w:val="17"/>
          <w:szCs w:val="17"/>
          <w:color w:val="auto"/>
        </w:rPr>
        <w:t xml:space="preserve"> acquisition.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Shanghai, Niagara Falls (Ontario), Dubai and Singapore, as well as operations associated with licensing the use of certain trademarks and products to third parties around the world. International and Other accounted for 10.8% and 10.7% of our net sales for the three months ended April 2, 2017 and April 3, 2016, respectively. International and Other results for the three months ended April 2, 2017 and April 3, 2016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9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62"/>
        </w:trPr>
        <w:tc>
          <w:tcPr>
            <w:tcW w:w="5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380" w:type="dxa"/>
            <w:vAlign w:val="bottom"/>
          </w:tcPr>
          <w:p>
            <w:pPr>
              <w:spacing w:after="0"/>
              <w:rPr>
                <w:sz w:val="22"/>
                <w:szCs w:val="22"/>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3, 2016</w:t>
            </w:r>
          </w:p>
        </w:tc>
        <w:tc>
          <w:tcPr>
            <w:tcW w:w="19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5"/>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8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Borders>
              <w:top w:val="single" w:sz="8" w:color="auto"/>
            </w:tcBorders>
          </w:tcPr>
          <w:p>
            <w:pPr>
              <w:spacing w:after="0"/>
              <w:rPr>
                <w:sz w:val="23"/>
                <w:szCs w:val="23"/>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 (loss)</w:t>
            </w:r>
          </w:p>
        </w:tc>
        <w:tc>
          <w:tcPr>
            <w:tcW w:w="280" w:type="dxa"/>
            <w:vAlign w:val="bottom"/>
          </w:tcPr>
          <w:p>
            <w:pPr>
              <w:spacing w:after="0"/>
              <w:rPr>
                <w:sz w:val="21"/>
                <w:szCs w:val="21"/>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9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459"/>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129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2017 vs. First Quarter 2016</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sales of our International and Other segment increased $7.2 million or 3.7% in 2017 compared to 2016, reflecting favorable price realization of 8.7%, partially offset by volume declines of 4.5% and an unfavorable impact from foreign currency exchange rates of 0.5%. Excluding the unfavorable impact of foreign currency exchange rates, the net sales of our International and Other segment increased by approximately 4.2%.</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favorable net price realization was driven by lower direct trade expense as well as lower returns, discounts and allowances in China, which declined significantly compared to the prior year. The volume decrease primarily related to continued softness in the China chocolate category due to macroeconomic challenges, partially offset by net sales increases in Latin America and select export markets. Constant currency net sales in Mexico, Brazil and India increased by 13.0%, 18.1%, and 15.7%, respectively, driven by solid chocolate marketplace performance.</w:t>
      </w:r>
    </w:p>
    <w:p>
      <w:pPr>
        <w:spacing w:after="0" w:line="9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International and Other segment generated income of $1.7 million in 2017 compared to a loss of $13.2 million in 2016. Combined income in Latin America and export markets improved versus the prior year and performance in China benefited from significantly lower levels of direct trade and returns, discounts and allowances.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9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quarter of 2017, unallocated corporate expense totaled $119.7 million, as compared to $122.2 million in the same period of 2016. Savings realized in 2017 from our productivity and cost savings initiatives were partially offset by higher employee-related costs and an increase in depreciation and amortization.</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81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April 2, 2017, our cash and cash equivalents totaled $235.0 million. At December 31, 2016, our cash and cash equivalents totaled $297.0 million. Our cash and cash equivalents during the first three months of 2017 declined $62.0 million compared to the 2016 year-end balance as a result of the net uses of cash outlined in the previous discussion.</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Approximately 70% of the balance of our cash and cash equivalents at April 2, 2017 was held by subsidiaries domiciled outside of the United States. If these amounts held outside of the United States were to be repatriated, under current law they would be subject to U.S. federal income taxes, less applicable foreign tax credits. However,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 of Cash Flows:</w:t>
      </w:r>
    </w:p>
    <w:p>
      <w:pPr>
        <w:spacing w:after="0" w:line="23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24765</wp:posOffset>
            </wp:positionV>
            <wp:extent cx="2624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2017</w:t>
            </w:r>
          </w:p>
        </w:tc>
        <w:tc>
          <w:tcPr>
            <w:tcW w:w="420" w:type="dxa"/>
            <w:vAlign w:val="bottom"/>
          </w:tcPr>
          <w:p>
            <w:pPr>
              <w:spacing w:after="0"/>
              <w:rPr>
                <w:sz w:val="16"/>
                <w:szCs w:val="16"/>
                <w:color w:val="auto"/>
              </w:rPr>
            </w:pPr>
          </w:p>
        </w:tc>
        <w:tc>
          <w:tcPr>
            <w:tcW w:w="16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April 3, 2016</w:t>
            </w:r>
          </w:p>
        </w:tc>
      </w:tr>
      <w:tr>
        <w:trPr>
          <w:trHeight w:val="512"/>
        </w:trPr>
        <w:tc>
          <w:tcPr>
            <w:tcW w:w="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4"/>
                <w:szCs w:val="24"/>
                <w:color w:val="auto"/>
              </w:rPr>
            </w:pPr>
          </w:p>
        </w:tc>
        <w:tc>
          <w:tcPr>
            <w:tcW w:w="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269.5</w:t>
            </w:r>
          </w:p>
        </w:tc>
      </w:tr>
      <w:tr>
        <w:trPr>
          <w:trHeight w:val="284"/>
        </w:trPr>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0"/>
        </w:trPr>
        <w:tc>
          <w:tcPr>
            <w:tcW w:w="4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84"/>
        </w:trPr>
        <w:tc>
          <w:tcPr>
            <w:tcW w:w="420" w:type="dxa"/>
            <w:vAlign w:val="bottom"/>
          </w:tcPr>
          <w:p>
            <w:pPr>
              <w:spacing w:after="0"/>
              <w:rPr>
                <w:sz w:val="24"/>
                <w:szCs w:val="24"/>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41"/>
        </w:trPr>
        <w:tc>
          <w:tcPr>
            <w:tcW w:w="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4140"/>
          </w:cols>
          <w:pgMar w:left="240" w:top="81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generated net cash from operating activities of $234.5 million in the first three months of 2017, a decrease of $35.0 million compared to $269.5 million in the same period of 2016. This decrease in net cash from operating activities was mainly driven by the following factors:</w:t>
      </w:r>
    </w:p>
    <w:p>
      <w:pPr>
        <w:spacing w:after="0" w:line="108"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(comprised of trade accounts receivable, inventory, accounts payable and accrued liabilities) used cash of $188.3 million in the 2017 period compared to $67.8 million during the same period of 2016. This $120.5 million fluctuation was mainly driven by:</w:t>
      </w:r>
    </w:p>
    <w:p>
      <w:pPr>
        <w:spacing w:after="0" w:line="107" w:lineRule="exact"/>
        <w:rPr>
          <w:rFonts w:ascii="Times New Roman" w:cs="Times New Roman" w:eastAsia="Times New Roman" w:hAnsi="Times New Roman"/>
          <w:sz w:val="18"/>
          <w:szCs w:val="18"/>
          <w:color w:val="auto"/>
        </w:rPr>
      </w:pPr>
    </w:p>
    <w:p>
      <w:pPr>
        <w:jc w:val="both"/>
        <w:ind w:left="1300" w:right="32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 million decrease in cash generated by accounts receivable, primarily attributed to the timing of sales during the quarter. U.S. sales were measurably higher in the last 15 days of the first quarter of 2017 versus the first quarter of 2016 due to timing of shipments, which drove a higher investment in accounts receivable as of the 2017 quarter-end.</w:t>
      </w:r>
    </w:p>
    <w:p>
      <w:pPr>
        <w:spacing w:after="0" w:line="122"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increase in cash used by inventories, due to a higher year-over-year build up of U.S. inventories for new product launches and summer volumes, coupled with a higher investment in inventory in Brazil, driven by volume and pricing growth in that market.</w:t>
      </w:r>
    </w:p>
    <w:p>
      <w:pPr>
        <w:spacing w:after="0" w:line="107"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 million increase in cash used by accounts payable and accrued liabilities, mainly due to higher incentive payments in the 2017 period versus the prior year as well as the timing of payments for trade-related and other accounts payables.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819" w:right="239" w:bottom="1440" w:gutter="0" w:footer="0" w:header="0"/>
          <w:type w:val="continuous"/>
        </w:sectPr>
      </w:pPr>
    </w:p>
    <w:bookmarkStart w:id="39" w:name="page40"/>
    <w:bookmarkEnd w:id="39"/>
    <w:p>
      <w:pPr>
        <w:ind w:left="660" w:right="12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uses of cash noted above were offset in part by higher cash-based net income in the 2017 period. Net income adjusted for non-cash charges to operations (including depreciation, amortization, stock-based compensation, deferred income taxes, asset impairment charges, write-down of equity investments, the gain on settlement of the SGM liability and other charges) increased cash flow by $100.8 million in the 2017 period relative to the same period of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used net cash from investing activities of $40.7 million in the first three months of 2017, a decrease of $8.5 million compared to $49.2 million in the same period of 2016. This decrease in net cash used in investing activities was mainly driven by the following factors:</w:t>
      </w:r>
    </w:p>
    <w:p>
      <w:pPr>
        <w:spacing w:after="0" w:line="106" w:lineRule="exact"/>
        <w:rPr>
          <w:sz w:val="20"/>
          <w:szCs w:val="20"/>
          <w:color w:val="auto"/>
        </w:rPr>
      </w:pPr>
    </w:p>
    <w:p>
      <w:pPr>
        <w:ind w:left="660" w:right="180" w:hanging="328"/>
        <w:spacing w:after="0" w:line="267"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We spent approximately $8.1 million less in capital expenditures, including capitalized software, during the first three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compared to the same period of 2016. For the full year 2017, we expect capital expenditures, including capitalized software, to approximate $270 million to $290 million.</w:t>
      </w:r>
    </w:p>
    <w:p>
      <w:pPr>
        <w:spacing w:after="0" w:line="119" w:lineRule="exact"/>
        <w:rPr>
          <w:rFonts w:ascii="Times New Roman" w:cs="Times New Roman" w:eastAsia="Times New Roman" w:hAnsi="Times New Roman"/>
          <w:sz w:val="18"/>
          <w:szCs w:val="18"/>
          <w:i w:val="1"/>
          <w:iCs w:val="1"/>
          <w:color w:val="auto"/>
        </w:rPr>
      </w:pPr>
    </w:p>
    <w:p>
      <w:pPr>
        <w:ind w:left="660" w:right="20" w:hanging="328"/>
        <w:spacing w:after="0" w:line="267"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energy tax credits. We invested approximately $1.7 million less in projects qualifying for tax credits during the first three months of 2017 compared to the same period of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used net cash from financing activities of $256.9 million in the first three months of 2017, a decrease of $26.7 million compared to $283.6 million in the same period of 2016. This decrease in net cash used in financing activities was mainly driven by the following factors:</w:t>
      </w:r>
    </w:p>
    <w:p>
      <w:pPr>
        <w:spacing w:after="0" w:line="106" w:lineRule="exact"/>
        <w:rPr>
          <w:sz w:val="20"/>
          <w:szCs w:val="20"/>
          <w:color w:val="auto"/>
        </w:rPr>
      </w:pPr>
    </w:p>
    <w:p>
      <w:pPr>
        <w:ind w:left="660" w:right="60" w:hanging="328"/>
        <w:spacing w:after="0" w:line="282" w:lineRule="auto"/>
        <w:tabs>
          <w:tab w:leader="none" w:pos="66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Short-term borrowings, net. </w:t>
      </w:r>
      <w:r>
        <w:rPr>
          <w:rFonts w:ascii="Times New Roman" w:cs="Times New Roman" w:eastAsia="Times New Roman" w:hAnsi="Times New Roman"/>
          <w:sz w:val="17"/>
          <w:szCs w:val="17"/>
          <w:color w:val="auto"/>
        </w:rPr>
        <w:t>In addition to utilizing cash on hand, we use short-term borrowings (commercial paper and bank borrowings) to fund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seasonal working capital requirements and ongoing business needs. During the first three months of 2017, we reduced commercial paper borrowings by $126 million and repaid $19 million of short-term foreign borrowings. During the first three months of 2016, we generated cash flow of $250 million from proceeds on short-term commercial paper issuances, partially offset by a $94 million reduction in short-term foreign borrowings.</w:t>
      </w:r>
    </w:p>
    <w:p>
      <w:pPr>
        <w:spacing w:after="0" w:line="107" w:lineRule="exact"/>
        <w:rPr>
          <w:rFonts w:ascii="Times New Roman" w:cs="Times New Roman" w:eastAsia="Times New Roman" w:hAnsi="Times New Roman"/>
          <w:sz w:val="17"/>
          <w:szCs w:val="17"/>
          <w:i w:val="1"/>
          <w:iCs w:val="1"/>
          <w:color w:val="auto"/>
        </w:rPr>
      </w:pPr>
    </w:p>
    <w:p>
      <w:pPr>
        <w:ind w:left="660" w:right="400" w:hanging="328"/>
        <w:spacing w:after="0" w:line="284"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had no share repurchases during the first three months of 2017. We used cash for total share repurchases of $304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first three months of 2016.</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$128.0 million during the first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2017, an increase of $5.6 million compared to $122.4 million in the same period of 2016.</w:t>
      </w:r>
    </w:p>
    <w:p>
      <w:pPr>
        <w:spacing w:after="0" w:line="104" w:lineRule="exact"/>
        <w:rPr>
          <w:rFonts w:ascii="Times New Roman" w:cs="Times New Roman" w:eastAsia="Times New Roman" w:hAnsi="Times New Roman"/>
          <w:sz w:val="18"/>
          <w:szCs w:val="18"/>
          <w:i w:val="1"/>
          <w:iCs w:val="1"/>
          <w:color w:val="auto"/>
        </w:rPr>
      </w:pPr>
    </w:p>
    <w:p>
      <w:pPr>
        <w:jc w:val="both"/>
        <w:ind w:left="660" w:right="20" w:hanging="328"/>
        <w:spacing w:after="0" w:line="267"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the exercise of stock options. </w:t>
      </w:r>
      <w:r>
        <w:rPr>
          <w:rFonts w:ascii="Times New Roman" w:cs="Times New Roman" w:eastAsia="Times New Roman" w:hAnsi="Times New Roman"/>
          <w:sz w:val="18"/>
          <w:szCs w:val="18"/>
          <w:color w:val="auto"/>
        </w:rPr>
        <w:t>We received $17.8 million from employee exercises of stock options, net of payments of employee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from share-based awards, during the first three months of 2017, a decrease of $6.8 million compared to $24.6 million in the same period of 2016.</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February 2016, we used $35.8 million to purchase the remaining 20% of the outstanding shares of SGM.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recently adopted and recently issued accounting standards is included in Note 1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3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62" w:lineRule="exact"/>
        <w:rPr>
          <w:sz w:val="20"/>
          <w:szCs w:val="20"/>
          <w:color w:val="auto"/>
        </w:rPr>
      </w:pPr>
    </w:p>
    <w:p>
      <w:pPr>
        <w:ind w:left="260" w:right="40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could affect future financial results;</w:t>
      </w:r>
    </w:p>
    <w:p>
      <w:pPr>
        <w:spacing w:after="0" w:line="171"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17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could increase our costs and liabilities or impact demand for our products;</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could negatively impact our financial results;</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workforce we need to drive our growth strategies;</w:t>
      </w:r>
    </w:p>
    <w:p>
      <w:pPr>
        <w:spacing w:after="0" w:line="171"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costs savings and/or operating efficiencies associated with our strategic initiatives or restructuring programs, which may have an adverse impact on our business; and</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2016 Annual Report on Form 10-K.</w:t>
      </w:r>
    </w:p>
    <w:p>
      <w:pPr>
        <w:spacing w:after="0" w:line="33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240" w:top="81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total notional amount of interest rate swaps outstanding was $350 million at April 2, 2017 and December 31, 2016. The notional amount relates to fixed-to-floating interest rate swaps which convert a comparable amount of fixed-rate debt to variable rate debt at April 2, 2017 and December 31, 2016. A hypothetical 100 basis point increase in interest rates applied to this now variable rate debt as of April 2, 2017 would have increased interest expense by approximately $0.9 million for the first three months of 2017 and $3.6 million for the full year 2016.</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2, 2017 and December 31, 2016 by approximately $140 million and $142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potential decline in fair value of foreign currency forward exchange contracts resulting from a hypothetical near-term adverse change in market rates of 10% was $14.8 million as of April 2, 2017 and $9.6 million as of December 31, 2016. Our open commodity contracts had a notional value of $609.2 million as of April 2, 2017 and $739.4 million as of December 31, 2016. At the end of the first quarter of 2017, the potential change in fair value of commodity derivative instruments, assuming a 10% decrease in the underlying commodity price, would have increased our net unrealized losses by $60.9 million, generally offset by a reduction in the cost of the underlying commodity 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market risks have not changed significantly from those described in our 2016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2, 2017. Based on this evaluation, our Chief Executive Officer and Chief Financial Officer concluded that our disclosure controls and procedures were effective as of April 2, 2017.</w:t>
      </w:r>
    </w:p>
    <w:p>
      <w:pPr>
        <w:spacing w:after="0" w:line="29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April 2, 2017 that have materially affected, or are reasonably likely to materially affect, our internal control over financial reporting.</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240" w:top="81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legal proceedings is included in Note 14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 Factors as of April 2, 2017 have not changed materially from those described in Part 1, Item 1A, “Risk Factors,” of our 2016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during the three months ended April 2, 2017.</w:t>
      </w:r>
    </w:p>
    <w:p>
      <w:pPr>
        <w:spacing w:after="0" w:line="171"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In January 2016, our Board of Directors approved an additional $500 million share repurchase authorization. As of April 2, 2017, approximately $100 million remained available for repurchases of our Common Stock under this program. The share repurchase program does not have an expiration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240" w:top="576"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30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40" w:type="dxa"/>
            <w:vAlign w:val="bottom"/>
            <w:gridSpan w:val="13"/>
          </w:tcPr>
          <w:p>
            <w:pPr>
              <w:ind w:left="1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3"/>
        </w:trPr>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3"/>
        </w:trPr>
        <w:tc>
          <w:tcPr>
            <w:tcW w:w="480" w:type="dxa"/>
            <w:vAlign w:val="bottom"/>
            <w:tcBorders>
              <w:right w:val="single" w:sz="8" w:color="CCEEFF"/>
            </w:tcBorders>
            <w:gridSpan w:val="3"/>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jc w:val="center"/>
              <w:spacing w:after="0" w:line="183" w:lineRule="exact"/>
              <w:rPr>
                <w:rFonts w:ascii="Times New Roman" w:cs="Times New Roman" w:eastAsia="Times New Roman" w:hAnsi="Times New Roman"/>
                <w:sz w:val="16"/>
                <w:szCs w:val="16"/>
                <w:color w:val="0000EE"/>
                <w:w w:val="99"/>
              </w:rPr>
            </w:pPr>
            <w:hyperlink r:id="rId29">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1</w:t>
              </w:r>
            </w:hyperlink>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6"/>
            <w:shd w:val="clear" w:color="auto" w:fill="CCEEFF"/>
          </w:tcPr>
          <w:p>
            <w:pPr>
              <w:spacing w:after="0" w:line="183"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The Company’s By-Laws, as amended and restated as of February 21, 2017, are incorporated by reference to Exhibit 3.1 to the Company’s Current Report</w:t>
              </w:r>
            </w:hyperlink>
          </w:p>
        </w:tc>
      </w:tr>
      <w:tr>
        <w:trPr>
          <w:trHeight w:val="20"/>
        </w:trPr>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6"/>
            <w:shd w:val="clear" w:color="auto" w:fill="CCEEFF"/>
          </w:tcPr>
          <w:p>
            <w:pPr>
              <w:spacing w:after="0" w:line="183"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on Form 8-K filed February 22, 2017</w:t>
              </w:r>
            </w:hyperlink>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4"/>
          </w:tcPr>
          <w:p>
            <w:pPr>
              <w:jc w:val="center"/>
              <w:ind w:left="359"/>
              <w:spacing w:after="0"/>
              <w:rPr>
                <w:rFonts w:ascii="Times New Roman" w:cs="Times New Roman" w:eastAsia="Times New Roman" w:hAnsi="Times New Roman"/>
                <w:sz w:val="16"/>
                <w:szCs w:val="16"/>
                <w:color w:val="0000EE"/>
                <w:w w:val="99"/>
              </w:rPr>
            </w:pPr>
            <w:hyperlink w:anchor="page46">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1</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6"/>
          </w:tcPr>
          <w:p>
            <w:pPr>
              <w:spacing w:after="0"/>
              <w:rPr>
                <w:rFonts w:ascii="Times New Roman" w:cs="Times New Roman" w:eastAsia="Times New Roman" w:hAnsi="Times New Roman"/>
                <w:sz w:val="16"/>
                <w:szCs w:val="16"/>
                <w:color w:val="0000EE"/>
              </w:rPr>
            </w:pPr>
            <w:hyperlink w:anchor="page46">
              <w:r>
                <w:rPr>
                  <w:rFonts w:ascii="Times New Roman" w:cs="Times New Roman" w:eastAsia="Times New Roman" w:hAnsi="Times New Roman"/>
                  <w:sz w:val="16"/>
                  <w:szCs w:val="16"/>
                  <w:color w:val="0000EE"/>
                </w:rPr>
                <w:t>Form of Notice of Award of Restricted Stock Units (effective February 22, 2017)</w:t>
              </w:r>
            </w:hyperlink>
            <w:r>
              <w:rPr>
                <w:rFonts w:ascii="Times New Roman" w:cs="Times New Roman" w:eastAsia="Times New Roman" w:hAnsi="Times New Roman"/>
                <w:sz w:val="16"/>
                <w:szCs w:val="16"/>
                <w:color w:val="000000"/>
              </w:rPr>
              <w:t>*+</w:t>
            </w:r>
          </w:p>
        </w:tc>
      </w:tr>
      <w:tr>
        <w:trPr>
          <w:trHeight w:val="61"/>
        </w:trPr>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5"/>
            <w:shd w:val="clear" w:color="auto" w:fill="CCEEFF"/>
          </w:tcPr>
          <w:p>
            <w:pPr>
              <w:jc w:val="center"/>
              <w:ind w:right="480"/>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2(a)</w:t>
              </w:r>
            </w:hyperlink>
          </w:p>
        </w:tc>
        <w:tc>
          <w:tcPr>
            <w:tcW w:w="10120" w:type="dxa"/>
            <w:vAlign w:val="bottom"/>
            <w:gridSpan w:val="16"/>
            <w:shd w:val="clear" w:color="auto" w:fill="CCEEFF"/>
          </w:tcPr>
          <w:p>
            <w:pPr>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color w:val="0000EE"/>
                </w:rPr>
                <w:t>Form of Notice of Special Award of Restricted Stock Units (pro-rata vest, effective February 22, 2017)</w:t>
              </w:r>
            </w:hyperlink>
            <w:r>
              <w:rPr>
                <w:rFonts w:ascii="Times New Roman" w:cs="Times New Roman" w:eastAsia="Times New Roman" w:hAnsi="Times New Roman"/>
                <w:sz w:val="16"/>
                <w:szCs w:val="16"/>
                <w:color w:val="000000"/>
              </w:rPr>
              <w:t>*+</w:t>
            </w:r>
          </w:p>
        </w:tc>
      </w:tr>
      <w:tr>
        <w:trPr>
          <w:trHeight w:val="61"/>
        </w:trPr>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40" w:type="dxa"/>
            <w:vAlign w:val="bottom"/>
            <w:tcBorders>
              <w:top w:val="single" w:sz="8" w:color="0000EE"/>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1300" w:type="dxa"/>
            <w:vAlign w:val="bottom"/>
            <w:gridSpan w:val="7"/>
          </w:tcPr>
          <w:p>
            <w:pPr>
              <w:jc w:val="center"/>
              <w:ind w:right="140"/>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2(b)</w:t>
              </w:r>
            </w:hyperlink>
          </w:p>
        </w:tc>
        <w:tc>
          <w:tcPr>
            <w:tcW w:w="10120" w:type="dxa"/>
            <w:vAlign w:val="bottom"/>
            <w:gridSpan w:val="16"/>
          </w:tcPr>
          <w:p>
            <w:pPr>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Form of Notice of Special Award of Restricted Stock Units (3-year cliff vest, effective February 22, 2017)</w:t>
              </w:r>
            </w:hyperlink>
            <w:r>
              <w:rPr>
                <w:rFonts w:ascii="Times New Roman" w:cs="Times New Roman" w:eastAsia="Times New Roman" w:hAnsi="Times New Roman"/>
                <w:sz w:val="16"/>
                <w:szCs w:val="16"/>
                <w:color w:val="000000"/>
              </w:rPr>
              <w:t>*+</w:t>
            </w:r>
          </w:p>
        </w:tc>
      </w:tr>
      <w:tr>
        <w:trPr>
          <w:trHeight w:val="61"/>
        </w:trPr>
        <w:tc>
          <w:tcPr>
            <w:tcW w:w="3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20" w:type="dxa"/>
            <w:vAlign w:val="bottom"/>
            <w:tcBorders>
              <w:right w:val="single" w:sz="8" w:color="CCEEFF"/>
            </w:tcBorders>
            <w:gridSpan w:val="4"/>
            <w:shd w:val="clear" w:color="auto" w:fill="CCEEFF"/>
          </w:tcPr>
          <w:p>
            <w:pPr>
              <w:jc w:val="center"/>
              <w:ind w:left="359"/>
              <w:spacing w:after="0"/>
              <w:rPr>
                <w:rFonts w:ascii="Times New Roman" w:cs="Times New Roman" w:eastAsia="Times New Roman" w:hAnsi="Times New Roman"/>
                <w:sz w:val="16"/>
                <w:szCs w:val="16"/>
                <w:color w:val="0000EE"/>
                <w:w w:val="99"/>
              </w:rPr>
            </w:pPr>
            <w:hyperlink w:anchor="page65">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3</w:t>
              </w:r>
            </w:hyperlink>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6"/>
            <w:shd w:val="clear" w:color="auto" w:fill="CCEEFF"/>
          </w:tcPr>
          <w:p>
            <w:pPr>
              <w:spacing w:after="0"/>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Terms and Conditions of Nonqualified Stock Option Awards under the Equity and Incentive Compensation Plan (effective February 22, 2017)</w:t>
              </w:r>
            </w:hyperlink>
            <w:r>
              <w:rPr>
                <w:rFonts w:ascii="Times New Roman" w:cs="Times New Roman" w:eastAsia="Times New Roman" w:hAnsi="Times New Roman"/>
                <w:sz w:val="16"/>
                <w:szCs w:val="16"/>
                <w:color w:val="000000"/>
              </w:rPr>
              <w:t>*+</w:t>
            </w:r>
          </w:p>
        </w:tc>
      </w:tr>
      <w:tr>
        <w:trPr>
          <w:trHeight w:val="61"/>
        </w:trPr>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40" w:type="dxa"/>
            <w:vAlign w:val="bottom"/>
            <w:tcBorders>
              <w:top w:val="single" w:sz="8" w:color="0000EE"/>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4"/>
          </w:tcPr>
          <w:p>
            <w:pPr>
              <w:jc w:val="center"/>
              <w:ind w:left="359"/>
              <w:spacing w:after="0"/>
              <w:rPr>
                <w:rFonts w:ascii="Times New Roman" w:cs="Times New Roman" w:eastAsia="Times New Roman" w:hAnsi="Times New Roman"/>
                <w:sz w:val="16"/>
                <w:szCs w:val="16"/>
                <w:color w:val="0000EE"/>
                <w:w w:val="99"/>
              </w:rPr>
            </w:pPr>
            <w:hyperlink w:anchor="page70">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4</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6"/>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Form of Notice of Award of Performance Stock Units (effective February 22, 2017)</w:t>
              </w:r>
            </w:hyperlink>
            <w:r>
              <w:rPr>
                <w:rFonts w:ascii="Times New Roman" w:cs="Times New Roman" w:eastAsia="Times New Roman" w:hAnsi="Times New Roman"/>
                <w:sz w:val="16"/>
                <w:szCs w:val="16"/>
                <w:color w:val="000000"/>
              </w:rPr>
              <w:t>*+</w:t>
            </w:r>
          </w:p>
        </w:tc>
      </w:tr>
      <w:tr>
        <w:trPr>
          <w:trHeight w:val="61"/>
        </w:trPr>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80" w:type="dxa"/>
            <w:vAlign w:val="bottom"/>
            <w:tcBorders>
              <w:right w:val="single" w:sz="8" w:color="CCEEFF"/>
            </w:tcBorders>
            <w:gridSpan w:val="3"/>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jc w:val="center"/>
              <w:spacing w:after="0"/>
              <w:rPr>
                <w:rFonts w:ascii="Times New Roman" w:cs="Times New Roman" w:eastAsia="Times New Roman" w:hAnsi="Times New Roman"/>
                <w:sz w:val="16"/>
                <w:szCs w:val="16"/>
                <w:color w:val="0000EE"/>
                <w:w w:val="85"/>
              </w:rPr>
            </w:pPr>
            <w:hyperlink r:id="rId30">
              <w:r>
                <w:rPr>
                  <w:rFonts w:ascii="Times New Roman" w:cs="Times New Roman" w:eastAsia="Times New Roman" w:hAnsi="Times New Roman"/>
                  <w:sz w:val="16"/>
                  <w:szCs w:val="16"/>
                  <w:color w:val="0000EE"/>
                  <w:w w:val="85"/>
                </w:rPr>
                <w:t>10.</w:t>
              </w:r>
              <w:r>
                <w:rPr>
                  <w:rFonts w:ascii="Times New Roman" w:cs="Times New Roman" w:eastAsia="Times New Roman" w:hAnsi="Times New Roman"/>
                  <w:sz w:val="16"/>
                  <w:szCs w:val="16"/>
                  <w:u w:val="single" w:color="auto"/>
                  <w:color w:val="0000EE"/>
                  <w:w w:val="85"/>
                </w:rPr>
                <w:t>5</w:t>
              </w:r>
            </w:hyperlink>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6"/>
            <w:shd w:val="clear" w:color="auto" w:fill="CCEEFF"/>
          </w:tcPr>
          <w:p>
            <w:pPr>
              <w:spacing w:after="0"/>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Executive Employment Agreement, effective as of March 1, 2017, by and between The Hershey Company and Michele G. Buck, is incorporated by</w:t>
              </w:r>
            </w:hyperlink>
          </w:p>
        </w:tc>
      </w:tr>
      <w:tr>
        <w:trPr>
          <w:trHeight w:val="20"/>
        </w:trPr>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6"/>
            <w:shd w:val="clear" w:color="auto" w:fill="CCEEFF"/>
          </w:tcPr>
          <w:p>
            <w:pPr>
              <w:spacing w:after="0" w:line="183"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reference to Exhibit 10.1 to the Company’s Current Report on Form 8-K filed February 24, 2017</w:t>
              </w:r>
              <w:r>
                <w:rPr>
                  <w:rFonts w:ascii="Times New Roman" w:cs="Times New Roman" w:eastAsia="Times New Roman" w:hAnsi="Times New Roman"/>
                  <w:sz w:val="16"/>
                  <w:szCs w:val="16"/>
                  <w:color w:val="000000"/>
                </w:rPr>
                <w:t>+</w:t>
              </w:r>
            </w:hyperlink>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5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4"/>
          </w:tcPr>
          <w:p>
            <w:pPr>
              <w:jc w:val="center"/>
              <w:ind w:left="359"/>
              <w:spacing w:after="0"/>
              <w:rPr>
                <w:rFonts w:ascii="Times New Roman" w:cs="Times New Roman" w:eastAsia="Times New Roman" w:hAnsi="Times New Roman"/>
                <w:sz w:val="16"/>
                <w:szCs w:val="16"/>
                <w:color w:val="0000EE"/>
                <w:w w:val="99"/>
              </w:rPr>
            </w:pPr>
            <w:hyperlink r:id="rId31">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6</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6"/>
          </w:tcPr>
          <w:p>
            <w:pPr>
              <w:spacing w:after="0"/>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Retirement Agreement, dated as of February 22, 2017, by and between The Hershey Company and John P. Bilbrey, is incorporated by reference to Exhibit</w:t>
              </w:r>
            </w:hyperlink>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20" w:type="dxa"/>
            <w:vAlign w:val="bottom"/>
            <w:tcBorders>
              <w:top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to the Company’s Current Report on Form 8</w:t>
              </w:r>
              <w:r>
                <w:rPr>
                  <w:rFonts w:ascii="MS PGothic" w:cs="MS PGothic" w:eastAsia="MS PGothic" w:hAnsi="MS PGothic"/>
                  <w:sz w:val="16"/>
                  <w:szCs w:val="16"/>
                  <w:color w:val="0000EE"/>
                </w:rPr>
                <w:t>‑</w:t>
              </w:r>
              <w:r>
                <w:rPr>
                  <w:rFonts w:ascii="Times New Roman" w:cs="Times New Roman" w:eastAsia="Times New Roman" w:hAnsi="Times New Roman"/>
                  <w:sz w:val="16"/>
                  <w:szCs w:val="16"/>
                  <w:color w:val="0000EE"/>
                </w:rPr>
                <w:t>K filed February 24, 2017</w:t>
              </w:r>
              <w:r>
                <w:rPr>
                  <w:rFonts w:ascii="Times New Roman" w:cs="Times New Roman" w:eastAsia="Times New Roman" w:hAnsi="Times New Roman"/>
                  <w:sz w:val="16"/>
                  <w:szCs w:val="16"/>
                  <w:color w:val="000000"/>
                </w:rPr>
                <w:t>+</w:t>
              </w:r>
            </w:hyperlink>
          </w:p>
        </w:tc>
        <w:tc>
          <w:tcPr>
            <w:tcW w:w="100" w:type="dxa"/>
            <w:vAlign w:val="bottom"/>
          </w:tcPr>
          <w:p>
            <w:pPr>
              <w:spacing w:after="0"/>
              <w:rPr>
                <w:sz w:val="15"/>
                <w:szCs w:val="15"/>
                <w:color w:val="auto"/>
              </w:rPr>
            </w:pPr>
          </w:p>
        </w:tc>
      </w:tr>
      <w:tr>
        <w:trPr>
          <w:trHeight w:val="48"/>
        </w:trPr>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20" w:type="dxa"/>
            <w:vAlign w:val="bottom"/>
            <w:tcBorders>
              <w:right w:val="single" w:sz="8" w:color="CCEEFF"/>
            </w:tcBorders>
            <w:gridSpan w:val="4"/>
            <w:shd w:val="clear" w:color="auto" w:fill="CCEEFF"/>
          </w:tcPr>
          <w:p>
            <w:pPr>
              <w:jc w:val="center"/>
              <w:ind w:left="359"/>
              <w:spacing w:after="0"/>
              <w:rPr>
                <w:rFonts w:ascii="Times New Roman" w:cs="Times New Roman" w:eastAsia="Times New Roman" w:hAnsi="Times New Roman"/>
                <w:sz w:val="16"/>
                <w:szCs w:val="16"/>
                <w:color w:val="0000EE"/>
                <w:w w:val="99"/>
              </w:rPr>
            </w:pPr>
            <w:hyperlink w:anchor="page77">
              <w:r>
                <w:rPr>
                  <w:rFonts w:ascii="Times New Roman" w:cs="Times New Roman" w:eastAsia="Times New Roman" w:hAnsi="Times New Roman"/>
                  <w:sz w:val="16"/>
                  <w:szCs w:val="16"/>
                  <w:color w:val="0000EE"/>
                  <w:w w:val="99"/>
                </w:rPr>
                <w:t>12.</w:t>
              </w:r>
              <w:r>
                <w:rPr>
                  <w:rFonts w:ascii="Times New Roman" w:cs="Times New Roman" w:eastAsia="Times New Roman" w:hAnsi="Times New Roman"/>
                  <w:sz w:val="16"/>
                  <w:szCs w:val="16"/>
                  <w:u w:val="single" w:color="auto"/>
                  <w:color w:val="0000EE"/>
                  <w:w w:val="99"/>
                </w:rPr>
                <w:t>1</w:t>
              </w:r>
            </w:hyperlink>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6"/>
            <w:shd w:val="clear" w:color="auto" w:fill="CCEEFF"/>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Computation of Ratio of Earnings to Fixed Charges.</w:t>
              </w:r>
            </w:hyperlink>
            <w:r>
              <w:rPr>
                <w:rFonts w:ascii="Times New Roman" w:cs="Times New Roman" w:eastAsia="Times New Roman" w:hAnsi="Times New Roman"/>
                <w:sz w:val="16"/>
                <w:szCs w:val="16"/>
                <w:color w:val="000000"/>
              </w:rPr>
              <w:t>*</w:t>
            </w:r>
          </w:p>
        </w:tc>
      </w:tr>
      <w:tr>
        <w:trPr>
          <w:trHeight w:val="61"/>
        </w:trPr>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40" w:type="dxa"/>
            <w:vAlign w:val="bottom"/>
            <w:tcBorders>
              <w:top w:val="single" w:sz="8" w:color="0000EE"/>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4"/>
          </w:tcPr>
          <w:p>
            <w:pPr>
              <w:jc w:val="center"/>
              <w:ind w:left="359"/>
              <w:spacing w:after="0"/>
              <w:rPr>
                <w:rFonts w:ascii="Times New Roman" w:cs="Times New Roman" w:eastAsia="Times New Roman" w:hAnsi="Times New Roman"/>
                <w:sz w:val="16"/>
                <w:szCs w:val="16"/>
                <w:color w:val="0000EE"/>
                <w:w w:val="99"/>
              </w:rPr>
            </w:pPr>
            <w:hyperlink w:anchor="page78">
              <w:r>
                <w:rPr>
                  <w:rFonts w:ascii="Times New Roman" w:cs="Times New Roman" w:eastAsia="Times New Roman" w:hAnsi="Times New Roman"/>
                  <w:sz w:val="16"/>
                  <w:szCs w:val="16"/>
                  <w:color w:val="0000EE"/>
                  <w:w w:val="99"/>
                </w:rPr>
                <w:t>31.</w:t>
              </w:r>
              <w:r>
                <w:rPr>
                  <w:rFonts w:ascii="Times New Roman" w:cs="Times New Roman" w:eastAsia="Times New Roman" w:hAnsi="Times New Roman"/>
                  <w:sz w:val="16"/>
                  <w:szCs w:val="16"/>
                  <w:u w:val="single" w:color="auto"/>
                  <w:color w:val="0000EE"/>
                  <w:w w:val="99"/>
                </w:rPr>
                <w:t>1</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6"/>
          </w:tcPr>
          <w:p>
            <w:pPr>
              <w:spacing w:after="0"/>
              <w:rPr>
                <w:rFonts w:ascii="Times New Roman" w:cs="Times New Roman" w:eastAsia="Times New Roman" w:hAnsi="Times New Roman"/>
                <w:sz w:val="16"/>
                <w:szCs w:val="16"/>
                <w:color w:val="0000EE"/>
              </w:rPr>
            </w:pPr>
            <w:hyperlink w:anchor="page78">
              <w:r>
                <w:rPr>
                  <w:rFonts w:ascii="Times New Roman" w:cs="Times New Roman" w:eastAsia="Times New Roman" w:hAnsi="Times New Roman"/>
                  <w:sz w:val="16"/>
                  <w:szCs w:val="16"/>
                  <w:color w:val="0000EE"/>
                </w:rPr>
                <w:t>Certification of Michele G. Buck, Chief Executive Officer, pursuant to Section 302 of the Sarbanes-Oxley Act of 2002.</w:t>
              </w:r>
            </w:hyperlink>
            <w:r>
              <w:rPr>
                <w:rFonts w:ascii="Times New Roman" w:cs="Times New Roman" w:eastAsia="Times New Roman" w:hAnsi="Times New Roman"/>
                <w:sz w:val="16"/>
                <w:szCs w:val="16"/>
                <w:color w:val="000000"/>
              </w:rPr>
              <w:t>*</w:t>
            </w:r>
          </w:p>
        </w:tc>
      </w:tr>
      <w:tr>
        <w:trPr>
          <w:trHeight w:val="61"/>
        </w:trPr>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20" w:type="dxa"/>
            <w:vAlign w:val="bottom"/>
            <w:tcBorders>
              <w:right w:val="single" w:sz="8" w:color="CCEEFF"/>
            </w:tcBorders>
            <w:gridSpan w:val="4"/>
            <w:shd w:val="clear" w:color="auto" w:fill="CCEEFF"/>
          </w:tcPr>
          <w:p>
            <w:pPr>
              <w:jc w:val="center"/>
              <w:ind w:left="359"/>
              <w:spacing w:after="0"/>
              <w:rPr>
                <w:rFonts w:ascii="Times New Roman" w:cs="Times New Roman" w:eastAsia="Times New Roman" w:hAnsi="Times New Roman"/>
                <w:sz w:val="16"/>
                <w:szCs w:val="16"/>
                <w:color w:val="0000EE"/>
                <w:w w:val="99"/>
              </w:rPr>
            </w:pPr>
            <w:hyperlink w:anchor="page79">
              <w:r>
                <w:rPr>
                  <w:rFonts w:ascii="Times New Roman" w:cs="Times New Roman" w:eastAsia="Times New Roman" w:hAnsi="Times New Roman"/>
                  <w:sz w:val="16"/>
                  <w:szCs w:val="16"/>
                  <w:color w:val="0000EE"/>
                  <w:w w:val="99"/>
                </w:rPr>
                <w:t>31.</w:t>
              </w:r>
              <w:r>
                <w:rPr>
                  <w:rFonts w:ascii="Times New Roman" w:cs="Times New Roman" w:eastAsia="Times New Roman" w:hAnsi="Times New Roman"/>
                  <w:sz w:val="16"/>
                  <w:szCs w:val="16"/>
                  <w:u w:val="single" w:color="auto"/>
                  <w:color w:val="0000EE"/>
                  <w:w w:val="99"/>
                </w:rPr>
                <w:t>2</w:t>
              </w:r>
            </w:hyperlink>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6"/>
            <w:shd w:val="clear" w:color="auto" w:fill="CCEEFF"/>
          </w:tcPr>
          <w:p>
            <w:pPr>
              <w:spacing w:after="0"/>
              <w:rPr>
                <w:rFonts w:ascii="Times New Roman" w:cs="Times New Roman" w:eastAsia="Times New Roman" w:hAnsi="Times New Roman"/>
                <w:sz w:val="16"/>
                <w:szCs w:val="16"/>
                <w:color w:val="0000EE"/>
              </w:rPr>
            </w:pPr>
            <w:hyperlink w:anchor="page79">
              <w:r>
                <w:rPr>
                  <w:rFonts w:ascii="Times New Roman" w:cs="Times New Roman" w:eastAsia="Times New Roman" w:hAnsi="Times New Roman"/>
                  <w:sz w:val="16"/>
                  <w:szCs w:val="16"/>
                  <w:color w:val="0000EE"/>
                </w:rPr>
                <w:t>Certification of Patricia A. Little, Chief Financial Officer, pursuant to Section 302 of the Sarbanes-Oxley Act of 2002.</w:t>
              </w:r>
            </w:hyperlink>
            <w:r>
              <w:rPr>
                <w:rFonts w:ascii="Times New Roman" w:cs="Times New Roman" w:eastAsia="Times New Roman" w:hAnsi="Times New Roman"/>
                <w:sz w:val="16"/>
                <w:szCs w:val="16"/>
                <w:color w:val="000000"/>
              </w:rPr>
              <w:t>*</w:t>
            </w:r>
          </w:p>
        </w:tc>
      </w:tr>
      <w:tr>
        <w:trPr>
          <w:trHeight w:val="61"/>
        </w:trPr>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40" w:type="dxa"/>
            <w:vAlign w:val="bottom"/>
            <w:tcBorders>
              <w:top w:val="single" w:sz="8" w:color="0000EE"/>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480" w:type="dxa"/>
            <w:vAlign w:val="bottom"/>
            <w:gridSpan w:val="3"/>
          </w:tcPr>
          <w:p>
            <w:pPr>
              <w:spacing w:after="0"/>
              <w:rPr>
                <w:sz w:val="16"/>
                <w:szCs w:val="16"/>
                <w:color w:val="auto"/>
              </w:rPr>
            </w:pPr>
          </w:p>
        </w:tc>
        <w:tc>
          <w:tcPr>
            <w:tcW w:w="240" w:type="dxa"/>
            <w:vAlign w:val="bottom"/>
          </w:tcPr>
          <w:p>
            <w:pPr>
              <w:jc w:val="center"/>
              <w:spacing w:after="0"/>
              <w:rPr>
                <w:rFonts w:ascii="Times New Roman" w:cs="Times New Roman" w:eastAsia="Times New Roman" w:hAnsi="Times New Roman"/>
                <w:sz w:val="16"/>
                <w:szCs w:val="16"/>
                <w:color w:val="0000EE"/>
                <w:w w:val="85"/>
              </w:rPr>
            </w:pPr>
            <w:hyperlink w:anchor="page80">
              <w:r>
                <w:rPr>
                  <w:rFonts w:ascii="Times New Roman" w:cs="Times New Roman" w:eastAsia="Times New Roman" w:hAnsi="Times New Roman"/>
                  <w:sz w:val="16"/>
                  <w:szCs w:val="16"/>
                  <w:color w:val="0000EE"/>
                  <w:w w:val="85"/>
                </w:rPr>
                <w:t>32.</w:t>
              </w:r>
              <w:r>
                <w:rPr>
                  <w:rFonts w:ascii="Times New Roman" w:cs="Times New Roman" w:eastAsia="Times New Roman" w:hAnsi="Times New Roman"/>
                  <w:sz w:val="16"/>
                  <w:szCs w:val="16"/>
                  <w:u w:val="single" w:color="auto"/>
                  <w:color w:val="0000EE"/>
                  <w:w w:val="85"/>
                </w:rPr>
                <w:t>1</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6"/>
          </w:tcPr>
          <w:p>
            <w:pPr>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Certification of Michele G. Buck, Chief Executive Officer, and Patricia A. Little, Chief Financial Officer, pursuant to Section 906 of the Sarbanes-Oxley</w:t>
              </w:r>
            </w:hyperlink>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100" w:type="dxa"/>
            <w:vAlign w:val="bottom"/>
            <w:gridSpan w:val="1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16"/>
          </w:tcPr>
          <w:p>
            <w:pPr>
              <w:spacing w:after="0" w:line="183" w:lineRule="exact"/>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Act of 2002.</w:t>
              </w:r>
              <w:r>
                <w:rPr>
                  <w:rFonts w:ascii="Times New Roman" w:cs="Times New Roman" w:eastAsia="Times New Roman" w:hAnsi="Times New Roman"/>
                  <w:sz w:val="16"/>
                  <w:szCs w:val="16"/>
                  <w:color w:val="000000"/>
                </w:rPr>
                <w:t>**</w:t>
              </w:r>
            </w:hyperlink>
          </w:p>
        </w:tc>
      </w:tr>
      <w:tr>
        <w:trPr>
          <w:trHeight w:val="48"/>
        </w:trPr>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7"/>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0000EE"/>
              </w:rPr>
              <w:t>101.INS</w:t>
            </w: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0000EE"/>
              </w:rPr>
              <w:t>XBRL Instance Document</w:t>
            </w:r>
          </w:p>
        </w:tc>
      </w:tr>
      <w:tr>
        <w:trPr>
          <w:trHeight w:val="224"/>
        </w:trPr>
        <w:tc>
          <w:tcPr>
            <w:tcW w:w="130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color w:val="0000EE"/>
              </w:rPr>
              <w:t>101.SCH</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XBRL Taxonomy Extension Schema</w:t>
            </w:r>
          </w:p>
        </w:tc>
      </w:tr>
      <w:tr>
        <w:trPr>
          <w:trHeight w:val="47"/>
        </w:trPr>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7"/>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0000EE"/>
                <w:w w:val="99"/>
              </w:rPr>
              <w:t>101.CAL</w:t>
            </w: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0000EE"/>
              </w:rPr>
              <w:t>XBRL Taxonomy Extension Calculation Linkbase</w:t>
            </w:r>
          </w:p>
        </w:tc>
      </w:tr>
      <w:tr>
        <w:trPr>
          <w:trHeight w:val="224"/>
        </w:trPr>
        <w:tc>
          <w:tcPr>
            <w:tcW w:w="130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color w:val="0000EE"/>
                <w:w w:val="99"/>
              </w:rPr>
              <w:t>101.LAB</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XBRL Taxonomy Extension Label Linkbase</w:t>
            </w:r>
          </w:p>
        </w:tc>
      </w:tr>
      <w:tr>
        <w:trPr>
          <w:trHeight w:val="47"/>
        </w:trPr>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7"/>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0000EE"/>
              </w:rPr>
              <w:t>101.PRE</w:t>
            </w: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0000EE"/>
              </w:rPr>
              <w:t>XBRL Taxonomy Extension Presentation Linkbase</w:t>
            </w:r>
          </w:p>
        </w:tc>
      </w:tr>
      <w:tr>
        <w:trPr>
          <w:trHeight w:val="224"/>
        </w:trPr>
        <w:tc>
          <w:tcPr>
            <w:tcW w:w="130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color w:val="0000EE"/>
              </w:rPr>
              <w:t>101.DEF</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XBRL Taxonomy Extension Definition Linkbase</w:t>
            </w:r>
          </w:p>
        </w:tc>
      </w:tr>
    </w:tbl>
    <w:p>
      <w:pPr>
        <w:spacing w:after="0" w:line="384" w:lineRule="exact"/>
        <w:rPr>
          <w:sz w:val="20"/>
          <w:szCs w:val="20"/>
          <w:color w:val="auto"/>
        </w:rPr>
      </w:pPr>
    </w:p>
    <w:p>
      <w:pPr>
        <w:ind w:left="1300" w:hanging="759"/>
        <w:spacing w:after="0"/>
        <w:tabs>
          <w:tab w:leader="none" w:pos="13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86" w:lineRule="exact"/>
        <w:rPr>
          <w:sz w:val="20"/>
          <w:szCs w:val="20"/>
          <w:color w:val="auto"/>
        </w:rPr>
      </w:pPr>
    </w:p>
    <w:p>
      <w:pPr>
        <w:ind w:left="1300" w:hanging="764"/>
        <w:spacing w:after="0"/>
        <w:tabs>
          <w:tab w:leader="none" w:pos="13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20" w:right="239" w:bottom="1440" w:gutter="0" w:footer="0" w:header="0"/>
        </w:sectPr>
      </w:pPr>
    </w:p>
    <w:bookmarkStart w:id="44" w:name="page45"/>
    <w:bookmarkEnd w:id="4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320"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70"/>
        </w:trPr>
        <w:tc>
          <w:tcPr>
            <w:tcW w:w="2140" w:type="dxa"/>
            <w:vAlign w:val="bottom"/>
          </w:tcPr>
          <w:p>
            <w:pPr>
              <w:spacing w:after="0"/>
              <w:rPr>
                <w:sz w:val="23"/>
                <w:szCs w:val="23"/>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59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2017</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Patricia A. Little</w:t>
            </w:r>
          </w:p>
        </w:tc>
      </w:tr>
      <w:tr>
        <w:trPr>
          <w:trHeight w:val="27"/>
        </w:trPr>
        <w:tc>
          <w:tcPr>
            <w:tcW w:w="214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Patricia A. Little</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9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2017</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Javier H. Idrovo</w:t>
            </w:r>
          </w:p>
        </w:tc>
      </w:tr>
      <w:tr>
        <w:trPr>
          <w:trHeight w:val="27"/>
        </w:trPr>
        <w:tc>
          <w:tcPr>
            <w:tcW w:w="214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Javier H. Idrovo</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02"/>
        </w:trPr>
        <w:tc>
          <w:tcPr>
            <w:tcW w:w="2140" w:type="dxa"/>
            <w:vAlign w:val="bottom"/>
          </w:tcPr>
          <w:p>
            <w:pPr>
              <w:spacing w:after="0"/>
              <w:rPr>
                <w:sz w:val="24"/>
                <w:szCs w:val="24"/>
                <w:color w:val="auto"/>
              </w:rPr>
            </w:pPr>
          </w:p>
        </w:tc>
        <w:tc>
          <w:tcPr>
            <w:tcW w:w="57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240"/>
          </w:cols>
          <w:pgMar w:left="240" w:top="576" w:right="4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0" w:firstLine="8"/>
        <w:spacing w:after="0" w:line="289" w:lineRule="auto"/>
        <w:tabs>
          <w:tab w:leader="none" w:pos="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AND LEVEL OF AWARD</w:t>
      </w:r>
      <w:r>
        <w:rPr>
          <w:rFonts w:ascii="Times New Roman" w:cs="Times New Roman" w:eastAsia="Times New Roman" w:hAnsi="Times New Roman"/>
          <w:sz w:val="17"/>
          <w:szCs w:val="17"/>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5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8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80" w:lineRule="exact"/>
        <w:rPr>
          <w:sz w:val="20"/>
          <w:szCs w:val="20"/>
          <w:color w:val="auto"/>
        </w:rPr>
      </w:pPr>
    </w:p>
    <w:p>
      <w:pPr>
        <w:ind w:right="20" w:firstLine="8"/>
        <w:spacing w:after="0" w:line="28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Wherever used herein, the following terms shall have the meanings set forth below. </w:t>
      </w:r>
      <w:r>
        <w:rPr>
          <w:rFonts w:ascii="Times New Roman" w:cs="Times New Roman" w:eastAsia="Times New Roman" w:hAnsi="Times New Roman"/>
          <w:sz w:val="18"/>
          <w:szCs w:val="18"/>
          <w:b w:val="1"/>
          <w:bCs w:val="1"/>
          <w:i w:val="1"/>
          <w:iCs w:val="1"/>
          <w:color w:val="auto"/>
        </w:rPr>
        <w:t>Capitalized terms not otherwise defined in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Award shall have the same meanings as set forth in the EICP.</w:t>
      </w:r>
    </w:p>
    <w:p>
      <w:pPr>
        <w:spacing w:after="0" w:line="158" w:lineRule="exact"/>
        <w:rPr>
          <w:rFonts w:ascii="Times New Roman" w:cs="Times New Roman" w:eastAsia="Times New Roman" w:hAnsi="Times New Roman"/>
          <w:sz w:val="18"/>
          <w:szCs w:val="18"/>
          <w:color w:val="auto"/>
        </w:rPr>
      </w:pPr>
    </w:p>
    <w:p>
      <w:pPr>
        <w:ind w:right="40" w:firstLine="656"/>
        <w:spacing w:after="0" w:line="282" w:lineRule="auto"/>
        <w:tabs>
          <w:tab w:leader="none" w:pos="9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Relationships” means the Company’s relationships with customers, suppliers, agents, licensees, licensors and others that likewise give the Company a competitive advantage.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and Executive Organization Committee of the Board of Directors.</w:t>
      </w:r>
    </w:p>
    <w:p>
      <w:pPr>
        <w:spacing w:after="0" w:line="225" w:lineRule="exact"/>
        <w:rPr>
          <w:rFonts w:ascii="Times New Roman" w:cs="Times New Roman" w:eastAsia="Times New Roman" w:hAnsi="Times New Roman"/>
          <w:sz w:val="18"/>
          <w:szCs w:val="18"/>
          <w:color w:val="auto"/>
        </w:rPr>
      </w:pPr>
    </w:p>
    <w:p>
      <w:pPr>
        <w:ind w:firstLine="656"/>
        <w:spacing w:after="0" w:line="255" w:lineRule="auto"/>
        <w:tabs>
          <w:tab w:leader="none" w:pos="9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46" w:name="page47"/>
    <w:bookmarkEnd w:id="46"/>
    <w:p>
      <w:pPr>
        <w:ind w:right="240"/>
        <w:spacing w:after="0" w:line="282" w:lineRule="auto"/>
        <w:rPr>
          <w:sz w:val="20"/>
          <w:szCs w:val="20"/>
          <w:color w:val="auto"/>
        </w:rPr>
      </w:pPr>
      <w:r>
        <w:rPr>
          <w:rFonts w:ascii="Times New Roman" w:cs="Times New Roman" w:eastAsia="Times New Roman" w:hAnsi="Times New Roman"/>
          <w:sz w:val="18"/>
          <w:szCs w:val="18"/>
          <w:color w:val="auto"/>
        </w:rPr>
        <w:t>termination of Grantee’s employment with Hershey. Grantee acknowledges that he/she will be deemed to have such knowledge if Grantee received, was in possession of or otherwise had access to Confidential Information regarding such business.</w:t>
      </w:r>
    </w:p>
    <w:p>
      <w:pPr>
        <w:spacing w:after="0" w:line="162" w:lineRule="exact"/>
        <w:rPr>
          <w:sz w:val="20"/>
          <w:szCs w:val="20"/>
          <w:color w:val="auto"/>
        </w:rPr>
      </w:pPr>
    </w:p>
    <w:p>
      <w:pPr>
        <w:ind w:firstLine="656"/>
        <w:spacing w:after="0" w:line="258" w:lineRule="auto"/>
        <w:tabs>
          <w:tab w:leader="none" w:pos="9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means The Hershey Company Deferred Compensation Plan and any successor or replacement plan thereof.</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9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76" w:lineRule="exact"/>
        <w:rPr>
          <w:rFonts w:ascii="Times New Roman" w:cs="Times New Roman" w:eastAsia="Times New Roman" w:hAnsi="Times New Roman"/>
          <w:sz w:val="18"/>
          <w:szCs w:val="18"/>
          <w:color w:val="auto"/>
        </w:rPr>
      </w:pPr>
    </w:p>
    <w:p>
      <w:pPr>
        <w:ind w:right="260" w:firstLine="656"/>
        <w:spacing w:after="0" w:line="266" w:lineRule="auto"/>
        <w:tabs>
          <w:tab w:leader="none" w:pos="9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7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“EICP” means The Hershey Company Equity and Incentive Compensation Plan, as in effect from time to time and any successor or replacement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thereof.</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Contact” means contact for the purpose of furthering the Company’s business.</w:t>
      </w:r>
    </w:p>
    <w:p>
      <w:pPr>
        <w:spacing w:after="0" w:line="225" w:lineRule="exact"/>
        <w:rPr>
          <w:rFonts w:ascii="Times New Roman" w:cs="Times New Roman" w:eastAsia="Times New Roman" w:hAnsi="Times New Roman"/>
          <w:sz w:val="18"/>
          <w:szCs w:val="18"/>
          <w:color w:val="auto"/>
        </w:rPr>
      </w:pPr>
    </w:p>
    <w:p>
      <w:pPr>
        <w:ind w:right="20" w:firstLine="656"/>
        <w:spacing w:after="0" w:line="261" w:lineRule="auto"/>
        <w:tabs>
          <w:tab w:leader="none" w:pos="88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80" w:lineRule="exact"/>
        <w:rPr>
          <w:rFonts w:ascii="Times New Roman" w:cs="Times New Roman" w:eastAsia="Times New Roman" w:hAnsi="Times New Roman"/>
          <w:sz w:val="18"/>
          <w:szCs w:val="18"/>
          <w:color w:val="auto"/>
        </w:rPr>
      </w:pPr>
    </w:p>
    <w:p>
      <w:pPr>
        <w:ind w:right="100" w:firstLine="656"/>
        <w:spacing w:after="0" w:line="282" w:lineRule="auto"/>
        <w:tabs>
          <w:tab w:leader="none" w:pos="9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is “Retirement Eligible” on and after the date the Grantee has attained both his or her 55th birthday and been continuously employed by the Company for at least five (5) years.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or “Separate from Service” means a “separation from service” within the meaning of Code section 409A.</w:t>
      </w:r>
    </w:p>
    <w:p>
      <w:pPr>
        <w:spacing w:after="0" w:line="225" w:lineRule="exact"/>
        <w:rPr>
          <w:rFonts w:ascii="Times New Roman" w:cs="Times New Roman" w:eastAsia="Times New Roman" w:hAnsi="Times New Roman"/>
          <w:sz w:val="18"/>
          <w:szCs w:val="18"/>
          <w:color w:val="auto"/>
        </w:rPr>
      </w:pPr>
    </w:p>
    <w:p>
      <w:pPr>
        <w:ind w:right="40" w:firstLine="8"/>
        <w:spacing w:after="0" w:line="255"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DATES</w:t>
      </w:r>
      <w:r>
        <w:rPr>
          <w:rFonts w:ascii="Times New Roman" w:cs="Times New Roman" w:eastAsia="Times New Roman" w:hAnsi="Times New Roman"/>
          <w:sz w:val="18"/>
          <w:szCs w:val="18"/>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twenty-five percent (25%) of the Total Award will become vested thirteen months after the Grant Date; an additional twenty-five percent (25%) of the Total Award will become vested on the second anniversary of the Grant Date; an additional twenty-five percent (25%) of the Total Award will become vested on the third anniversary of the Grant Date; and an additional and final twenty-five percent (25%) of the Total Award will become vested on the fourth anniversary of the Grant Date, except in Canada where thirty-three and one-third percent (33 1/3%) of the Total Award will become vested thirteen months after the Grant Date; an additional thirty-three and one-third percent (33</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796" w:right="259" w:bottom="1440" w:gutter="0" w:footer="0" w:header="0"/>
        </w:sectPr>
      </w:pPr>
    </w:p>
    <w:bookmarkStart w:id="47" w:name="page48"/>
    <w:bookmarkEnd w:id="47"/>
    <w:p>
      <w:pPr>
        <w:ind w:right="160"/>
        <w:spacing w:after="0" w:line="282" w:lineRule="auto"/>
        <w:rPr>
          <w:sz w:val="20"/>
          <w:szCs w:val="20"/>
          <w:color w:val="auto"/>
        </w:rPr>
      </w:pPr>
      <w:r>
        <w:rPr>
          <w:rFonts w:ascii="Times New Roman" w:cs="Times New Roman" w:eastAsia="Times New Roman" w:hAnsi="Times New Roman"/>
          <w:sz w:val="18"/>
          <w:szCs w:val="18"/>
          <w:color w:val="auto"/>
        </w:rPr>
        <w:t>1/3%) of the Total Award will become vested on the second anniversary of the Grant Date; and an additional and final thirty-three and one-third percent (33 1/3%) of the Total Award will become vested on the third anniversary of the Grant Date.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189"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VESTING CONDITIONS</w:t>
      </w:r>
      <w:r>
        <w:rPr>
          <w:rFonts w:ascii="Times New Roman" w:cs="Times New Roman" w:eastAsia="Times New Roman" w:hAnsi="Times New Roman"/>
          <w:sz w:val="18"/>
          <w:szCs w:val="18"/>
          <w:color w:val="auto"/>
        </w:rPr>
        <w:t>. The Committee has determined that the following special vesting conditions shall apply to this award.</w:t>
      </w:r>
    </w:p>
    <w:p>
      <w:pPr>
        <w:spacing w:after="0" w:line="225" w:lineRule="exact"/>
        <w:rPr>
          <w:rFonts w:ascii="Times New Roman" w:cs="Times New Roman" w:eastAsia="Times New Roman" w:hAnsi="Times New Roman"/>
          <w:sz w:val="18"/>
          <w:szCs w:val="18"/>
          <w:color w:val="auto"/>
        </w:rPr>
      </w:pPr>
    </w:p>
    <w:p>
      <w:pPr>
        <w:ind w:left="660" w:right="340" w:hanging="4"/>
        <w:spacing w:after="0" w:line="282" w:lineRule="auto"/>
        <w:tabs>
          <w:tab w:leader="none" w:pos="9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61" w:lineRule="exact"/>
        <w:rPr>
          <w:rFonts w:ascii="Times New Roman" w:cs="Times New Roman" w:eastAsia="Times New Roman" w:hAnsi="Times New Roman"/>
          <w:sz w:val="18"/>
          <w:szCs w:val="18"/>
          <w:color w:val="auto"/>
        </w:rPr>
      </w:pPr>
    </w:p>
    <w:p>
      <w:pPr>
        <w:ind w:left="660" w:right="200" w:hanging="4"/>
        <w:spacing w:after="0" w:line="276" w:lineRule="auto"/>
        <w:tabs>
          <w:tab w:leader="none" w:pos="94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w:t>
      </w:r>
    </w:p>
    <w:p>
      <w:pPr>
        <w:ind w:left="940" w:hanging="284"/>
        <w:spacing w:after="0"/>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hanging="4"/>
        <w:spacing w:after="0" w:line="255" w:lineRule="auto"/>
        <w:tabs>
          <w:tab w:leader="none" w:pos="9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797" w:right="25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not vest pursuant to paragraph 4(B) but instead shall terminate and be completely forfeited on such date.</w:t>
      </w:r>
    </w:p>
    <w:p>
      <w:pPr>
        <w:spacing w:after="0" w:line="225" w:lineRule="exact"/>
        <w:rPr>
          <w:sz w:val="20"/>
          <w:szCs w:val="20"/>
          <w:color w:val="auto"/>
        </w:rPr>
      </w:pPr>
    </w:p>
    <w:p>
      <w:pPr>
        <w:ind w:firstLine="8"/>
        <w:spacing w:after="0" w:line="272" w:lineRule="auto"/>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AWARD</w:t>
      </w:r>
      <w:r>
        <w:rPr>
          <w:rFonts w:ascii="Times New Roman" w:cs="Times New Roman" w:eastAsia="Times New Roman" w:hAnsi="Times New Roman"/>
          <w:sz w:val="17"/>
          <w:szCs w:val="17"/>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w:t>
      </w:r>
    </w:p>
    <w:p>
      <w:pPr>
        <w:spacing w:after="0" w:line="1" w:lineRule="exact"/>
        <w:rPr>
          <w:rFonts w:ascii="Times New Roman" w:cs="Times New Roman" w:eastAsia="Times New Roman" w:hAnsi="Times New Roman"/>
          <w:sz w:val="17"/>
          <w:szCs w:val="17"/>
          <w:color w:val="auto"/>
        </w:rPr>
      </w:pPr>
    </w:p>
    <w:p>
      <w:pPr>
        <w:ind w:right="40"/>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20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80" w:lineRule="exact"/>
        <w:rPr>
          <w:sz w:val="20"/>
          <w:szCs w:val="20"/>
          <w:color w:val="auto"/>
        </w:rPr>
      </w:pPr>
    </w:p>
    <w:p>
      <w:pPr>
        <w:ind w:right="20" w:firstLine="8"/>
        <w:spacing w:after="0" w:line="25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96" w:lineRule="exact"/>
        <w:rPr>
          <w:rFonts w:ascii="Times New Roman" w:cs="Times New Roman" w:eastAsia="Times New Roman" w:hAnsi="Times New Roman"/>
          <w:sz w:val="18"/>
          <w:szCs w:val="18"/>
          <w:color w:val="auto"/>
        </w:rPr>
      </w:pPr>
    </w:p>
    <w:p>
      <w:pPr>
        <w:ind w:right="180" w:firstLine="8"/>
        <w:spacing w:after="0" w:line="261"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796" w:right="259" w:bottom="1440" w:gutter="0" w:footer="0" w:header="0"/>
        </w:sectPr>
      </w:pPr>
    </w:p>
    <w:bookmarkStart w:id="49" w:name="page50"/>
    <w:bookmarkEnd w:id="49"/>
    <w:p>
      <w:pPr>
        <w:ind w:right="520"/>
        <w:spacing w:after="0" w:line="266" w:lineRule="auto"/>
        <w:rPr>
          <w:sz w:val="20"/>
          <w:szCs w:val="20"/>
          <w:color w:val="auto"/>
        </w:rPr>
      </w:pPr>
      <w:r>
        <w:rPr>
          <w:rFonts w:ascii="Times New Roman" w:cs="Times New Roman" w:eastAsia="Times New Roman" w:hAnsi="Times New Roman"/>
          <w:sz w:val="18"/>
          <w:szCs w:val="18"/>
          <w:color w:val="auto"/>
        </w:rPr>
        <w:t>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76" w:lineRule="exact"/>
        <w:rPr>
          <w:sz w:val="20"/>
          <w:szCs w:val="20"/>
          <w:color w:val="auto"/>
        </w:rPr>
      </w:pPr>
    </w:p>
    <w:p>
      <w:pPr>
        <w:ind w:left="660" w:right="20" w:hanging="4"/>
        <w:spacing w:after="0" w:line="266" w:lineRule="auto"/>
        <w:tabs>
          <w:tab w:leader="none" w:pos="9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76" w:lineRule="exact"/>
        <w:rPr>
          <w:rFonts w:ascii="Times New Roman" w:cs="Times New Roman" w:eastAsia="Times New Roman" w:hAnsi="Times New Roman"/>
          <w:sz w:val="18"/>
          <w:szCs w:val="18"/>
          <w:color w:val="auto"/>
        </w:rPr>
      </w:pPr>
    </w:p>
    <w:p>
      <w:pPr>
        <w:ind w:left="660" w:right="80" w:hanging="4"/>
        <w:spacing w:after="0" w:line="258" w:lineRule="auto"/>
        <w:tabs>
          <w:tab w:leader="none" w:pos="9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83" w:lineRule="exact"/>
        <w:rPr>
          <w:rFonts w:ascii="Times New Roman" w:cs="Times New Roman" w:eastAsia="Times New Roman" w:hAnsi="Times New Roman"/>
          <w:sz w:val="18"/>
          <w:szCs w:val="18"/>
          <w:color w:val="auto"/>
        </w:rPr>
      </w:pPr>
    </w:p>
    <w:p>
      <w:pPr>
        <w:ind w:firstLine="8"/>
        <w:spacing w:after="0" w:line="253"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Hershey for reporting a suspected violation of law, Grantee may disclose Hershey’s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88"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right="480" w:hanging="4"/>
        <w:spacing w:after="0" w:line="313" w:lineRule="auto"/>
        <w:tabs>
          <w:tab w:leader="none" w:pos="95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96" w:right="239" w:bottom="1440" w:gutter="0" w:footer="0" w:header="0"/>
        </w:sectPr>
      </w:pPr>
    </w:p>
    <w:bookmarkStart w:id="50" w:name="page51"/>
    <w:bookmarkEnd w:id="50"/>
    <w:p>
      <w:pPr>
        <w:ind w:left="652" w:right="160" w:hanging="4"/>
        <w:spacing w:after="0" w:line="266" w:lineRule="auto"/>
        <w:tabs>
          <w:tab w:leader="none" w:pos="93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176"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60" w:hanging="4"/>
        <w:spacing w:after="0" w:line="266" w:lineRule="auto"/>
        <w:tabs>
          <w:tab w:leader="none" w:pos="9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applicable withholding tax due as a result of such payment.</w:t>
      </w:r>
    </w:p>
    <w:p>
      <w:pPr>
        <w:spacing w:after="0" w:line="176" w:lineRule="exact"/>
        <w:rPr>
          <w:rFonts w:ascii="Times New Roman" w:cs="Times New Roman" w:eastAsia="Times New Roman" w:hAnsi="Times New Roman"/>
          <w:sz w:val="18"/>
          <w:szCs w:val="18"/>
          <w:color w:val="auto"/>
        </w:rPr>
      </w:pPr>
    </w:p>
    <w:p>
      <w:pPr>
        <w:ind w:left="652" w:right="100" w:hanging="4"/>
        <w:spacing w:after="0" w:line="282" w:lineRule="auto"/>
        <w:tabs>
          <w:tab w:leader="none" w:pos="9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reduce the number of shares of Common Stock issued to the Grantee to satisfy the minimum applicable tax withholding requirements.</w:t>
      </w:r>
    </w:p>
    <w:p>
      <w:pPr>
        <w:spacing w:after="0" w:line="161" w:lineRule="exact"/>
        <w:rPr>
          <w:rFonts w:ascii="Times New Roman" w:cs="Times New Roman" w:eastAsia="Times New Roman" w:hAnsi="Times New Roman"/>
          <w:sz w:val="18"/>
          <w:szCs w:val="18"/>
          <w:color w:val="auto"/>
        </w:rPr>
      </w:pPr>
    </w:p>
    <w:p>
      <w:pPr>
        <w:ind w:left="-8" w:right="580"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LAWS</w:t>
      </w:r>
      <w:r>
        <w:rPr>
          <w:rFonts w:ascii="Times New Roman" w:cs="Times New Roman" w:eastAsia="Times New Roman" w:hAnsi="Times New Roman"/>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hanging="4"/>
        <w:spacing w:after="0" w:line="252" w:lineRule="auto"/>
        <w:tabs>
          <w:tab w:leader="none" w:pos="9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3" w:lineRule="exact"/>
        <w:rPr>
          <w:rFonts w:ascii="Times New Roman" w:cs="Times New Roman" w:eastAsia="Times New Roman" w:hAnsi="Times New Roman"/>
          <w:sz w:val="18"/>
          <w:szCs w:val="18"/>
          <w:color w:val="auto"/>
        </w:rPr>
      </w:pPr>
    </w:p>
    <w:p>
      <w:pPr>
        <w:jc w:val="both"/>
        <w:ind w:left="652" w:right="180" w:hanging="4"/>
        <w:spacing w:after="0" w:line="266" w:lineRule="auto"/>
        <w:tabs>
          <w:tab w:leader="none" w:pos="9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in addition to the relief described in paragraph 12(A), if the Committee determines, in its sole judgment, that Grantee has violated or threatened to violate the terms of this Notice of Award or the EICP, then Hershey may cancel any part of the grant that has not vested. In addition, upon the request or direction of the Committee, Grantee</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12"/>
          </w:cols>
          <w:pgMar w:left="248" w:top="1013" w:right="239" w:bottom="1440" w:gutter="0" w:footer="0" w:header="0"/>
        </w:sectPr>
      </w:pPr>
    </w:p>
    <w:bookmarkStart w:id="51" w:name="page52"/>
    <w:bookmarkEnd w:id="51"/>
    <w:p>
      <w:pPr>
        <w:ind w:left="660" w:right="160"/>
        <w:spacing w:after="0" w:line="282" w:lineRule="auto"/>
        <w:rPr>
          <w:sz w:val="20"/>
          <w:szCs w:val="20"/>
          <w:color w:val="auto"/>
        </w:rPr>
      </w:pPr>
      <w:r>
        <w:rPr>
          <w:rFonts w:ascii="Times New Roman" w:cs="Times New Roman" w:eastAsia="Times New Roman" w:hAnsi="Times New Roman"/>
          <w:sz w:val="18"/>
          <w:szCs w:val="18"/>
          <w:color w:val="auto"/>
        </w:rPr>
        <w:t>shall also immediately deliver to Hershey, the cash equivalent of any RSUs that have vested under this Notice of Award, inclusive of any dividends paid on any vested shares.</w:t>
      </w:r>
    </w:p>
    <w:p>
      <w:pPr>
        <w:spacing w:after="0" w:line="162" w:lineRule="exact"/>
        <w:rPr>
          <w:sz w:val="20"/>
          <w:szCs w:val="20"/>
          <w:color w:val="auto"/>
        </w:rPr>
      </w:pPr>
    </w:p>
    <w:p>
      <w:pPr>
        <w:ind w:left="660" w:right="200" w:hanging="4"/>
        <w:spacing w:after="0" w:line="266" w:lineRule="auto"/>
        <w:tabs>
          <w:tab w:leader="none" w:pos="9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76" w:lineRule="exact"/>
        <w:rPr>
          <w:rFonts w:ascii="Times New Roman" w:cs="Times New Roman" w:eastAsia="Times New Roman" w:hAnsi="Times New Roman"/>
          <w:sz w:val="18"/>
          <w:szCs w:val="18"/>
          <w:color w:val="auto"/>
        </w:rPr>
      </w:pPr>
    </w:p>
    <w:p>
      <w:pPr>
        <w:ind w:left="660" w:hanging="4"/>
        <w:spacing w:after="0" w:line="261" w:lineRule="auto"/>
        <w:tabs>
          <w:tab w:leader="none" w:pos="9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0" w:lineRule="exact"/>
        <w:rPr>
          <w:rFonts w:ascii="Times New Roman" w:cs="Times New Roman" w:eastAsia="Times New Roman" w:hAnsi="Times New Roman"/>
          <w:sz w:val="18"/>
          <w:szCs w:val="18"/>
          <w:color w:val="auto"/>
        </w:rPr>
      </w:pPr>
    </w:p>
    <w:p>
      <w:pPr>
        <w:ind w:left="660" w:right="240" w:hanging="4"/>
        <w:spacing w:after="0" w:line="281" w:lineRule="auto"/>
        <w:tabs>
          <w:tab w:leader="none" w:pos="93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64" w:lineRule="exact"/>
        <w:rPr>
          <w:rFonts w:ascii="Times New Roman" w:cs="Times New Roman" w:eastAsia="Times New Roman" w:hAnsi="Times New Roman"/>
          <w:sz w:val="17"/>
          <w:szCs w:val="17"/>
          <w:color w:val="auto"/>
        </w:rPr>
      </w:pPr>
    </w:p>
    <w:p>
      <w:pPr>
        <w:ind w:left="660" w:right="500" w:hanging="4"/>
        <w:spacing w:after="0" w:line="282" w:lineRule="auto"/>
        <w:tabs>
          <w:tab w:leader="none" w:pos="9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61" w:lineRule="exact"/>
        <w:rPr>
          <w:rFonts w:ascii="Times New Roman" w:cs="Times New Roman" w:eastAsia="Times New Roman" w:hAnsi="Times New Roman"/>
          <w:sz w:val="18"/>
          <w:szCs w:val="18"/>
          <w:color w:val="auto"/>
        </w:rPr>
      </w:pPr>
    </w:p>
    <w:p>
      <w:pPr>
        <w:ind w:left="660" w:right="100" w:hanging="4"/>
        <w:spacing w:after="0" w:line="255" w:lineRule="auto"/>
        <w:tabs>
          <w:tab w:leader="none" w:pos="9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89" w:lineRule="exact"/>
        <w:rPr>
          <w:rFonts w:ascii="Times New Roman" w:cs="Times New Roman" w:eastAsia="Times New Roman" w:hAnsi="Times New Roman"/>
          <w:sz w:val="18"/>
          <w:szCs w:val="18"/>
          <w:color w:val="auto"/>
        </w:rPr>
      </w:pPr>
    </w:p>
    <w:p>
      <w:pPr>
        <w:ind w:left="660" w:right="120" w:hanging="4"/>
        <w:spacing w:after="0" w:line="256" w:lineRule="auto"/>
        <w:tabs>
          <w:tab w:leader="none" w:pos="9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87" w:lineRule="exact"/>
        <w:rPr>
          <w:rFonts w:ascii="Times New Roman" w:cs="Times New Roman" w:eastAsia="Times New Roman" w:hAnsi="Times New Roman"/>
          <w:sz w:val="18"/>
          <w:szCs w:val="18"/>
          <w:color w:val="auto"/>
        </w:rPr>
      </w:pPr>
    </w:p>
    <w:p>
      <w:pPr>
        <w:ind w:right="240" w:firstLine="8"/>
        <w:spacing w:after="0" w:line="261"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 Copies of the EICP and the Information Statement (Prospectus) for the EICP are available upon request, from the myHR Support Center by calling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10.2(a)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1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2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1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100 Crystal A Drive</w:t>
            </w:r>
          </w:p>
        </w:tc>
        <w:tc>
          <w:tcPr>
            <w:tcW w:w="326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5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Hershey, Pennsylvania 17033</w:t>
            </w:r>
          </w:p>
        </w:tc>
        <w:tc>
          <w:tcPr>
            <w:tcW w:w="3260" w:type="dxa"/>
            <w:vAlign w:val="bottom"/>
          </w:tcPr>
          <w:p>
            <w:pPr>
              <w:spacing w:after="0"/>
              <w:rPr>
                <w:sz w:val="20"/>
                <w:szCs w:val="20"/>
                <w:color w:val="auto"/>
              </w:rPr>
            </w:pPr>
          </w:p>
        </w:tc>
      </w:tr>
      <w:tr>
        <w:trPr>
          <w:trHeight w:val="385"/>
        </w:trPr>
        <w:tc>
          <w:tcPr>
            <w:tcW w:w="30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473"/>
        </w:trPr>
        <w:tc>
          <w:tcPr>
            <w:tcW w:w="3040" w:type="dxa"/>
            <w:vAlign w:val="bottom"/>
          </w:tcPr>
          <w:p>
            <w:pPr>
              <w:spacing w:after="0"/>
              <w:rPr>
                <w:sz w:val="24"/>
                <w:szCs w:val="24"/>
                <w:color w:val="auto"/>
              </w:rPr>
            </w:pPr>
          </w:p>
        </w:tc>
        <w:tc>
          <w:tcPr>
            <w:tcW w:w="5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Notice of Special Award of Restricted Stock Units</w:t>
            </w:r>
          </w:p>
        </w:tc>
        <w:tc>
          <w:tcPr>
            <w:tcW w:w="3260" w:type="dxa"/>
            <w:vAlign w:val="bottom"/>
          </w:tcPr>
          <w:p>
            <w:pPr>
              <w:spacing w:after="0"/>
              <w:rPr>
                <w:sz w:val="24"/>
                <w:szCs w:val="24"/>
                <w:color w:val="auto"/>
              </w:rPr>
            </w:pPr>
          </w:p>
        </w:tc>
      </w:tr>
      <w:tr>
        <w:trPr>
          <w:trHeight w:val="264"/>
        </w:trPr>
        <w:tc>
          <w:tcPr>
            <w:tcW w:w="304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473"/>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«First_name» «Last_name»</w:t>
            </w:r>
          </w:p>
        </w:tc>
        <w:tc>
          <w:tcPr>
            <w:tcW w:w="51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3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EICP</w:t>
            </w:r>
          </w:p>
        </w:tc>
      </w:tr>
      <w:tr>
        <w:trPr>
          <w:trHeight w:val="270"/>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«Street_and_House_Number»</w:t>
            </w:r>
          </w:p>
        </w:tc>
        <w:tc>
          <w:tcPr>
            <w:tcW w:w="51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ID:</w:t>
            </w:r>
          </w:p>
        </w:tc>
        <w:tc>
          <w:tcPr>
            <w:tcW w:w="3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FF0000"/>
              </w:rPr>
              <w:t>«PersNo»</w:t>
            </w:r>
          </w:p>
        </w:tc>
      </w:tr>
    </w:tbl>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«City», «Region_State_Province_Count» «Postal_Code»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«Country_Key»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80" w:firstLine="8"/>
        <w:spacing w:after="0" w:line="261"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LEVEL OF AWARD</w:t>
      </w:r>
      <w:r>
        <w:rPr>
          <w:rFonts w:ascii="Times New Roman" w:cs="Times New Roman" w:eastAsia="Times New Roman" w:hAnsi="Times New Roman"/>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80" w:lineRule="exact"/>
        <w:rPr>
          <w:sz w:val="20"/>
          <w:szCs w:val="20"/>
          <w:color w:val="auto"/>
        </w:rPr>
      </w:pPr>
    </w:p>
    <w:p>
      <w:pPr>
        <w:ind w:right="20" w:firstLine="8"/>
        <w:spacing w:after="0" w:line="286"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Wherever used herein, the following terms shall have the meanings set forth below. </w:t>
      </w:r>
      <w:r>
        <w:rPr>
          <w:rFonts w:ascii="Times New Roman" w:cs="Times New Roman" w:eastAsia="Times New Roman" w:hAnsi="Times New Roman"/>
          <w:sz w:val="18"/>
          <w:szCs w:val="18"/>
          <w:b w:val="1"/>
          <w:bCs w:val="1"/>
          <w:i w:val="1"/>
          <w:iCs w:val="1"/>
          <w:color w:val="auto"/>
        </w:rPr>
        <w:t>Capitalized terms not otherwise defined in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Special Award shall have the same meanings as set forth in the EICP</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40" w:firstLine="656"/>
        <w:spacing w:after="0" w:line="282" w:lineRule="auto"/>
        <w:tabs>
          <w:tab w:leader="none" w:pos="9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Relationships” means the Company’s relationships with customers, suppliers, agents, licensees, licensors and others that likewise give the Company a competitive advantage.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and Executive Organization Committee of the Board of Directors.</w:t>
      </w:r>
    </w:p>
    <w:p>
      <w:pPr>
        <w:spacing w:after="0" w:line="225" w:lineRule="exact"/>
        <w:rPr>
          <w:rFonts w:ascii="Times New Roman" w:cs="Times New Roman" w:eastAsia="Times New Roman" w:hAnsi="Times New Roman"/>
          <w:sz w:val="18"/>
          <w:szCs w:val="18"/>
          <w:color w:val="auto"/>
        </w:rPr>
      </w:pPr>
    </w:p>
    <w:p>
      <w:pPr>
        <w:ind w:right="460" w:firstLine="656"/>
        <w:spacing w:after="0" w:line="266" w:lineRule="auto"/>
        <w:tabs>
          <w:tab w:leader="none" w:pos="9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3" w:name="page54"/>
    <w:bookmarkEnd w:id="53"/>
    <w:p>
      <w:pPr>
        <w:ind w:right="80"/>
        <w:spacing w:after="0" w:line="256" w:lineRule="auto"/>
        <w:rPr>
          <w:sz w:val="20"/>
          <w:szCs w:val="20"/>
          <w:color w:val="auto"/>
        </w:rPr>
      </w:pPr>
      <w:r>
        <w:rPr>
          <w:rFonts w:ascii="Times New Roman" w:cs="Times New Roman" w:eastAsia="Times New Roman" w:hAnsi="Times New Roman"/>
          <w:sz w:val="18"/>
          <w:szCs w:val="18"/>
          <w:color w:val="auto"/>
        </w:rPr>
        <w:t>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8" w:lineRule="exact"/>
        <w:rPr>
          <w:sz w:val="20"/>
          <w:szCs w:val="20"/>
          <w:color w:val="auto"/>
        </w:rPr>
      </w:pPr>
    </w:p>
    <w:p>
      <w:pPr>
        <w:ind w:right="20" w:firstLine="656"/>
        <w:spacing w:after="0" w:line="258" w:lineRule="auto"/>
        <w:tabs>
          <w:tab w:leader="none" w:pos="94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means The Hershey Company Deferred Compensation Plan and any successor or replacement plan thereof.</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“EICP” means The Hershey Company Equity and Incentive Compensation Plan, as in effect from time to time and any successor or replacement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thereof.</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Contact” means contact for the purpose of furthering the Company’s business.</w:t>
      </w:r>
    </w:p>
    <w:p>
      <w:pPr>
        <w:spacing w:after="0" w:line="225" w:lineRule="exact"/>
        <w:rPr>
          <w:rFonts w:ascii="Times New Roman" w:cs="Times New Roman" w:eastAsia="Times New Roman" w:hAnsi="Times New Roman"/>
          <w:sz w:val="18"/>
          <w:szCs w:val="18"/>
          <w:color w:val="auto"/>
        </w:rPr>
      </w:pPr>
    </w:p>
    <w:p>
      <w:pPr>
        <w:ind w:right="100"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DATES</w:t>
      </w:r>
      <w:r>
        <w:rPr>
          <w:rFonts w:ascii="Times New Roman" w:cs="Times New Roman" w:eastAsia="Times New Roman" w:hAnsi="Times New Roman"/>
          <w:sz w:val="18"/>
          <w:szCs w:val="18"/>
          <w:color w:val="auto"/>
        </w:rPr>
        <w:t>. The Grantee shall vest in the number of RSUs corresponding with each date shown below (each a “Vesting Date”); provided that the Grantee has remained in continuous employment with the Company from the Grant Date through such Vesting Date and has accepted and agreed to all terms and conditions in this agreement.</w:t>
      </w:r>
    </w:p>
    <w:p>
      <w:pPr>
        <w:spacing w:after="0" w:line="338" w:lineRule="exact"/>
        <w:rPr>
          <w:sz w:val="20"/>
          <w:szCs w:val="20"/>
          <w:color w:val="auto"/>
        </w:rPr>
      </w:pPr>
    </w:p>
    <w:p>
      <w:pPr>
        <w:ind w:left="3780"/>
        <w:spacing w:after="0"/>
        <w:tabs>
          <w:tab w:leader="none" w:pos="6840" w:val="left"/>
        </w:tabs>
        <w:rPr>
          <w:sz w:val="20"/>
          <w:szCs w:val="20"/>
          <w:color w:val="auto"/>
        </w:rPr>
      </w:pPr>
      <w:r>
        <w:rPr>
          <w:rFonts w:ascii="Times New Roman" w:cs="Times New Roman" w:eastAsia="Times New Roman" w:hAnsi="Times New Roman"/>
          <w:sz w:val="18"/>
          <w:szCs w:val="18"/>
          <w:color w:val="auto"/>
        </w:rPr>
        <w:t>RSUs</w:t>
      </w:r>
      <w:r>
        <w:rPr>
          <w:sz w:val="20"/>
          <w:szCs w:val="20"/>
          <w:color w:val="auto"/>
        </w:rPr>
        <w:tab/>
      </w:r>
      <w:r>
        <w:rPr>
          <w:rFonts w:ascii="Times New Roman" w:cs="Times New Roman" w:eastAsia="Times New Roman" w:hAnsi="Times New Roman"/>
          <w:sz w:val="18"/>
          <w:szCs w:val="18"/>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850640" cy="17145"/>
                    </a:xfrm>
                    <a:prstGeom prst="rect">
                      <a:avLst/>
                    </a:prstGeom>
                    <a:noFill/>
                  </pic:spPr>
                </pic:pic>
              </a:graphicData>
            </a:graphic>
          </wp:anchor>
        </w:drawing>
      </w:r>
    </w:p>
    <w:p>
      <w:pPr>
        <w:spacing w:after="0" w:line="66" w:lineRule="exact"/>
        <w:rPr>
          <w:sz w:val="20"/>
          <w:szCs w:val="20"/>
          <w:color w:val="auto"/>
        </w:rPr>
      </w:pPr>
    </w:p>
    <w:p>
      <w:pPr>
        <w:ind w:left="29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«Number_of_RSUs_Vested»</w:t>
      </w:r>
      <w:r>
        <w:rPr>
          <w:sz w:val="20"/>
          <w:szCs w:val="20"/>
          <w:color w:val="auto"/>
        </w:rPr>
        <w:tab/>
      </w:r>
      <w:r>
        <w:rPr>
          <w:rFonts w:ascii="Times New Roman" w:cs="Times New Roman" w:eastAsia="Times New Roman" w:hAnsi="Times New Roman"/>
          <w:sz w:val="17"/>
          <w:szCs w:val="17"/>
          <w:b w:val="1"/>
          <w:bCs w:val="1"/>
          <w:color w:val="auto"/>
        </w:rPr>
        <w:t>«Vesting_Date»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36830</wp:posOffset>
            </wp:positionV>
            <wp:extent cx="385064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«Number_of_RSUs_Vested1»</w:t>
      </w:r>
      <w:r>
        <w:rPr>
          <w:sz w:val="20"/>
          <w:szCs w:val="20"/>
          <w:color w:val="auto"/>
        </w:rPr>
        <w:tab/>
      </w:r>
      <w:r>
        <w:rPr>
          <w:rFonts w:ascii="Times New Roman" w:cs="Times New Roman" w:eastAsia="Times New Roman" w:hAnsi="Times New Roman"/>
          <w:sz w:val="17"/>
          <w:szCs w:val="17"/>
          <w:b w:val="1"/>
          <w:bCs w:val="1"/>
          <w:color w:val="auto"/>
        </w:rPr>
        <w:t>«Vesting_Date1»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36830</wp:posOffset>
            </wp:positionV>
            <wp:extent cx="385064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«Number_of_RSUs_Vested2»</w:t>
      </w:r>
      <w:r>
        <w:rPr>
          <w:sz w:val="20"/>
          <w:szCs w:val="20"/>
          <w:color w:val="auto"/>
        </w:rPr>
        <w:tab/>
      </w:r>
      <w:r>
        <w:rPr>
          <w:rFonts w:ascii="Times New Roman" w:cs="Times New Roman" w:eastAsia="Times New Roman" w:hAnsi="Times New Roman"/>
          <w:sz w:val="17"/>
          <w:szCs w:val="17"/>
          <w:b w:val="1"/>
          <w:bCs w:val="1"/>
          <w:color w:val="auto"/>
        </w:rPr>
        <w:t>«Vesting_Date2»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36830</wp:posOffset>
            </wp:positionV>
            <wp:extent cx="385064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«Number_of_RSUs_Vested3»</w:t>
      </w:r>
      <w:r>
        <w:rPr>
          <w:sz w:val="20"/>
          <w:szCs w:val="20"/>
          <w:color w:val="auto"/>
        </w:rPr>
        <w:tab/>
      </w:r>
      <w:r>
        <w:rPr>
          <w:rFonts w:ascii="Times New Roman" w:cs="Times New Roman" w:eastAsia="Times New Roman" w:hAnsi="Times New Roman"/>
          <w:sz w:val="17"/>
          <w:szCs w:val="17"/>
          <w:b w:val="1"/>
          <w:bCs w:val="1"/>
          <w:color w:val="auto"/>
        </w:rPr>
        <w:t>«Vesting_Date3»</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prior to a Vesting Date, the Grantee’s employment with the Company terminates for any reason, then the unvested RSUs (and any related Dividend Equivalent Rights) subject to this Notice of Special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paragraph 11(F) below, in which case such accelerated vesting of the unvested RSUs will be in accordance with the terms of this Notice of Special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13" w:right="239" w:bottom="1440" w:gutter="0" w:footer="0" w:header="0"/>
        </w:sectPr>
      </w:pPr>
    </w:p>
    <w:bookmarkStart w:id="54" w:name="page55"/>
    <w:bookmarkEnd w:id="54"/>
    <w:p>
      <w:pPr>
        <w:ind w:right="80"/>
        <w:spacing w:after="0" w:line="258" w:lineRule="auto"/>
        <w:rPr>
          <w:sz w:val="20"/>
          <w:szCs w:val="20"/>
          <w:color w:val="auto"/>
        </w:rPr>
      </w:pPr>
      <w:r>
        <w:rPr>
          <w:rFonts w:ascii="Times New Roman" w:cs="Times New Roman" w:eastAsia="Times New Roman" w:hAnsi="Times New Roman"/>
          <w:sz w:val="18"/>
          <w:szCs w:val="18"/>
          <w:color w:val="auto"/>
        </w:rPr>
        <w:t>Award or the applicable plan, agreement or local law. Under the terms of the EICP, the Grantee or the Grantee's estate is entitled to accelerated vesting of the unvested RSUs upon the Grantee's termination due to total disability or death. In the event of a Change in Control, accelerated vesting of the unvested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184" w:lineRule="exact"/>
        <w:rPr>
          <w:sz w:val="20"/>
          <w:szCs w:val="20"/>
          <w:color w:val="auto"/>
        </w:rPr>
      </w:pPr>
    </w:p>
    <w:p>
      <w:pPr>
        <w:ind w:right="20" w:firstLine="8"/>
        <w:spacing w:after="0" w:line="25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w:t>
      </w:r>
      <w:r>
        <w:rPr>
          <w:rFonts w:ascii="Times New Roman" w:cs="Times New Roman" w:eastAsia="Times New Roman" w:hAnsi="Times New Roman"/>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each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87" w:lineRule="exact"/>
        <w:rPr>
          <w:rFonts w:ascii="Times New Roman" w:cs="Times New Roman" w:eastAsia="Times New Roman" w:hAnsi="Times New Roman"/>
          <w:sz w:val="18"/>
          <w:szCs w:val="18"/>
          <w:color w:val="auto"/>
        </w:rPr>
      </w:pPr>
    </w:p>
    <w:p>
      <w:pPr>
        <w:ind w:right="20" w:firstLine="8"/>
        <w:spacing w:after="0" w:line="25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90" w:lineRule="exact"/>
        <w:rPr>
          <w:rFonts w:ascii="Times New Roman" w:cs="Times New Roman" w:eastAsia="Times New Roman" w:hAnsi="Times New Roman"/>
          <w:sz w:val="18"/>
          <w:szCs w:val="18"/>
          <w:color w:val="auto"/>
        </w:rPr>
      </w:pPr>
    </w:p>
    <w:p>
      <w:pPr>
        <w:ind w:right="120" w:firstLine="8"/>
        <w:spacing w:after="0" w:line="255"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013" w:right="259" w:bottom="1440" w:gutter="0" w:footer="0" w:header="0"/>
        </w:sectPr>
      </w:pPr>
    </w:p>
    <w:bookmarkStart w:id="55" w:name="page56"/>
    <w:bookmarkEnd w:id="55"/>
    <w:p>
      <w:pPr>
        <w:ind w:left="660" w:right="20" w:hanging="4"/>
        <w:spacing w:after="0" w:line="266" w:lineRule="auto"/>
        <w:tabs>
          <w:tab w:leader="none" w:pos="9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76" w:lineRule="exact"/>
        <w:rPr>
          <w:rFonts w:ascii="Times New Roman" w:cs="Times New Roman" w:eastAsia="Times New Roman" w:hAnsi="Times New Roman"/>
          <w:sz w:val="18"/>
          <w:szCs w:val="18"/>
          <w:color w:val="auto"/>
        </w:rPr>
      </w:pPr>
    </w:p>
    <w:p>
      <w:pPr>
        <w:ind w:left="660" w:right="80" w:hanging="4"/>
        <w:spacing w:after="0" w:line="258" w:lineRule="auto"/>
        <w:tabs>
          <w:tab w:leader="none" w:pos="94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83" w:lineRule="exact"/>
        <w:rPr>
          <w:rFonts w:ascii="Times New Roman" w:cs="Times New Roman" w:eastAsia="Times New Roman" w:hAnsi="Times New Roman"/>
          <w:sz w:val="18"/>
          <w:szCs w:val="18"/>
          <w:color w:val="auto"/>
        </w:rPr>
      </w:pPr>
    </w:p>
    <w:p>
      <w:pPr>
        <w:ind w:firstLine="8"/>
        <w:spacing w:after="0" w:line="253"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Hershey for reporting a suspected violation of law, Grantee may disclose Hershey’s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88"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right="480" w:hanging="4"/>
        <w:spacing w:after="0" w:line="313" w:lineRule="auto"/>
        <w:tabs>
          <w:tab w:leader="none" w:pos="95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138" w:lineRule="exact"/>
        <w:rPr>
          <w:rFonts w:ascii="Times New Roman" w:cs="Times New Roman" w:eastAsia="Times New Roman" w:hAnsi="Times New Roman"/>
          <w:sz w:val="17"/>
          <w:szCs w:val="17"/>
          <w:color w:val="auto"/>
        </w:rPr>
      </w:pPr>
    </w:p>
    <w:p>
      <w:pPr>
        <w:ind w:left="660" w:right="40" w:hanging="4"/>
        <w:spacing w:after="0" w:line="266" w:lineRule="auto"/>
        <w:tabs>
          <w:tab w:leader="none" w:pos="9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each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13" w:right="239" w:bottom="1440" w:gutter="0" w:footer="0" w:header="0"/>
        </w:sectPr>
      </w:pPr>
    </w:p>
    <w:bookmarkStart w:id="56" w:name="page57"/>
    <w:bookmarkEnd w:id="56"/>
    <w:p>
      <w:pPr>
        <w:ind w:left="172" w:hanging="172"/>
        <w:spacing w:after="0"/>
        <w:tabs>
          <w:tab w:leader="none" w:pos="1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60" w:hanging="4"/>
        <w:spacing w:after="0" w:line="266" w:lineRule="auto"/>
        <w:tabs>
          <w:tab w:leader="none" w:pos="9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176" w:lineRule="exact"/>
        <w:rPr>
          <w:rFonts w:ascii="Times New Roman" w:cs="Times New Roman" w:eastAsia="Times New Roman" w:hAnsi="Times New Roman"/>
          <w:sz w:val="18"/>
          <w:szCs w:val="18"/>
          <w:color w:val="auto"/>
        </w:rPr>
      </w:pPr>
    </w:p>
    <w:p>
      <w:pPr>
        <w:ind w:left="652" w:right="100" w:hanging="4"/>
        <w:spacing w:after="0" w:line="282" w:lineRule="auto"/>
        <w:tabs>
          <w:tab w:leader="none" w:pos="9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reduce the number of shares of Common Stock issued to the Grantee to satisfy the minimum applicable tax withholding requirements.</w:t>
      </w:r>
    </w:p>
    <w:p>
      <w:pPr>
        <w:spacing w:after="0" w:line="161" w:lineRule="exact"/>
        <w:rPr>
          <w:rFonts w:ascii="Times New Roman" w:cs="Times New Roman" w:eastAsia="Times New Roman" w:hAnsi="Times New Roman"/>
          <w:sz w:val="18"/>
          <w:szCs w:val="18"/>
          <w:color w:val="auto"/>
        </w:rPr>
      </w:pPr>
    </w:p>
    <w:p>
      <w:pPr>
        <w:ind w:left="-8" w:right="220" w:firstLine="8"/>
        <w:spacing w:after="0" w:line="282" w:lineRule="auto"/>
        <w:tabs>
          <w:tab w:leader="none" w:pos="2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LAWS</w:t>
      </w:r>
      <w:r>
        <w:rPr>
          <w:rFonts w:ascii="Times New Roman" w:cs="Times New Roman" w:eastAsia="Times New Roman" w:hAnsi="Times New Roman"/>
          <w:sz w:val="18"/>
          <w:szCs w:val="18"/>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hanging="4"/>
        <w:spacing w:after="0" w:line="252" w:lineRule="auto"/>
        <w:tabs>
          <w:tab w:leader="none" w:pos="9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3" w:lineRule="exact"/>
        <w:rPr>
          <w:rFonts w:ascii="Times New Roman" w:cs="Times New Roman" w:eastAsia="Times New Roman" w:hAnsi="Times New Roman"/>
          <w:sz w:val="18"/>
          <w:szCs w:val="18"/>
          <w:color w:val="auto"/>
        </w:rPr>
      </w:pPr>
    </w:p>
    <w:p>
      <w:pPr>
        <w:ind w:left="652" w:right="180" w:hanging="4"/>
        <w:spacing w:after="0" w:line="281" w:lineRule="auto"/>
        <w:tabs>
          <w:tab w:leader="none" w:pos="9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acknowledges and agrees that in addition to the relief described in paragraph 11(A), if the Committee determines, in its sole judgment, that Grantee has violated or threatened to violate the terms of this Notice of Special Award or the EICP, then Hershey may cancel any part of the grant that has not vested. In addition, upon the request or direction of the Committee, Grantee shall also immediately deliver to Hershey, the cash equivalent of any RSUs that have vested under this Notice of Special Award, inclusive of any dividends paid on any vested shares.</w:t>
      </w:r>
    </w:p>
    <w:p>
      <w:pPr>
        <w:spacing w:after="0" w:line="164" w:lineRule="exact"/>
        <w:rPr>
          <w:rFonts w:ascii="Times New Roman" w:cs="Times New Roman" w:eastAsia="Times New Roman" w:hAnsi="Times New Roman"/>
          <w:sz w:val="17"/>
          <w:szCs w:val="17"/>
          <w:color w:val="auto"/>
        </w:rPr>
      </w:pPr>
    </w:p>
    <w:p>
      <w:pPr>
        <w:ind w:left="652" w:right="120" w:hanging="4"/>
        <w:spacing w:after="0" w:line="282" w:lineRule="auto"/>
        <w:tabs>
          <w:tab w:leader="none" w:pos="9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EICP or this Notice of Special Award to the contrary, Grantee acknowledges that the Company may be entitled or required by law or Hershey policy, to</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1013" w:right="239" w:bottom="1440" w:gutter="0" w:footer="0" w:header="0"/>
        </w:sectPr>
      </w:pPr>
    </w:p>
    <w:bookmarkStart w:id="57" w:name="page58"/>
    <w:bookmarkEnd w:id="57"/>
    <w:p>
      <w:pPr>
        <w:ind w:left="652"/>
        <w:spacing w:after="0"/>
        <w:rPr>
          <w:sz w:val="20"/>
          <w:szCs w:val="20"/>
          <w:color w:val="auto"/>
        </w:rPr>
      </w:pPr>
      <w:r>
        <w:rPr>
          <w:rFonts w:ascii="Times New Roman" w:cs="Times New Roman" w:eastAsia="Times New Roman" w:hAnsi="Times New Roman"/>
          <w:sz w:val="18"/>
          <w:szCs w:val="18"/>
          <w:color w:val="auto"/>
        </w:rPr>
        <w:t>recoup compensation paid to Grantee pursuant to the EICP, and Grantee agrees to comply with any Company request or demand for recoupment.</w:t>
      </w:r>
    </w:p>
    <w:p>
      <w:pPr>
        <w:spacing w:after="0" w:line="225" w:lineRule="exact"/>
        <w:rPr>
          <w:sz w:val="20"/>
          <w:szCs w:val="20"/>
          <w:color w:val="auto"/>
        </w:rPr>
      </w:pPr>
    </w:p>
    <w:p>
      <w:pPr>
        <w:ind w:left="652" w:hanging="4"/>
        <w:spacing w:after="0" w:line="261" w:lineRule="auto"/>
        <w:tabs>
          <w:tab w:leader="none" w:pos="94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0" w:lineRule="exact"/>
        <w:rPr>
          <w:rFonts w:ascii="Times New Roman" w:cs="Times New Roman" w:eastAsia="Times New Roman" w:hAnsi="Times New Roman"/>
          <w:sz w:val="18"/>
          <w:szCs w:val="18"/>
          <w:color w:val="auto"/>
        </w:rPr>
      </w:pPr>
    </w:p>
    <w:p>
      <w:pPr>
        <w:ind w:left="652" w:right="20" w:hanging="4"/>
        <w:spacing w:after="0" w:line="258" w:lineRule="auto"/>
        <w:tabs>
          <w:tab w:leader="none" w:pos="92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183" w:lineRule="exact"/>
        <w:rPr>
          <w:rFonts w:ascii="Times New Roman" w:cs="Times New Roman" w:eastAsia="Times New Roman" w:hAnsi="Times New Roman"/>
          <w:sz w:val="18"/>
          <w:szCs w:val="18"/>
          <w:color w:val="auto"/>
        </w:rPr>
      </w:pPr>
    </w:p>
    <w:p>
      <w:pPr>
        <w:ind w:left="652" w:right="100" w:hanging="4"/>
        <w:spacing w:after="0" w:line="255" w:lineRule="auto"/>
        <w:tabs>
          <w:tab w:leader="none" w:pos="9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89" w:lineRule="exact"/>
        <w:rPr>
          <w:rFonts w:ascii="Times New Roman" w:cs="Times New Roman" w:eastAsia="Times New Roman" w:hAnsi="Times New Roman"/>
          <w:sz w:val="18"/>
          <w:szCs w:val="18"/>
          <w:color w:val="auto"/>
        </w:rPr>
      </w:pPr>
    </w:p>
    <w:p>
      <w:pPr>
        <w:ind w:left="652" w:right="140" w:hanging="4"/>
        <w:spacing w:after="0" w:line="256" w:lineRule="auto"/>
        <w:tabs>
          <w:tab w:leader="none" w:pos="94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87" w:lineRule="exact"/>
        <w:rPr>
          <w:rFonts w:ascii="Times New Roman" w:cs="Times New Roman" w:eastAsia="Times New Roman" w:hAnsi="Times New Roman"/>
          <w:sz w:val="18"/>
          <w:szCs w:val="18"/>
          <w:color w:val="auto"/>
        </w:rPr>
      </w:pPr>
    </w:p>
    <w:p>
      <w:pPr>
        <w:ind w:left="-8" w:right="440" w:firstLine="8"/>
        <w:spacing w:after="0" w:line="282" w:lineRule="auto"/>
        <w:tabs>
          <w:tab w:leader="none" w:pos="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 Copies of the EICP and the Information Statement (Prospectus) for the EICP Plan are available upon request from the myHR Support Center by calling 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12"/>
          </w:cols>
          <w:pgMar w:left="248" w:top="1013"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10.2(b)</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1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2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1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100 Crystal A Drive</w:t>
            </w:r>
          </w:p>
        </w:tc>
        <w:tc>
          <w:tcPr>
            <w:tcW w:w="326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5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Hershey, Pennsylvania 17033</w:t>
            </w:r>
          </w:p>
        </w:tc>
        <w:tc>
          <w:tcPr>
            <w:tcW w:w="3260" w:type="dxa"/>
            <w:vAlign w:val="bottom"/>
          </w:tcPr>
          <w:p>
            <w:pPr>
              <w:spacing w:after="0"/>
              <w:rPr>
                <w:sz w:val="20"/>
                <w:szCs w:val="20"/>
                <w:color w:val="auto"/>
              </w:rPr>
            </w:pPr>
          </w:p>
        </w:tc>
      </w:tr>
      <w:tr>
        <w:trPr>
          <w:trHeight w:val="385"/>
        </w:trPr>
        <w:tc>
          <w:tcPr>
            <w:tcW w:w="30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473"/>
        </w:trPr>
        <w:tc>
          <w:tcPr>
            <w:tcW w:w="3040" w:type="dxa"/>
            <w:vAlign w:val="bottom"/>
          </w:tcPr>
          <w:p>
            <w:pPr>
              <w:spacing w:after="0"/>
              <w:rPr>
                <w:sz w:val="24"/>
                <w:szCs w:val="24"/>
                <w:color w:val="auto"/>
              </w:rPr>
            </w:pPr>
          </w:p>
        </w:tc>
        <w:tc>
          <w:tcPr>
            <w:tcW w:w="5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Notice of Special Award of Restricted Stock Units</w:t>
            </w:r>
          </w:p>
        </w:tc>
        <w:tc>
          <w:tcPr>
            <w:tcW w:w="3260" w:type="dxa"/>
            <w:vAlign w:val="bottom"/>
          </w:tcPr>
          <w:p>
            <w:pPr>
              <w:spacing w:after="0"/>
              <w:rPr>
                <w:sz w:val="24"/>
                <w:szCs w:val="24"/>
                <w:color w:val="auto"/>
              </w:rPr>
            </w:pPr>
          </w:p>
        </w:tc>
      </w:tr>
      <w:tr>
        <w:trPr>
          <w:trHeight w:val="264"/>
        </w:trPr>
        <w:tc>
          <w:tcPr>
            <w:tcW w:w="304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473"/>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«First_name» «Last_name»</w:t>
            </w:r>
          </w:p>
        </w:tc>
        <w:tc>
          <w:tcPr>
            <w:tcW w:w="51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3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EICP</w:t>
            </w:r>
          </w:p>
        </w:tc>
      </w:tr>
      <w:tr>
        <w:trPr>
          <w:trHeight w:val="270"/>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«Street_and_House_Number»</w:t>
            </w:r>
          </w:p>
        </w:tc>
        <w:tc>
          <w:tcPr>
            <w:tcW w:w="51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ID:</w:t>
            </w:r>
          </w:p>
        </w:tc>
        <w:tc>
          <w:tcPr>
            <w:tcW w:w="3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FF0000"/>
              </w:rPr>
              <w:t>«PersNo»</w:t>
            </w:r>
          </w:p>
        </w:tc>
      </w:tr>
    </w:tbl>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«City», «Region_State_Province_Count» «Postal_Code»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FF0000"/>
        </w:rPr>
        <w:t>«Country_Key»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80" w:firstLine="8"/>
        <w:spacing w:after="0" w:line="261"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LEVEL OF AWARD</w:t>
      </w:r>
      <w:r>
        <w:rPr>
          <w:rFonts w:ascii="Times New Roman" w:cs="Times New Roman" w:eastAsia="Times New Roman" w:hAnsi="Times New Roman"/>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80" w:lineRule="exact"/>
        <w:rPr>
          <w:sz w:val="20"/>
          <w:szCs w:val="20"/>
          <w:color w:val="auto"/>
        </w:rPr>
      </w:pPr>
    </w:p>
    <w:p>
      <w:pPr>
        <w:ind w:right="20" w:firstLine="8"/>
        <w:spacing w:after="0" w:line="28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Wherever used herein, the following terms shall have the meanings set forth below. </w:t>
      </w:r>
      <w:r>
        <w:rPr>
          <w:rFonts w:ascii="Times New Roman" w:cs="Times New Roman" w:eastAsia="Times New Roman" w:hAnsi="Times New Roman"/>
          <w:sz w:val="18"/>
          <w:szCs w:val="18"/>
          <w:b w:val="1"/>
          <w:bCs w:val="1"/>
          <w:i w:val="1"/>
          <w:iCs w:val="1"/>
          <w:color w:val="auto"/>
        </w:rPr>
        <w:t>Capitalized terms not otherwise defined in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Special Award shall have the same meanings as set forth in the EICP</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40" w:firstLine="656"/>
        <w:spacing w:after="0" w:line="282" w:lineRule="auto"/>
        <w:tabs>
          <w:tab w:leader="none" w:pos="9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Relationships” means the Company’s relationships with customers, suppliers, agents, licensees, licensors and others that likewise give the Company a competitive advantage.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and Executive Organization Committee of the Board of Directors.</w:t>
      </w:r>
    </w:p>
    <w:p>
      <w:pPr>
        <w:spacing w:after="0" w:line="225" w:lineRule="exact"/>
        <w:rPr>
          <w:rFonts w:ascii="Times New Roman" w:cs="Times New Roman" w:eastAsia="Times New Roman" w:hAnsi="Times New Roman"/>
          <w:sz w:val="18"/>
          <w:szCs w:val="18"/>
          <w:color w:val="auto"/>
        </w:rPr>
      </w:pPr>
    </w:p>
    <w:p>
      <w:pPr>
        <w:ind w:right="460" w:firstLine="656"/>
        <w:spacing w:after="0" w:line="266" w:lineRule="auto"/>
        <w:tabs>
          <w:tab w:leader="none" w:pos="93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9" w:name="page60"/>
    <w:bookmarkEnd w:id="59"/>
    <w:p>
      <w:pPr>
        <w:ind w:right="80"/>
        <w:spacing w:after="0" w:line="256" w:lineRule="auto"/>
        <w:rPr>
          <w:sz w:val="20"/>
          <w:szCs w:val="20"/>
          <w:color w:val="auto"/>
        </w:rPr>
      </w:pPr>
      <w:r>
        <w:rPr>
          <w:rFonts w:ascii="Times New Roman" w:cs="Times New Roman" w:eastAsia="Times New Roman" w:hAnsi="Times New Roman"/>
          <w:sz w:val="18"/>
          <w:szCs w:val="18"/>
          <w:color w:val="auto"/>
        </w:rPr>
        <w:t>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8" w:lineRule="exact"/>
        <w:rPr>
          <w:sz w:val="20"/>
          <w:szCs w:val="20"/>
          <w:color w:val="auto"/>
        </w:rPr>
      </w:pPr>
    </w:p>
    <w:p>
      <w:pPr>
        <w:ind w:right="20" w:firstLine="656"/>
        <w:spacing w:after="0" w:line="258" w:lineRule="auto"/>
        <w:tabs>
          <w:tab w:leader="none" w:pos="94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means The Hershey Company Deferred Compensation Plan and any successor or replacement plan thereof.</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“EICP” means The Hershey Company Equity and Incentive Compensation Plan, as in effect from time to time and any successor or replacement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thereof.</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Contact” means contact for the purpose of furthering the Company’s business.</w:t>
      </w:r>
    </w:p>
    <w:p>
      <w:pPr>
        <w:spacing w:after="0" w:line="225" w:lineRule="exact"/>
        <w:rPr>
          <w:rFonts w:ascii="Times New Roman" w:cs="Times New Roman" w:eastAsia="Times New Roman" w:hAnsi="Times New Roman"/>
          <w:sz w:val="18"/>
          <w:szCs w:val="18"/>
          <w:color w:val="auto"/>
        </w:rPr>
      </w:pPr>
    </w:p>
    <w:p>
      <w:pPr>
        <w:ind w:right="380" w:firstLine="8"/>
        <w:spacing w:after="0" w:line="266"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The Grantee shall become 100% vested in the RSUs on the third anniversary of the Grant Date (such third anniversary, the “Vesting Date”); provided that the Grantee has remained in continuous employment with the Company from the Grant Date through such Vesting Date and has accepted and agreed to all terms and conditions in this agreement.</w:t>
      </w:r>
    </w:p>
    <w:p>
      <w:pPr>
        <w:spacing w:after="0" w:line="3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prior to the Vesting Date, the Grantee’s employment with the Company terminates for any reason, then all of the RSUs (and any related Dividend Equivalent Rights) subject to this Notice of Special Award shall terminate and be completely forfeited on the date of such termination of the Grantee’s employment unless the Grantee is entitled to any accelerated vesting of the RSUs under the terms of the EICP or other Company-sponsored plan or agreement or as described in paragraph 11(F) below, in which case such accelerated vesting of the RSUs will be in accordance with the terms of this Notice of Special Award or the applicable plan, agreement or local law. Under the terms of the EICP, the Grantee or the Grantee's estate is entitled to accelerated vesting of the RSUs upon the Grantee's termination due to total disability or death. In the event of a Change in Control, accelerated vesting of the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189" w:lineRule="exact"/>
        <w:rPr>
          <w:sz w:val="20"/>
          <w:szCs w:val="20"/>
          <w:color w:val="auto"/>
        </w:rPr>
      </w:pPr>
    </w:p>
    <w:p>
      <w:pPr>
        <w:ind w:right="30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w:t>
      </w:r>
      <w:r>
        <w:rPr>
          <w:rFonts w:ascii="Times New Roman" w:cs="Times New Roman" w:eastAsia="Times New Roman" w:hAnsi="Times New Roman"/>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13" w:right="239" w:bottom="1440" w:gutter="0" w:footer="0" w:header="0"/>
        </w:sectPr>
      </w:pPr>
    </w:p>
    <w:bookmarkStart w:id="60" w:name="page61"/>
    <w:bookmarkEnd w:id="6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practicable following the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80" w:lineRule="exact"/>
        <w:rPr>
          <w:sz w:val="20"/>
          <w:szCs w:val="20"/>
          <w:color w:val="auto"/>
        </w:rPr>
      </w:pPr>
    </w:p>
    <w:p>
      <w:pPr>
        <w:ind w:right="20" w:firstLine="8"/>
        <w:spacing w:after="0" w:line="25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90" w:lineRule="exact"/>
        <w:rPr>
          <w:rFonts w:ascii="Times New Roman" w:cs="Times New Roman" w:eastAsia="Times New Roman" w:hAnsi="Times New Roman"/>
          <w:sz w:val="18"/>
          <w:szCs w:val="18"/>
          <w:color w:val="auto"/>
        </w:rPr>
      </w:pPr>
    </w:p>
    <w:p>
      <w:pPr>
        <w:ind w:right="120" w:firstLine="8"/>
        <w:spacing w:after="0" w:line="255"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rFonts w:ascii="Times New Roman" w:cs="Times New Roman" w:eastAsia="Times New Roman" w:hAnsi="Times New Roman"/>
          <w:sz w:val="18"/>
          <w:szCs w:val="18"/>
          <w:color w:val="auto"/>
        </w:rPr>
      </w:pPr>
    </w:p>
    <w:p>
      <w:pPr>
        <w:ind w:left="660" w:hanging="4"/>
        <w:spacing w:after="0" w:line="266" w:lineRule="auto"/>
        <w:tabs>
          <w:tab w:leader="none" w:pos="95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76" w:lineRule="exact"/>
        <w:rPr>
          <w:rFonts w:ascii="Times New Roman" w:cs="Times New Roman" w:eastAsia="Times New Roman" w:hAnsi="Times New Roman"/>
          <w:sz w:val="18"/>
          <w:szCs w:val="18"/>
          <w:color w:val="auto"/>
        </w:rPr>
      </w:pPr>
    </w:p>
    <w:p>
      <w:pPr>
        <w:jc w:val="both"/>
        <w:ind w:left="660" w:right="60" w:hanging="4"/>
        <w:spacing w:after="0" w:line="261" w:lineRule="auto"/>
        <w:tabs>
          <w:tab w:leader="none" w:pos="9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013" w:right="25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in any manner in the matter and has not identified such employee of the Company for recruiting or solicitation.</w:t>
      </w:r>
    </w:p>
    <w:p>
      <w:pPr>
        <w:spacing w:after="0" w:line="225" w:lineRule="exact"/>
        <w:rPr>
          <w:sz w:val="20"/>
          <w:szCs w:val="20"/>
          <w:color w:val="auto"/>
        </w:rPr>
      </w:pPr>
    </w:p>
    <w:p>
      <w:pPr>
        <w:ind w:firstLine="8"/>
        <w:spacing w:after="0" w:line="253"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Hershey for reporting a suspected violation of law, Grantee may disclose Hershey’s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88"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80" w:hanging="4"/>
        <w:spacing w:after="0" w:line="313" w:lineRule="auto"/>
        <w:tabs>
          <w:tab w:leader="none" w:pos="95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Grantee does not vest in the RSUs, all interest in such units, the related shares of Common Stock, and any Dividend Equivalent Rights shall be forfeited. The Grantee shall have no right or interest in any RSU or related share of Common Stock that is forfeited.</w:t>
      </w:r>
    </w:p>
    <w:p>
      <w:pPr>
        <w:spacing w:after="0" w:line="138" w:lineRule="exact"/>
        <w:rPr>
          <w:rFonts w:ascii="Times New Roman" w:cs="Times New Roman" w:eastAsia="Times New Roman" w:hAnsi="Times New Roman"/>
          <w:sz w:val="17"/>
          <w:szCs w:val="17"/>
          <w:color w:val="auto"/>
        </w:rPr>
      </w:pPr>
    </w:p>
    <w:p>
      <w:pPr>
        <w:ind w:left="660" w:right="40" w:hanging="4"/>
        <w:spacing w:after="0" w:line="266" w:lineRule="auto"/>
        <w:tabs>
          <w:tab w:leader="none" w:pos="9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60" w:hanging="4"/>
        <w:spacing w:after="0" w:line="266" w:lineRule="auto"/>
        <w:tabs>
          <w:tab w:leader="none" w:pos="9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176" w:lineRule="exact"/>
        <w:rPr>
          <w:rFonts w:ascii="Times New Roman" w:cs="Times New Roman" w:eastAsia="Times New Roman" w:hAnsi="Times New Roman"/>
          <w:sz w:val="18"/>
          <w:szCs w:val="18"/>
          <w:color w:val="auto"/>
        </w:rPr>
      </w:pPr>
    </w:p>
    <w:p>
      <w:pPr>
        <w:ind w:left="660" w:right="100" w:hanging="4"/>
        <w:spacing w:after="0" w:line="282" w:lineRule="auto"/>
        <w:tabs>
          <w:tab w:leader="none" w:pos="9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reduce the number of shares of Common Stock issued to the Grantee to satisfy the minimum applicable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13" w:right="239" w:bottom="1440" w:gutter="0" w:footer="0" w:header="0"/>
        </w:sectPr>
      </w:pPr>
    </w:p>
    <w:bookmarkStart w:id="62" w:name="page63"/>
    <w:bookmarkEnd w:id="62"/>
    <w:p>
      <w:pPr>
        <w:ind w:left="-8" w:right="220" w:firstLine="8"/>
        <w:spacing w:after="0" w:line="282" w:lineRule="auto"/>
        <w:tabs>
          <w:tab w:leader="none" w:pos="2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LAWS</w:t>
      </w:r>
      <w:r>
        <w:rPr>
          <w:rFonts w:ascii="Times New Roman" w:cs="Times New Roman" w:eastAsia="Times New Roman" w:hAnsi="Times New Roman"/>
          <w:sz w:val="18"/>
          <w:szCs w:val="18"/>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37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hanging="4"/>
        <w:spacing w:after="0" w:line="252" w:lineRule="auto"/>
        <w:tabs>
          <w:tab w:leader="none" w:pos="9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3" w:lineRule="exact"/>
        <w:rPr>
          <w:rFonts w:ascii="Times New Roman" w:cs="Times New Roman" w:eastAsia="Times New Roman" w:hAnsi="Times New Roman"/>
          <w:sz w:val="18"/>
          <w:szCs w:val="18"/>
          <w:color w:val="auto"/>
        </w:rPr>
      </w:pPr>
    </w:p>
    <w:p>
      <w:pPr>
        <w:ind w:left="652" w:right="180" w:hanging="4"/>
        <w:spacing w:after="0" w:line="281" w:lineRule="auto"/>
        <w:tabs>
          <w:tab w:leader="none" w:pos="93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acknowledges and agrees that in addition to the relief described in paragraph 11(A), if the Committee determines, in its sole judgment, that Grantee has violated or threatened to violate the terms of this Notice of Special Award or the EICP, then Hershey may cancel any part of the grant that has not vested. In addition, upon the request or direction of the Committee, Grantee shall also immediately deliver to Hershey, the cash equivalent of any RSUs that have vested under this Notice of Special Award, inclusive of any dividends paid on any vested shares.</w:t>
      </w:r>
    </w:p>
    <w:p>
      <w:pPr>
        <w:spacing w:after="0" w:line="164" w:lineRule="exact"/>
        <w:rPr>
          <w:rFonts w:ascii="Times New Roman" w:cs="Times New Roman" w:eastAsia="Times New Roman" w:hAnsi="Times New Roman"/>
          <w:sz w:val="17"/>
          <w:szCs w:val="17"/>
          <w:color w:val="auto"/>
        </w:rPr>
      </w:pPr>
    </w:p>
    <w:p>
      <w:pPr>
        <w:ind w:left="652" w:right="120" w:hanging="4"/>
        <w:spacing w:after="0" w:line="266" w:lineRule="auto"/>
        <w:tabs>
          <w:tab w:leader="none" w:pos="9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EICP or this Notice of Special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76" w:lineRule="exact"/>
        <w:rPr>
          <w:rFonts w:ascii="Times New Roman" w:cs="Times New Roman" w:eastAsia="Times New Roman" w:hAnsi="Times New Roman"/>
          <w:sz w:val="18"/>
          <w:szCs w:val="18"/>
          <w:color w:val="auto"/>
        </w:rPr>
      </w:pPr>
    </w:p>
    <w:p>
      <w:pPr>
        <w:ind w:left="652" w:hanging="4"/>
        <w:spacing w:after="0" w:line="261" w:lineRule="auto"/>
        <w:tabs>
          <w:tab w:leader="none" w:pos="9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1013" w:right="239" w:bottom="1440" w:gutter="0" w:footer="0" w:header="0"/>
        </w:sectPr>
      </w:pPr>
    </w:p>
    <w:bookmarkStart w:id="63" w:name="page64"/>
    <w:bookmarkEnd w:id="63"/>
    <w:p>
      <w:pPr>
        <w:ind w:left="652" w:hanging="4"/>
        <w:spacing w:after="0" w:line="258" w:lineRule="auto"/>
        <w:tabs>
          <w:tab w:leader="none" w:pos="9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183" w:lineRule="exact"/>
        <w:rPr>
          <w:rFonts w:ascii="Times New Roman" w:cs="Times New Roman" w:eastAsia="Times New Roman" w:hAnsi="Times New Roman"/>
          <w:sz w:val="18"/>
          <w:szCs w:val="18"/>
          <w:color w:val="auto"/>
        </w:rPr>
      </w:pPr>
    </w:p>
    <w:p>
      <w:pPr>
        <w:ind w:left="652" w:right="80" w:hanging="4"/>
        <w:spacing w:after="0" w:line="255" w:lineRule="auto"/>
        <w:tabs>
          <w:tab w:leader="none" w:pos="91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89" w:lineRule="exact"/>
        <w:rPr>
          <w:rFonts w:ascii="Times New Roman" w:cs="Times New Roman" w:eastAsia="Times New Roman" w:hAnsi="Times New Roman"/>
          <w:sz w:val="18"/>
          <w:szCs w:val="18"/>
          <w:color w:val="auto"/>
        </w:rPr>
      </w:pPr>
    </w:p>
    <w:p>
      <w:pPr>
        <w:ind w:left="652" w:right="120" w:hanging="4"/>
        <w:spacing w:after="0" w:line="256" w:lineRule="auto"/>
        <w:tabs>
          <w:tab w:leader="none" w:pos="9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87" w:lineRule="exact"/>
        <w:rPr>
          <w:rFonts w:ascii="Times New Roman" w:cs="Times New Roman" w:eastAsia="Times New Roman" w:hAnsi="Times New Roman"/>
          <w:sz w:val="18"/>
          <w:szCs w:val="18"/>
          <w:color w:val="auto"/>
        </w:rPr>
      </w:pPr>
    </w:p>
    <w:p>
      <w:pPr>
        <w:ind w:left="-8" w:right="420" w:firstLine="8"/>
        <w:spacing w:after="0" w:line="282" w:lineRule="auto"/>
        <w:tabs>
          <w:tab w:leader="none" w:pos="2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 Copies of the EICP and the Information Statement (Prospectus) for the EICP Plan are available upon request from the myHR Support Center by calling 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92"/>
          </w:cols>
          <w:pgMar w:left="248" w:top="1013" w:right="2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NONQUALIFIED STOCK OPTION AWARDS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EQUITY AND INCENTIVE COMPENSATION PLAN</w:t>
      </w:r>
    </w:p>
    <w:p>
      <w:pPr>
        <w:spacing w:after="0" w:line="207" w:lineRule="exact"/>
        <w:rPr>
          <w:sz w:val="20"/>
          <w:szCs w:val="20"/>
          <w:color w:val="auto"/>
        </w:rPr>
      </w:pPr>
    </w:p>
    <w:p>
      <w:pPr>
        <w:jc w:val="both"/>
        <w:ind w:firstLine="656"/>
        <w:spacing w:after="0" w:line="258" w:lineRule="auto"/>
        <w:tabs>
          <w:tab w:leader="none" w:pos="9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by accepting the option to purchase shares of the Common Stock (the "Options") of The Hershey Company (“Hershey”) awarded to him/her on _____________ (the “Award Date”), accepts and agrees to: (i) these terms and conditions and (ii) the terms and conditions of The Hershey Company Equity and Incentive Compensation Plan (the "Plan"), which Plan is incorporated herein by reference. Receipt of the Options is expressly contingent upon Optionee agreeing to the obligations contained herein. Failure to agree to all the terms and conditions set forth herein within forty-five (45) days of receipt in the form presented by Hershey shall result in the Options being cancelled, with no benefit to Optionee.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terms and conditions extend not only to the Optionee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Plan,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0" w:lineRule="exact"/>
        <w:rPr>
          <w:sz w:val="20"/>
          <w:szCs w:val="20"/>
          <w:color w:val="auto"/>
        </w:rPr>
      </w:pPr>
    </w:p>
    <w:p>
      <w:pPr>
        <w:jc w:val="both"/>
        <w:ind w:firstLine="656"/>
        <w:spacing w:after="0" w:line="255" w:lineRule="auto"/>
        <w:tabs>
          <w:tab w:leader="none" w:pos="99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Options shall not be exercisable until vested. The Options shall be exercisable during the period </w:t>
      </w:r>
      <w:r>
        <w:rPr>
          <w:rFonts w:ascii="Times New Roman" w:cs="Times New Roman" w:eastAsia="Times New Roman" w:hAnsi="Times New Roman"/>
          <w:sz w:val="18"/>
          <w:szCs w:val="18"/>
          <w:b w:val="1"/>
          <w:bCs w:val="1"/>
          <w:color w:val="auto"/>
        </w:rPr>
        <w:t>___________</w:t>
      </w:r>
      <w:r>
        <w:rPr>
          <w:rFonts w:ascii="Times New Roman" w:cs="Times New Roman" w:eastAsia="Times New Roman" w:hAnsi="Times New Roman"/>
          <w:sz w:val="18"/>
          <w:szCs w:val="18"/>
          <w:color w:val="auto"/>
        </w:rPr>
        <w:t xml:space="preserve"> through ___________ (the “Exercise Period”), subject to the vesting schedule described in the next sentence and the provisions regarding termination set forth in paragraphs 3 and 5 below and in the Plan. Of the total Options awarded to the Optionee on the Award Date (“Total Award”), twenty-five percent (25%) of the Total Award will become vested on the first anniversary of the Award Date; an additional twenty-five percent (25%) of the Total Award will become vested on the second anniversary of the Award Date; an additional twenty-five percent (25%) of the Total Award will become vested on the third anniversary of the Award Date; and an additional and final twenty-five percent (25%) of the Total Award will become vested on the fourth anniversary of the Award Date. During the Exercise Period, vested Options may be exercised in whole or in part and on one or more than one occasion. The purchase price of any shares as to which the Options shall be exercised shall be paid in full at the time of such exercise.</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Optionee's employment with Hershey is terminated for any reason other than the occurrence of an event described in paragraph 5 below, or a “Change in Control” as described in this paragraph 3, Options shall terminate immediately upon termination of Optionee’s employment and may not be exercised after such termination of employment unless: (i) Optionee is eligible to receive severance benefits pursuant to a Hershey-sponsored severance benefits plan or an employment or severance or similar agreement to which Optionee is a party upon termination of employment, in which case vesting, exercise, and payment of the Options will be in accordance with the terms of such Hershey-sponsored severance benefits plan or such agreement; or</w:t>
      </w:r>
    </w:p>
    <w:p>
      <w:pPr>
        <w:spacing w:after="0" w:line="3"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is an employee of Hershey in a country other than the United States and has certain rights in the vesting, exercise and payment of Options upon termination of employment under the laws of the country in which Optionee is employed, in which case vesting, exercise and payment of the Options will be in accordance with the terms of a severance agreement entered into between Hershey and Optionee that complies with the laws of the country in which Optionee is employed.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(as that term is defined in the Plan), to the extent the Options are assumed or replaced, or remain outstanding, such that the award as assumed, replaced or continued is a Replacement Award (as that term is defined in the Plan), the occurrence of the Change in Control shall not affect the vesting or exercisability of the Options which shall constitute a Replaced Award as defined in the Plan. However, if within two (2) years following the Change in Control, Optionee’s employment is terminated by Hershey for any reason other than for Cause (as that term is defined in the Plan), by the Optionee for Good Reason (as that term is defined in the Plan), or due to Optionee's death or total disability, the Replacement Award shall become fully vested and exercisable upon such termination.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Committee (as that term is defined in paragraph 7 below) determines that the Options are not replaced in connection with a Change in Control with awards meeting the requirements for Replacement Awards, the Options shall become fully vested and exercisable upon the occurrence of the Change in Control, notwithstanding the vesting schedule set forth in paragraph 2 above.</w:t>
      </w:r>
    </w:p>
    <w:p>
      <w:pPr>
        <w:spacing w:after="0" w:line="176" w:lineRule="exact"/>
        <w:rPr>
          <w:sz w:val="20"/>
          <w:szCs w:val="20"/>
          <w:color w:val="auto"/>
        </w:rPr>
      </w:pPr>
    </w:p>
    <w:p>
      <w:pPr>
        <w:jc w:val="both"/>
        <w:ind w:firstLine="656"/>
        <w:spacing w:after="0" w:line="258" w:lineRule="auto"/>
        <w:tabs>
          <w:tab w:leader="none" w:pos="10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retires (as that term is defined in paragraph 5 below) after the Award Date and during the calendar year in which the Award Date occurs, the Total Award will be reduced on a pro-rata basis to reflect Optionee’s period of employment during the calendar year in which the Award Date occurs (the “Adjusted Award”). The Adjusted Award shall equal the Total Award multiplied by a fraction, the numerator of which equals the number of calendar months during such year preceding the month during which Optionee’s retirement date occurs and the denominator of which equals 12; provided, however, that any fractional share resulting from such calculation shall be eliminated by rounding the Adjusted Award down to the nearest whole number.</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provisions of this paragraph 4 notwithstanding, if a Change in Control occurs following the Award Date, and Optionee retires after the occurrence of the Change in Control but during the calendar year in which the Award Date occurs, the Total Award shall not be reduced as aforesaid.</w:t>
      </w:r>
    </w:p>
    <w:p>
      <w:pPr>
        <w:spacing w:after="0" w:line="162" w:lineRule="exact"/>
        <w:rPr>
          <w:sz w:val="20"/>
          <w:szCs w:val="20"/>
          <w:color w:val="auto"/>
        </w:rPr>
      </w:pPr>
    </w:p>
    <w:p>
      <w:pPr>
        <w:jc w:val="both"/>
        <w:ind w:firstLine="656"/>
        <w:spacing w:after="0" w:line="255" w:lineRule="auto"/>
        <w:tabs>
          <w:tab w:leader="none" w:pos="9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Optionee retires, or his or her employment terminates due to death or total disability, the Options shall become fully vested, subject to the provisions regarding possible adjustment of the Total Award to an Adjusted Award as provided in paragraph 4, and Optionee (or his/her estate in the case of death) shall have three (3) years from the earliest date of death or total disability, or five (5) years from the date of retirement, to exercise his/her Options, provided such post-termination exercise period cannot extend beyond the last day of the Exercise Period set forth in paragraph 2 above, the date the Options expire. For purposes of this award, Optionee shall be deemed to have retired if his or her employment terminates for any reason other than for “Cause” (as that term is defined in the Plan) on or after the date the Optionee has both attained his or her 55th birthday and been continuously employed by Hershey for at least five (5) years.</w:t>
      </w:r>
    </w:p>
    <w:p>
      <w:pPr>
        <w:spacing w:after="0" w:line="189" w:lineRule="exact"/>
        <w:rPr>
          <w:rFonts w:ascii="Times New Roman" w:cs="Times New Roman" w:eastAsia="Times New Roman" w:hAnsi="Times New Roman"/>
          <w:sz w:val="18"/>
          <w:szCs w:val="18"/>
          <w:color w:val="auto"/>
        </w:rPr>
      </w:pPr>
    </w:p>
    <w:p>
      <w:pPr>
        <w:ind w:right="20" w:firstLine="656"/>
        <w:spacing w:after="0" w:line="282" w:lineRule="auto"/>
        <w:tabs>
          <w:tab w:leader="none" w:pos="10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shall be exercisable through the broker on record selected by Hershey to provide services for stock options, or by such other method as shall be established by Hershey from time to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and Executive Organization Committee of the Board of Directors (the “Committee”), or any successor committee performing similar functions, may from time to time impose certain limitations or restrictions on the exercise of the Options by employees who are subject to employee minimum stock ownership requirements established by the Committee. Such limitations, restrictions and minimum stock ownership requirements are subject to change at the discretion of the Committee.</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the Plan permits exercise in limited circumstances by persons other than the Optionee, the Options may not be assigned, transferred, pledged or hypothecated in any way whether by operation of law or otherwise, and shall not be subject to execution, attachment or similar process. Any attempted assignment, transfer, pledge, hypothecation or other disposition of the Options contrary to the provisions hereof or of the Plan, and the levy of any execution, attachment or similar process upon the Options, shall be null and void and without effect and shall cause the Options to terminate.</w:t>
      </w:r>
    </w:p>
    <w:p>
      <w:pPr>
        <w:spacing w:after="0" w:line="1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w:t>
      </w:r>
    </w:p>
    <w:p>
      <w:pPr>
        <w:spacing w:after="0" w:line="225" w:lineRule="exact"/>
        <w:rPr>
          <w:sz w:val="20"/>
          <w:szCs w:val="20"/>
          <w:color w:val="auto"/>
        </w:rPr>
      </w:pPr>
    </w:p>
    <w:p>
      <w:pPr>
        <w:jc w:val="both"/>
        <w:ind w:firstLine="656"/>
        <w:spacing w:after="0" w:line="254" w:lineRule="auto"/>
        <w:tabs>
          <w:tab w:leader="none" w:pos="10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acknowledges that due to the nature of his/her employment with Hershey, he/she has and will have access to, contact with, and Confidential Information (as defined in paragraph 11) about the Company’s business and its relationships with customers, suppliers, agents, licensees, licensors and others that likewise give the Company a competitive advantage (“Business Relationships”). Optionee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Optionee,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a Competing Business, as defined below in paragraph 9(b). This restriction shall apply to any Competing Business that conducts business or plans to conduct business in the same or substantially similar geographic area in which Optionee was employed or, directly or indirectly, performed services for Hershey during the two years prior to his/her termination of Optionee’s employment. Optionee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Optionee’s responsibilities, Optionee has conducted or may conduct business throughout the United States and around the world in furtherance of the Company’s business and its relationships.</w:t>
      </w:r>
    </w:p>
    <w:p>
      <w:pPr>
        <w:spacing w:after="0" w:line="189" w:lineRule="exact"/>
        <w:rPr>
          <w:sz w:val="20"/>
          <w:szCs w:val="20"/>
          <w:color w:val="auto"/>
        </w:rPr>
      </w:pPr>
    </w:p>
    <w:p>
      <w:pPr>
        <w:jc w:val="both"/>
        <w:ind w:firstLine="656"/>
        <w:spacing w:after="0" w:line="253" w:lineRule="auto"/>
        <w:tabs>
          <w:tab w:leader="none" w:pos="9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Optionee was employed or performed services in a job or had knowledge of the operations of such business(es) over the last two (2) years of Optionee’s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Optionee was employed or performed services in a job or had knowledge of the operations of such business(es) of the Company during the two (2) years prior to the termination of Optionee’s employment with Hershey. Optionee acknowledges that he/she will be deemed to have such knowledge if Optionee received, was in possession of or otherwise had access to Confidential Information, as defined below, regarding such business. Optionee further acknowledges and understands that if he/she has any question about whether any prior position which Optionee has held at the Company over the last two (2) years subjects Optionee to specific restrictions, and will be used to identify Competing Business(es), Optionee should contact his/her Human Resource representative at Hershey.</w:t>
      </w:r>
    </w:p>
    <w:p>
      <w:pPr>
        <w:spacing w:after="0" w:line="191" w:lineRule="exact"/>
        <w:rPr>
          <w:sz w:val="20"/>
          <w:szCs w:val="20"/>
          <w:color w:val="auto"/>
        </w:rPr>
      </w:pPr>
    </w:p>
    <w:p>
      <w:pPr>
        <w:jc w:val="both"/>
        <w:ind w:firstLine="656"/>
        <w:spacing w:after="0" w:line="255" w:lineRule="auto"/>
        <w:tabs>
          <w:tab w:leader="none" w:pos="10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Optionee acknowledges that the Company has invested and will invest significant time and money to recruit and retain its employees and to develop valuable, continuing relationships with existing and prospective clients and customers of the Company. Accordingly, recognizing that Optionee has obtained and will obtain valuable information about employees of the Company and their respective talents and areas of expertise and information about the Company’s customers, suppliers, business partners, and/or vendors and their requirements, Optionee agrees both (i) during the term of his/her employment, and (ii) for a period of twelve (12) months following his/her termination of employment, Optionee,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sz w:val="20"/>
          <w:szCs w:val="20"/>
          <w:color w:val="auto"/>
        </w:rPr>
      </w:pPr>
    </w:p>
    <w:p>
      <w:pPr>
        <w:jc w:val="both"/>
        <w:ind w:firstLine="656"/>
        <w:spacing w:after="0" w:line="266" w:lineRule="auto"/>
        <w:tabs>
          <w:tab w:leader="none" w:pos="9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Optionee had contact while employed by Hershey, or about whom Optionee had access to Confidential Information as a result of Optionee’s employment; or</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or attempt to recruit or hire, or solicit or encourage to leave their employment with the Company (either directly or by assisting others), any Company employee with whom Optionee had Material Contact during the last two (2) years of Optionee’s employment with Hershey. For purposes of this provision, “Material Contact” means contact for the purpose of furthering the Company’s business. Notwithstanding the foregoing, this paragraph shall not be violated by (i) general advertising or solicitation not specifically targeted at employees of the Company, or (ii) actions taken by any person or entity with which Optionee is associated if Optionee is not directly or indirectly involved in any manner in the matter and has not identified such employee of the Company for recruiting or solicitation.</w:t>
      </w:r>
    </w:p>
    <w:p>
      <w:pPr>
        <w:spacing w:after="0" w:line="188" w:lineRule="exact"/>
        <w:rPr>
          <w:sz w:val="20"/>
          <w:szCs w:val="20"/>
          <w:color w:val="auto"/>
        </w:rPr>
      </w:pPr>
    </w:p>
    <w:p>
      <w:pPr>
        <w:jc w:val="both"/>
        <w:ind w:firstLine="656"/>
        <w:spacing w:after="0" w:line="255" w:lineRule="auto"/>
        <w:tabs>
          <w:tab w:leader="none" w:pos="10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of Confidential Information. Optionee acknowledges that due to the nature of his/her employment and the position of trust that he/she holds or will hold with Hershey, he/she will have access to, learn, be provided with, and in some cases will prepare and create for the Company,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4" w:right="2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strategies, plans and project activities (collectively, “Confidential Information”). Optionee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Optionee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11, Optionee may disclose or use any such information (i) when such disclosure or use may be required or appropriate in the good faith judgment of Optionee in the course of performing his/her duties to Hershey and in accordance with Hershey policies and procedures, (ii) when required by a court of law, by any governmental agency having supervisory authority over Optionee or the business of Hershey, or by any administrative or legislative body (including a committee thereof) with apparent jurisdiction, or (iii) with the prior written consent of Hershey’s General Counsel. Notwithstanding anything herein to the contrary, Optionee understands and agrees that his/her obligations under these terms and conditions shall be in addition to, rather than in lieu of, any obligations Optionee may have under any applicable statute or at common law.</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Optionee is hereby notified in accordance with the Defend Trade Secrets Act of 2016 that Optionee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Optionee files a lawsuit for retaliation against Hershey for reporting a suspected violation of law, Optionee may disclose Hershey’s trade secrets to Optionee’s attorney and use the trade secret information in the court proceeding, provided Optionee files any document containing the trade secret under seal, and does not disclose the trade secret, except pursuant to court order.</w:t>
      </w:r>
    </w:p>
    <w:p>
      <w:pPr>
        <w:spacing w:after="0" w:line="188" w:lineRule="exact"/>
        <w:rPr>
          <w:sz w:val="20"/>
          <w:szCs w:val="20"/>
          <w:color w:val="auto"/>
        </w:rPr>
      </w:pPr>
    </w:p>
    <w:p>
      <w:pPr>
        <w:jc w:val="both"/>
        <w:ind w:firstLine="656"/>
        <w:spacing w:after="0" w:line="253" w:lineRule="auto"/>
        <w:tabs>
          <w:tab w:leader="none" w:pos="10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Options awarded herewith, Optionee acknowledges and agrees that the Options are awarded under and governed by the terms and conditions set forth in this document and in the Plan. Any dispute or disagreement which shall arise under, as a result of, or in any way relate to the interpretation, construction or administration of the Plan or the Options awarded thereunder shall be determined in all cases and for all purposes by the Committee, or any successor committee, and any such determination shall be final, binding and conclusive for all purposes. Optionee acknowledges that a remedy at law for any breach or threatened breach of these terms and conditions would be inadequate and therefore agrees that the Company shall be entitled to injunctive relief in case of any such breach or threatened breach. Optionee acknowledges and agrees that the Company may apply to any court of law or equity of competent jurisdiction for specific performance and/or injunctive relief (without posting a bond or other security) in order to enforce or prevent any violation of these terms and conditions and that money damages would not be an adequate remedy. Optionee acknowledges and agrees that a violation of these terms and conditions would cause irreparable harm to the Company. The Company’s right to injunctive relief shall be cumulative and in addition to any other remedies available by law or equity. If a court determines that Optionee has breached or threatened to breach these terms and conditions, Optionee agrees to reimburse the Company for all reasonable attorneys’ fees and costs incurred in enforcing these terms and conditions. However, nothing contained herein shall be construed as prohibiting the Company from pursuing any other available remedies for a breach, which may include, but not be limited to, contract damages, lost profits and punitive damages.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acknowledges and agrees that in addition to the relief described in paragraph 12, if the Committee determines, in its sole judgment, that Optionee has violated or threatened to violate these terms and conditions or the Plan, then:</w:t>
      </w:r>
    </w:p>
    <w:p>
      <w:pPr>
        <w:spacing w:after="0" w:line="162" w:lineRule="exact"/>
        <w:rPr>
          <w:sz w:val="20"/>
          <w:szCs w:val="20"/>
          <w:color w:val="auto"/>
        </w:rPr>
      </w:pPr>
    </w:p>
    <w:p>
      <w:pPr>
        <w:ind w:firstLine="656"/>
        <w:spacing w:after="0" w:line="282" w:lineRule="auto"/>
        <w:tabs>
          <w:tab w:leader="none" w:pos="9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Options that Optionee has not exercised may immediately be cancelled, in which case Optionee shall forfeit any rights with respect to the Options as of the date of the Committee’s determination,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or direction of the Committee, Optionee shall immediately deliver to Hershey, cash equal in value to the amount of any profit Optionee realized upon an exercise of the Options during the period beginning twelve (12) months prior to Optionee’s termination of employment and ending on the date of the Committee’s determination.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4" w:right="239" w:bottom="1440" w:gutter="0" w:footer="0" w:header="0"/>
        </w:sectPr>
      </w:pPr>
    </w:p>
    <w:bookmarkStart w:id="68" w:name="page69"/>
    <w:bookmarkEnd w:id="68"/>
    <w:p>
      <w:pPr>
        <w:jc w:val="both"/>
        <w:ind w:firstLine="656"/>
        <w:spacing w:after="0" w:line="266" w:lineRule="auto"/>
        <w:tabs>
          <w:tab w:leader="none" w:pos="10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these terms and conditions to the contrary, Optionee acknowledges that the Company may be entitled or required by law, Hershey policy or the requirements of an exchange on which the shares of Hershey Common Stock (the “Shares”) are listed for trading, to recoup compensation paid to Optionee pursuant to the Plan, and Optionee agrees to comply with any Company request or demand for recoupment.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selling the "Shares" upon Optionee's exercise of his/her Options, Hershey is fulfilling in full its contractual obligation to Optionee by making such transfer, and Hershey shall have no further obligations or duties with respect thereto and is discharged and released from the same. The Company makes no representations to Optionee regarding the market price of the Shares or the information which is available to Optionee regarding the Shares.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0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be restricted by the Company in its sole judgment from exercising any of the Options to the extent necessary to comply with insider trading or other provisions of federal or state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agrees that, at any time after his/her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Optionee has relevant information.</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Options and all terms and conditions related thereto, including those of the Plan, shall be governed by the laws of the Commonwealth of Pennsylvania. Optionee expressly consents that: (a) any action or proceeding relating to a breach or the enforceability of these terms and conditions will be brought only in the federal or state courts, as appropriate, located in the Commonwealth of Pennsylvania; and (b) any such action or proceeding will be heard without a jury. Optionee expressly waives the right to bring any such action in any other jurisdiction and to have such action heard before a jury regardless of where such action is filed. The Plan shall control in the event there is a conflict between the Plan and these terms and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20" w:hanging="212"/>
        <w:spacing w:after="0"/>
        <w:tabs>
          <w:tab w:leader="none" w:pos="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CONTINGENT TARGET AWARD</w:t>
      </w:r>
      <w:r>
        <w:rPr>
          <w:rFonts w:ascii="Times New Roman" w:cs="Times New Roman" w:eastAsia="Times New Roman" w:hAnsi="Times New Roman"/>
          <w:sz w:val="18"/>
          <w:szCs w:val="18"/>
          <w:color w:val="auto"/>
        </w:rPr>
        <w:t>. Effective _____________ (the “Grant Date”), Grantee will be awarded __________</w:t>
      </w:r>
    </w:p>
    <w:p>
      <w:pPr>
        <w:spacing w:after="0" w:line="27"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in the year of the Grant Date (the “Performance Cycle”). Each earned PSU represents the right to receive one share of Hershey Common Stock, $1.00 par value, at a future date and time, subject to the terms of this Notice of Award of Performance Stock Units (the “Notice of Award”).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80" w:lineRule="exact"/>
        <w:rPr>
          <w:sz w:val="20"/>
          <w:szCs w:val="20"/>
          <w:color w:val="auto"/>
        </w:rPr>
      </w:pPr>
    </w:p>
    <w:p>
      <w:pPr>
        <w:ind w:firstLine="8"/>
        <w:spacing w:after="0" w:line="286"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Wherever used herein, the following terms shall have the meanings set forth below. </w:t>
      </w:r>
      <w:r>
        <w:rPr>
          <w:rFonts w:ascii="Times New Roman" w:cs="Times New Roman" w:eastAsia="Times New Roman" w:hAnsi="Times New Roman"/>
          <w:sz w:val="18"/>
          <w:szCs w:val="18"/>
          <w:b w:val="1"/>
          <w:bCs w:val="1"/>
          <w:i w:val="1"/>
          <w:iCs w:val="1"/>
          <w:color w:val="auto"/>
        </w:rPr>
        <w:t>Capitalized terms not otherwise defined in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Award shall have the same meanings as set forth in the EICP.</w:t>
      </w:r>
    </w:p>
    <w:p>
      <w:pPr>
        <w:spacing w:after="0" w:line="158"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Relationships” means the Company’s relationships with customers, suppliers, agents, licensees, licensors and others that likewise give the Company a competitive advantage.</w:t>
      </w:r>
    </w:p>
    <w:p>
      <w:pPr>
        <w:spacing w:after="0" w:line="377" w:lineRule="exact"/>
        <w:rPr>
          <w:rFonts w:ascii="Times New Roman" w:cs="Times New Roman" w:eastAsia="Times New Roman" w:hAnsi="Times New Roman"/>
          <w:sz w:val="18"/>
          <w:szCs w:val="18"/>
          <w:color w:val="auto"/>
        </w:rPr>
      </w:pPr>
    </w:p>
    <w:p>
      <w:pPr>
        <w:ind w:left="480" w:hanging="292"/>
        <w:spacing w:after="0"/>
        <w:tabs>
          <w:tab w:leader="none" w:pos="4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and Executive Organization Committee of the Board of Directors.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0" w:lineRule="exact"/>
        <w:rPr>
          <w:sz w:val="20"/>
          <w:szCs w:val="20"/>
          <w:color w:val="auto"/>
        </w:rPr>
      </w:pPr>
    </w:p>
    <w:p>
      <w:pPr>
        <w:jc w:val="both"/>
        <w:ind w:firstLine="656"/>
        <w:spacing w:after="0" w:line="258" w:lineRule="auto"/>
        <w:tabs>
          <w:tab w:leader="none" w:pos="9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means The Hershey Company Deferred Compensation Plan and any successor or replacement plan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9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reference is made to “performance metric,” the reference is intended to refer to a Performance Goal and the performance period (the Performance Cycle or a calendar year within the Performance Cycle) over which attainment of the Performance Goal is measured.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“EICP” means The Hershey Company Equity and Incentive Compensation Plan, as in effect from time to time and any successor or replacement plan thereof.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is “Retirement Eligible” on and after the date the Grantee has both attained his or her 55th birthday and been continuously employed by Hershey for at least five (5) years.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Contact” means contact for the purpose of furthering the Company’s business.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or “Separate from Service” means a “separation from service” within the meaning of Code section 409A.</w:t>
      </w:r>
    </w:p>
    <w:p>
      <w:pPr>
        <w:spacing w:after="0" w:line="225" w:lineRule="exact"/>
        <w:rPr>
          <w:sz w:val="20"/>
          <w:szCs w:val="20"/>
          <w:color w:val="auto"/>
        </w:rPr>
      </w:pPr>
    </w:p>
    <w:p>
      <w:pPr>
        <w:jc w:val="both"/>
        <w:ind w:firstLine="8"/>
        <w:spacing w:after="0" w:line="266"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On December 31 of the final year of the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13" w:right="2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the PSUs which shall then constitute a Replaced Award as defined in the EICP. However, if within two (2) years following the Change in Control and prior to the Vesting Date, Grantee's employment is terminated by the Company for any reason other than for Cause (as defined in the EICP),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189"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VESTING CONDITIONS</w:t>
      </w:r>
      <w:r>
        <w:rPr>
          <w:rFonts w:ascii="Times New Roman" w:cs="Times New Roman" w:eastAsia="Times New Roman" w:hAnsi="Times New Roman"/>
          <w:sz w:val="18"/>
          <w:szCs w:val="18"/>
          <w:color w:val="auto"/>
        </w:rPr>
        <w:t>. The Committee has determined that the following special vesting conditions shall apply to this award.</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6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actual performance during the Performance Cycle for each performance metric.</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13" w:right="239" w:bottom="1440" w:gutter="0" w:footer="0" w:header="0"/>
        </w:sectPr>
      </w:pPr>
    </w:p>
    <w:bookmarkStart w:id="72" w:name="page73"/>
    <w:bookmarkEnd w:id="72"/>
    <w:p>
      <w:pPr>
        <w:jc w:val="both"/>
        <w:ind w:firstLine="8"/>
        <w:spacing w:after="0" w:line="256"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EARNED PSUs</w:t>
      </w:r>
      <w:r>
        <w:rPr>
          <w:rFonts w:ascii="Times New Roman" w:cs="Times New Roman" w:eastAsia="Times New Roman" w:hAnsi="Times New Roman"/>
          <w:sz w:val="18"/>
          <w:szCs w:val="18"/>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 Performance Goals. Any fractional share resulting from such calculations shall be eliminated by rounding to the nearest whole number for each performance metric. The determination of earned PSUs and the prorated amounts under paragraph 4(A) and 4(C)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187" w:lineRule="exact"/>
        <w:rPr>
          <w:rFonts w:ascii="Times New Roman" w:cs="Times New Roman" w:eastAsia="Times New Roman" w:hAnsi="Times New Roman"/>
          <w:sz w:val="18"/>
          <w:szCs w:val="18"/>
          <w:color w:val="auto"/>
        </w:rPr>
      </w:pPr>
    </w:p>
    <w:p>
      <w:pPr>
        <w:jc w:val="both"/>
        <w:ind w:firstLine="8"/>
        <w:spacing w:after="0" w:line="257"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w:t>
      </w:r>
      <w:r>
        <w:rPr>
          <w:rFonts w:ascii="Times New Roman" w:cs="Times New Roman" w:eastAsia="Times New Roman" w:hAnsi="Times New Roman"/>
          <w:sz w:val="18"/>
          <w:szCs w:val="18"/>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following the date of the applicable event.</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80" w:lineRule="exact"/>
        <w:rPr>
          <w:sz w:val="20"/>
          <w:szCs w:val="20"/>
          <w:color w:val="auto"/>
        </w:rPr>
      </w:pPr>
    </w:p>
    <w:p>
      <w:pPr>
        <w:jc w:val="both"/>
        <w:ind w:firstLine="8"/>
        <w:spacing w:after="0" w:line="252"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13" w:right="239" w:bottom="1440" w:gutter="0" w:footer="0" w:header="0"/>
        </w:sectPr>
      </w:pPr>
    </w:p>
    <w:bookmarkStart w:id="73" w:name="page74"/>
    <w:bookmarkEnd w:id="73"/>
    <w:p>
      <w:pPr>
        <w:jc w:val="both"/>
        <w:ind w:firstLine="8"/>
        <w:spacing w:after="0" w:line="255" w:lineRule="auto"/>
        <w:tabs>
          <w:tab w:leader="none" w:pos="2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rFonts w:ascii="Times New Roman" w:cs="Times New Roman" w:eastAsia="Times New Roman" w:hAnsi="Times New Roman"/>
          <w:sz w:val="18"/>
          <w:szCs w:val="18"/>
          <w:color w:val="auto"/>
        </w:rPr>
      </w:pPr>
    </w:p>
    <w:p>
      <w:pPr>
        <w:jc w:val="both"/>
        <w:ind w:left="660" w:firstLine="50"/>
        <w:spacing w:after="0" w:line="266" w:lineRule="auto"/>
        <w:tabs>
          <w:tab w:leader="none" w:pos="1036"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5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Hershey for reporting a suspected violation of law, Grantee may disclose Hershey’s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29" w:right="239" w:bottom="1440" w:gutter="0" w:footer="0" w:header="0"/>
        </w:sectPr>
      </w:pPr>
    </w:p>
    <w:bookmarkStart w:id="74" w:name="page75"/>
    <w:bookmarkEnd w:id="74"/>
    <w:p>
      <w:pPr>
        <w:ind w:left="420" w:hanging="41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6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17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5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LAWS</w:t>
      </w:r>
      <w:r>
        <w:rPr>
          <w:rFonts w:ascii="Times New Roman" w:cs="Times New Roman" w:eastAsia="Times New Roman" w:hAnsi="Times New Roman"/>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29" w:right="239" w:bottom="1440" w:gutter="0" w:footer="0" w:header="0"/>
        </w:sectPr>
      </w:pPr>
    </w:p>
    <w:bookmarkStart w:id="75" w:name="page76"/>
    <w:bookmarkEnd w:id="75"/>
    <w:p>
      <w:pPr>
        <w:jc w:val="both"/>
        <w:ind w:left="660" w:hanging="4"/>
        <w:spacing w:after="0" w:line="261" w:lineRule="auto"/>
        <w:tabs>
          <w:tab w:leader="none" w:pos="94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in addition to the relief described in paragraph 13(A), if the Committee determines, in its sole judgment, that Grantee has violated or threatened to violate the terms of this Notice of Award or the EICP, then Hershey may cancel any part of the award that has not vested. In addition, upon the request or direction of the Committee, Grantee shall also immediately deliver to Hershey, the cash equivalent of any PSUs that have vested and been distributed to Grantee under this Notice of Award, inclusive of any dividends paid on any vested shares.</w:t>
      </w:r>
    </w:p>
    <w:p>
      <w:pPr>
        <w:spacing w:after="0" w:line="180"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5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7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0"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4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80" w:lineRule="exact"/>
        <w:rPr>
          <w:rFonts w:ascii="Times New Roman" w:cs="Times New Roman" w:eastAsia="Times New Roman" w:hAnsi="Times New Roman"/>
          <w:sz w:val="18"/>
          <w:szCs w:val="18"/>
          <w:color w:val="auto"/>
        </w:rPr>
      </w:pPr>
    </w:p>
    <w:p>
      <w:pPr>
        <w:ind w:left="660" w:hanging="4"/>
        <w:spacing w:after="0" w:line="282" w:lineRule="auto"/>
        <w:tabs>
          <w:tab w:leader="none" w:pos="9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Award.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2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013"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80" w:type="dxa"/>
            <w:vAlign w:val="bottom"/>
            <w:gridSpan w:val="3"/>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31"/>
        </w:trPr>
        <w:tc>
          <w:tcPr>
            <w:tcW w:w="67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April 2, 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April 3, 2016</w:t>
            </w:r>
          </w:p>
        </w:tc>
        <w:tc>
          <w:tcPr>
            <w:tcW w:w="7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0" w:type="dxa"/>
            <w:vAlign w:val="bottom"/>
            <w:tcBorders>
              <w:bottom w:val="single" w:sz="8" w:color="CCEEFF"/>
            </w:tcBorders>
            <w:shd w:val="clear" w:color="auto" w:fill="CCEEFF"/>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168,361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339,729</w:t>
            </w: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(deduct):</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Capitalized interest</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 to exclude noncontrolling interests in subsidiaries and income from equity</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investee</w:t>
            </w:r>
          </w:p>
        </w:tc>
        <w:tc>
          <w:tcPr>
            <w:tcW w:w="16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6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Earnings as adjusted</w:t>
            </w:r>
          </w:p>
        </w:tc>
        <w:tc>
          <w:tcPr>
            <w:tcW w:w="1600" w:type="dxa"/>
            <w:vAlign w:val="bottom"/>
            <w:tcBorders>
              <w:bottom w:val="single" w:sz="8" w:color="auto"/>
            </w:tcBorders>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5"/>
              </w:rPr>
              <w:t>195,312</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364,039</w:t>
            </w:r>
          </w:p>
        </w:tc>
      </w:tr>
      <w:tr>
        <w:trPr>
          <w:trHeight w:val="217"/>
        </w:trPr>
        <w:tc>
          <w:tcPr>
            <w:tcW w:w="6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and capitalized</w:t>
            </w: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24,954</w:t>
            </w:r>
          </w:p>
        </w:tc>
        <w:tc>
          <w:tcPr>
            <w:tcW w:w="120" w:type="dxa"/>
            <w:vAlign w:val="bottom"/>
          </w:tcPr>
          <w:p>
            <w:pPr>
              <w:spacing w:after="0"/>
              <w:rPr>
                <w:sz w:val="21"/>
                <w:szCs w:val="21"/>
                <w:color w:val="auto"/>
              </w:rPr>
            </w:pPr>
          </w:p>
        </w:tc>
        <w:tc>
          <w:tcPr>
            <w:tcW w:w="158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23,525</w:t>
            </w: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Portion of rents representative of the interest factor (a)</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2,388</w:t>
            </w:r>
          </w:p>
        </w:tc>
      </w:tr>
      <w:tr>
        <w:trPr>
          <w:trHeight w:val="27"/>
        </w:trPr>
        <w:tc>
          <w:tcPr>
            <w:tcW w:w="6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fixed charges</w:t>
            </w:r>
          </w:p>
        </w:tc>
        <w:tc>
          <w:tcPr>
            <w:tcW w:w="1600" w:type="dxa"/>
            <w:vAlign w:val="bottom"/>
            <w:tcBorders>
              <w:bottom w:val="single" w:sz="8" w:color="auto"/>
            </w:tcBorders>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27,702</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26,322</w:t>
            </w:r>
          </w:p>
        </w:tc>
      </w:tr>
      <w:tr>
        <w:trPr>
          <w:trHeight w:val="217"/>
        </w:trPr>
        <w:tc>
          <w:tcPr>
            <w:tcW w:w="6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r>
      <w:tr>
        <w:trPr>
          <w:trHeight w:val="27"/>
        </w:trPr>
        <w:tc>
          <w:tcPr>
            <w:tcW w:w="67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76"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80" w:hanging="438"/>
        <w:spacing w:after="0" w:line="266"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200" w:hanging="438"/>
        <w:spacing w:after="0" w:line="282"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3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4"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4"/>
          <w:szCs w:val="14"/>
          <w:b w:val="1"/>
          <w:bCs w:val="1"/>
          <w:color w:val="auto"/>
        </w:rPr>
        <w:t>April 28, 2017</w:t>
      </w:r>
    </w:p>
    <w:p>
      <w:pPr>
        <w:sectPr>
          <w:pgSz w:w="11900" w:h="16838" w:orient="portrait"/>
          <w:cols w:equalWidth="0" w:num="1">
            <w:col w:w="11420"/>
          </w:cols>
          <w:pgMar w:left="240" w:top="360"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The Hershey Company;</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80" w:hanging="438"/>
        <w:spacing w:after="0" w:line="266"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200" w:hanging="438"/>
        <w:spacing w:after="0" w:line="28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3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Patricia A. Little</w:t>
      </w:r>
    </w:p>
    <w:p>
      <w:pPr>
        <w:spacing w:after="0" w:line="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4"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4"/>
          <w:szCs w:val="14"/>
          <w:b w:val="1"/>
          <w:bCs w:val="1"/>
          <w:color w:val="auto"/>
        </w:rPr>
        <w:t>April 28, 2017</w:t>
      </w:r>
    </w:p>
    <w:p>
      <w:pPr>
        <w:sectPr>
          <w:pgSz w:w="11900" w:h="16838" w:orient="portrait"/>
          <w:cols w:equalWidth="0" w:num="1">
            <w:col w:w="11420"/>
          </w:cols>
          <w:pgMar w:left="240" w:top="360"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April 2, 2017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1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2017</w:t>
            </w:r>
          </w:p>
        </w:tc>
        <w:tc>
          <w:tcPr>
            <w:tcW w:w="37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29"/>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212"/>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54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2017</w:t>
            </w:r>
          </w:p>
        </w:tc>
        <w:tc>
          <w:tcPr>
            <w:tcW w:w="37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29"/>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Patricia A. Little</w:t>
            </w:r>
          </w:p>
        </w:tc>
      </w:tr>
      <w:tr>
        <w:trPr>
          <w:trHeight w:val="212"/>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bl>
    <w:p>
      <w:pPr>
        <w:spacing w:after="0" w:line="17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x"/>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lowerLetter"/>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
    </w:lvl>
    <w:lvl w:ilvl="1">
      <w:lvlJc w:val="left"/>
      <w:lvlText w:val="(%2)"/>
      <w:numFmt w:val="decimal"/>
      <w:start w:val="1"/>
    </w:lvl>
  </w:abstractNum>
  <w:abstractNum w:abstractNumId="6">
    <w:nsid w:val="7A6D8D3C"/>
    <w:multiLevelType w:val="hybridMultilevel"/>
    <w:lvl w:ilvl="0">
      <w:lvlJc w:val="left"/>
      <w:lvlText w:val="%1."/>
      <w:numFmt w:val="decimal"/>
      <w:start w:val="8"/>
    </w:lvl>
    <w:lvl w:ilvl="1">
      <w:lvlJc w:val="left"/>
      <w:lvlText w:val="%2"/>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lvl w:ilvl="1">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2"/>
    </w:lvl>
    <w:lvl w:ilvl="1">
      <w:lvlJc w:val="left"/>
      <w:lvlText w:val="(%2)"/>
      <w:numFmt w:val="upperLetter"/>
      <w:start w:val="1"/>
    </w:lvl>
  </w:abstractNum>
  <w:abstractNum w:abstractNumId="22">
    <w:nsid w:val="520EEDD1"/>
    <w:multiLevelType w:val="hybridMultilevel"/>
    <w:lvl w:ilvl="0">
      <w:lvlJc w:val="left"/>
      <w:lvlText w:val="%1"/>
      <w:numFmt w:val="decimal"/>
      <w:start w:val="1"/>
    </w:lvl>
    <w:lvl w:ilvl="1">
      <w:lvlJc w:val="left"/>
      <w:lvlText w:val="(%2)"/>
      <w:numFmt w:val="upperLetter"/>
      <w:start w:val="4"/>
    </w:lvl>
  </w:abstractNum>
  <w:abstractNum w:abstractNumId="23">
    <w:nsid w:val="374A3FE6"/>
    <w:multiLevelType w:val="hybridMultilevel"/>
    <w:lvl w:ilvl="0">
      <w:lvlJc w:val="left"/>
      <w:lvlText w:val="%1."/>
      <w:numFmt w:val="decimal"/>
      <w:start w:val="3"/>
    </w:lvl>
    <w:lvl w:ilvl="1">
      <w:lvlJc w:val="left"/>
      <w:lvlText w:val="%2"/>
      <w:numFmt w:val="upperLetter"/>
      <w:start w:val="1"/>
    </w:lvl>
  </w:abstractNum>
  <w:abstractNum w:abstractNumId="24">
    <w:nsid w:val="4F4EF005"/>
    <w:multiLevelType w:val="hybridMultilevel"/>
    <w:lvl w:ilvl="0">
      <w:lvlJc w:val="left"/>
      <w:lvlText w:val="%1."/>
      <w:numFmt w:val="decimal"/>
      <w:start w:val="4"/>
    </w:lvl>
    <w:lvl w:ilvl="1">
      <w:lvlJc w:val="left"/>
      <w:lvlText w:val="(%2)"/>
      <w:numFmt w:val="upperLetter"/>
      <w:start w:val="1"/>
    </w:lvl>
  </w:abstractNum>
  <w:abstractNum w:abstractNumId="25">
    <w:nsid w:val="23F9C13C"/>
    <w:multiLevelType w:val="hybridMultilevel"/>
    <w:lvl w:ilvl="0">
      <w:lvlJc w:val="left"/>
      <w:lvlText w:val="(%1)"/>
      <w:numFmt w:val="upperLetter"/>
      <w:start w:val="3"/>
    </w:lvl>
  </w:abstractNum>
  <w:abstractNum w:abstractNumId="26">
    <w:nsid w:val="649BB77C"/>
    <w:multiLevelType w:val="hybridMultilevel"/>
    <w:lvl w:ilvl="0">
      <w:lvlJc w:val="left"/>
      <w:lvlText w:val="%1."/>
      <w:numFmt w:val="decimal"/>
      <w:start w:val="5"/>
    </w:lvl>
  </w:abstractNum>
  <w:abstractNum w:abstractNumId="27">
    <w:nsid w:val="275AC794"/>
    <w:multiLevelType w:val="hybridMultilevel"/>
    <w:lvl w:ilvl="0">
      <w:lvlJc w:val="left"/>
      <w:lvlText w:val="%1."/>
      <w:numFmt w:val="decimal"/>
      <w:start w:val="6"/>
    </w:lvl>
  </w:abstractNum>
  <w:abstractNum w:abstractNumId="28">
    <w:nsid w:val="39386575"/>
    <w:multiLevelType w:val="hybridMultilevel"/>
    <w:lvl w:ilvl="0">
      <w:lvlJc w:val="left"/>
      <w:lvlText w:val="%1"/>
      <w:numFmt w:val="decimal"/>
      <w:start w:val="1"/>
    </w:lvl>
    <w:lvl w:ilvl="1">
      <w:lvlJc w:val="left"/>
      <w:lvlText w:val="(%2)"/>
      <w:numFmt w:val="upperLetter"/>
      <w:start w:val="1"/>
    </w:lvl>
  </w:abstractNum>
  <w:abstractNum w:abstractNumId="29">
    <w:nsid w:val="1CF10FD8"/>
    <w:multiLevelType w:val="hybridMultilevel"/>
    <w:lvl w:ilvl="0">
      <w:lvlJc w:val="left"/>
      <w:lvlText w:val="%1."/>
      <w:numFmt w:val="decimal"/>
      <w:start w:val="8"/>
    </w:lvl>
    <w:lvl w:ilvl="1">
      <w:lvlJc w:val="left"/>
      <w:lvlText w:val="%2"/>
      <w:numFmt w:val="upperLetter"/>
      <w:start w:val="1"/>
    </w:lvl>
  </w:abstractNum>
  <w:abstractNum w:abstractNumId="30">
    <w:nsid w:val="180115BE"/>
    <w:multiLevelType w:val="hybridMultilevel"/>
    <w:lvl w:ilvl="0">
      <w:lvlJc w:val="left"/>
      <w:lvlText w:val="%1."/>
      <w:numFmt w:val="decimal"/>
      <w:start w:val="9"/>
    </w:lvl>
    <w:lvl w:ilvl="1">
      <w:lvlJc w:val="left"/>
      <w:lvlText w:val="(%2)"/>
      <w:numFmt w:val="upperLetter"/>
      <w:start w:val="1"/>
    </w:lvl>
  </w:abstractNum>
  <w:abstractNum w:abstractNumId="31">
    <w:nsid w:val="235BA861"/>
    <w:multiLevelType w:val="hybridMultilevel"/>
    <w:lvl w:ilvl="0">
      <w:lvlJc w:val="left"/>
      <w:lvlText w:val="%1"/>
      <w:numFmt w:val="decimal"/>
      <w:start w:val="1"/>
    </w:lvl>
    <w:lvl w:ilvl="1">
      <w:lvlJc w:val="left"/>
      <w:lvlText w:val="(%2)"/>
      <w:numFmt w:val="upperLetter"/>
      <w:start w:val="2"/>
    </w:lvl>
  </w:abstractNum>
  <w:abstractNum w:abstractNumId="32">
    <w:nsid w:val="47398C89"/>
    <w:multiLevelType w:val="hybridMultilevel"/>
    <w:lvl w:ilvl="0">
      <w:lvlJc w:val="left"/>
      <w:lvlText w:val="%1."/>
      <w:numFmt w:val="decimal"/>
      <w:start w:val="10"/>
    </w:lvl>
    <w:lvl w:ilvl="1">
      <w:lvlJc w:val="left"/>
      <w:lvlText w:val="(%2)"/>
      <w:numFmt w:val="upperLetter"/>
      <w:start w:val="1"/>
    </w:lvl>
  </w:abstractNum>
  <w:abstractNum w:abstractNumId="33">
    <w:nsid w:val="354FE9F9"/>
    <w:multiLevelType w:val="hybridMultilevel"/>
    <w:lvl w:ilvl="0">
      <w:lvlJc w:val="left"/>
      <w:lvlText w:val="%1"/>
      <w:numFmt w:val="decimal"/>
      <w:start w:val="1"/>
    </w:lvl>
    <w:lvl w:ilvl="1">
      <w:lvlJc w:val="left"/>
      <w:lvlText w:val="(%2)"/>
      <w:numFmt w:val="upperLetter"/>
      <w:start w:val="3"/>
    </w:lvl>
  </w:abstractNum>
  <w:abstractNum w:abstractNumId="34">
    <w:nsid w:val="15B5AF5C"/>
    <w:multiLevelType w:val="hybridMultilevel"/>
    <w:lvl w:ilvl="0">
      <w:lvlJc w:val="left"/>
      <w:lvlText w:val="%1."/>
      <w:numFmt w:val="decimal"/>
      <w:start w:val="13"/>
    </w:lvl>
    <w:lvl w:ilvl="1">
      <w:lvlJc w:val="left"/>
      <w:lvlText w:val="%2"/>
      <w:numFmt w:val="upperLetter"/>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2"/>
    </w:lvl>
    <w:lvl w:ilvl="1">
      <w:lvlJc w:val="left"/>
      <w:lvlText w:val="(%2)"/>
      <w:numFmt w:val="upperLetter"/>
      <w:start w:val="1"/>
    </w:lvl>
  </w:abstractNum>
  <w:abstractNum w:abstractNumId="37">
    <w:nsid w:val="10233C99"/>
    <w:multiLevelType w:val="hybridMultilevel"/>
    <w:lvl w:ilvl="0">
      <w:lvlJc w:val="left"/>
      <w:lvlText w:val="%1"/>
      <w:numFmt w:val="decimal"/>
      <w:start w:val="1"/>
    </w:lvl>
    <w:lvl w:ilvl="1">
      <w:lvlJc w:val="left"/>
      <w:lvlText w:val="(%2)"/>
      <w:numFmt w:val="upperLetter"/>
      <w:start w:val="4"/>
    </w:lvl>
  </w:abstractNum>
  <w:abstractNum w:abstractNumId="38">
    <w:nsid w:val="3F6AB60F"/>
    <w:multiLevelType w:val="hybridMultilevel"/>
    <w:lvl w:ilvl="0">
      <w:lvlJc w:val="left"/>
      <w:lvlText w:val="%1."/>
      <w:numFmt w:val="decimal"/>
      <w:start w:val="3"/>
    </w:lvl>
    <w:lvl w:ilvl="1">
      <w:lvlJc w:val="left"/>
      <w:lvlText w:val="%2"/>
      <w:numFmt w:val="upperLetter"/>
      <w:start w:val="1"/>
    </w:lvl>
  </w:abstractNum>
  <w:abstractNum w:abstractNumId="39">
    <w:nsid w:val="61574095"/>
    <w:multiLevelType w:val="hybridMultilevel"/>
    <w:lvl w:ilvl="0">
      <w:lvlJc w:val="left"/>
      <w:lvlText w:val="%1."/>
      <w:numFmt w:val="decimal"/>
      <w:start w:val="4"/>
    </w:lvl>
  </w:abstractNum>
  <w:abstractNum w:abstractNumId="40">
    <w:nsid w:val="7E0C57B1"/>
    <w:multiLevelType w:val="hybridMultilevel"/>
    <w:lvl w:ilvl="0">
      <w:lvlJc w:val="left"/>
      <w:lvlText w:val="%1"/>
      <w:numFmt w:val="decimal"/>
      <w:start w:val="1"/>
    </w:lvl>
    <w:lvl w:ilvl="1">
      <w:lvlJc w:val="left"/>
      <w:lvlText w:val="(%2)"/>
      <w:numFmt w:val="upperLetter"/>
      <w:start w:val="1"/>
    </w:lvl>
  </w:abstractNum>
  <w:abstractNum w:abstractNumId="41">
    <w:nsid w:val="77AE35EB"/>
    <w:multiLevelType w:val="hybridMultilevel"/>
    <w:lvl w:ilvl="0">
      <w:lvlJc w:val="left"/>
      <w:lvlText w:val="%1."/>
      <w:numFmt w:val="decimal"/>
      <w:start w:val="7"/>
    </w:lvl>
    <w:lvl w:ilvl="1">
      <w:lvlJc w:val="left"/>
      <w:lvlText w:val="%2"/>
      <w:numFmt w:val="upperLetter"/>
      <w:start w:val="1"/>
    </w:lvl>
  </w:abstractNum>
  <w:abstractNum w:abstractNumId="42">
    <w:nsid w:val="579BE4F1"/>
    <w:multiLevelType w:val="hybridMultilevel"/>
    <w:lvl w:ilvl="0">
      <w:lvlJc w:val="left"/>
      <w:lvlText w:val="%1."/>
      <w:numFmt w:val="decimal"/>
      <w:start w:val="8"/>
    </w:lvl>
    <w:lvl w:ilvl="1">
      <w:lvlJc w:val="left"/>
      <w:lvlText w:val="(%2)"/>
      <w:numFmt w:val="upperLetter"/>
      <w:start w:val="1"/>
    </w:lvl>
  </w:abstractNum>
  <w:abstractNum w:abstractNumId="43">
    <w:nsid w:val="310C50B3"/>
    <w:multiLevelType w:val="hybridMultilevel"/>
    <w:lvl w:ilvl="0">
      <w:lvlJc w:val="left"/>
      <w:lvlText w:val="%1."/>
      <w:numFmt w:val="decimal"/>
      <w:start w:val="9"/>
    </w:lvl>
    <w:lvl w:ilvl="1">
      <w:lvlJc w:val="left"/>
      <w:lvlText w:val="(%2)"/>
      <w:numFmt w:val="upperLetter"/>
      <w:start w:val="1"/>
    </w:lvl>
  </w:abstractNum>
  <w:abstractNum w:abstractNumId="44">
    <w:nsid w:val="5FF87E05"/>
    <w:multiLevelType w:val="hybridMultilevel"/>
    <w:lvl w:ilvl="0">
      <w:lvlJc w:val="left"/>
      <w:lvlText w:val="%1"/>
      <w:numFmt w:val="decimal"/>
      <w:start w:val="1"/>
    </w:lvl>
    <w:lvl w:ilvl="1">
      <w:lvlJc w:val="left"/>
      <w:lvlText w:val="(%2)"/>
      <w:numFmt w:val="upperLetter"/>
      <w:start w:val="4"/>
    </w:lvl>
  </w:abstractNum>
  <w:abstractNum w:abstractNumId="45">
    <w:nsid w:val="2F305DEF"/>
    <w:multiLevelType w:val="hybridMultilevel"/>
    <w:lvl w:ilvl="0">
      <w:lvlJc w:val="left"/>
      <w:lvlText w:val="%1."/>
      <w:numFmt w:val="decimal"/>
      <w:start w:val="12"/>
    </w:lvl>
    <w:lvl w:ilvl="1">
      <w:lvlJc w:val="left"/>
      <w:lvlText w:val="%2"/>
      <w:numFmt w:val="upperLetter"/>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2"/>
    </w:lvl>
    <w:lvl w:ilvl="1">
      <w:lvlJc w:val="left"/>
      <w:lvlText w:val="(%2)"/>
      <w:numFmt w:val="upperLetter"/>
      <w:start w:val="1"/>
    </w:lvl>
  </w:abstractNum>
  <w:abstractNum w:abstractNumId="48">
    <w:nsid w:val="4AD084E9"/>
    <w:multiLevelType w:val="hybridMultilevel"/>
    <w:lvl w:ilvl="0">
      <w:lvlJc w:val="left"/>
      <w:lvlText w:val="%1"/>
      <w:numFmt w:val="decimal"/>
      <w:start w:val="1"/>
    </w:lvl>
    <w:lvl w:ilvl="1">
      <w:lvlJc w:val="left"/>
      <w:lvlText w:val="(%2)"/>
      <w:numFmt w:val="upperLetter"/>
      <w:start w:val="4"/>
    </w:lvl>
  </w:abstractNum>
  <w:abstractNum w:abstractNumId="49">
    <w:nsid w:val="1F48EAA1"/>
    <w:multiLevelType w:val="hybridMultilevel"/>
    <w:lvl w:ilvl="0">
      <w:lvlJc w:val="left"/>
      <w:lvlText w:val="%1."/>
      <w:numFmt w:val="decimal"/>
      <w:start w:val="3"/>
    </w:lvl>
    <w:lvl w:ilvl="1">
      <w:lvlJc w:val="left"/>
      <w:lvlText w:val="%2"/>
      <w:numFmt w:val="upperLetter"/>
      <w:start w:val="1"/>
    </w:lvl>
  </w:abstractNum>
  <w:abstractNum w:abstractNumId="50">
    <w:nsid w:val="1381823A"/>
    <w:multiLevelType w:val="hybridMultilevel"/>
    <w:lvl w:ilvl="0">
      <w:lvlJc w:val="left"/>
      <w:lvlText w:val="%1."/>
      <w:numFmt w:val="decimal"/>
      <w:start w:val="4"/>
    </w:lvl>
  </w:abstractNum>
  <w:abstractNum w:abstractNumId="51">
    <w:nsid w:val="5DB70AE5"/>
    <w:multiLevelType w:val="hybridMultilevel"/>
    <w:lvl w:ilvl="0">
      <w:lvlJc w:val="left"/>
      <w:lvlText w:val="%1."/>
      <w:numFmt w:val="decimal"/>
      <w:start w:val="5"/>
    </w:lvl>
    <w:lvl w:ilvl="1">
      <w:lvlJc w:val="left"/>
      <w:lvlText w:val="(%2)"/>
      <w:numFmt w:val="upperLetter"/>
      <w:start w:val="1"/>
    </w:lvl>
  </w:abstractNum>
  <w:abstractNum w:abstractNumId="52">
    <w:nsid w:val="100F8FCA"/>
    <w:multiLevelType w:val="hybridMultilevel"/>
    <w:lvl w:ilvl="0">
      <w:lvlJc w:val="left"/>
      <w:lvlText w:val="%1."/>
      <w:numFmt w:val="decimal"/>
      <w:start w:val="7"/>
    </w:lvl>
  </w:abstractNum>
  <w:abstractNum w:abstractNumId="53">
    <w:nsid w:val="6590700B"/>
    <w:multiLevelType w:val="hybridMultilevel"/>
    <w:lvl w:ilvl="0">
      <w:lvlJc w:val="left"/>
      <w:lvlText w:val="%1."/>
      <w:numFmt w:val="decimal"/>
      <w:start w:val="8"/>
    </w:lvl>
    <w:lvl w:ilvl="1">
      <w:lvlJc w:val="left"/>
      <w:lvlText w:val="(%2)"/>
      <w:numFmt w:val="upperLetter"/>
      <w:start w:val="1"/>
    </w:lvl>
  </w:abstractNum>
  <w:abstractNum w:abstractNumId="54">
    <w:nsid w:val="15014ACB"/>
    <w:multiLevelType w:val="hybridMultilevel"/>
    <w:lvl w:ilvl="0">
      <w:lvlJc w:val="left"/>
      <w:lvlText w:val="%1."/>
      <w:numFmt w:val="decimal"/>
      <w:start w:val="10"/>
    </w:lvl>
    <w:lvl w:ilvl="1">
      <w:lvlJc w:val="left"/>
      <w:lvlText w:val="(%2)"/>
      <w:numFmt w:val="upperLetter"/>
      <w:start w:val="1"/>
    </w:lvl>
  </w:abstractNum>
  <w:abstractNum w:abstractNumId="55">
    <w:nsid w:val="5F5E7FD0"/>
    <w:multiLevelType w:val="hybridMultilevel"/>
    <w:lvl w:ilvl="0">
      <w:lvlJc w:val="left"/>
      <w:lvlText w:val="%1"/>
      <w:numFmt w:val="decimal"/>
      <w:start w:val="1"/>
    </w:lvl>
    <w:lvl w:ilvl="1">
      <w:lvlJc w:val="left"/>
      <w:lvlText w:val="(%2)"/>
      <w:numFmt w:val="upperLetter"/>
      <w:start w:val="5"/>
    </w:lvl>
  </w:abstractNum>
  <w:abstractNum w:abstractNumId="56">
    <w:nsid w:val="98A3148"/>
    <w:multiLevelType w:val="hybridMultilevel"/>
    <w:lvl w:ilvl="0">
      <w:lvlJc w:val="left"/>
      <w:lvlText w:val="%1."/>
      <w:numFmt w:val="decimal"/>
      <w:start w:val="12"/>
    </w:lvl>
    <w:lvl w:ilvl="1">
      <w:lvlJc w:val="left"/>
      <w:lvlText w:val="%2"/>
      <w:numFmt w:val="upperLetter"/>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lowerRoman"/>
      <w:start w:val="1"/>
    </w:lvl>
    <w:lvl w:ilvl="1">
      <w:lvlJc w:val="left"/>
      <w:lvlText w:val="%2."/>
      <w:numFmt w:val="decimal"/>
      <w:start w:val="2"/>
    </w:lvl>
  </w:abstractNum>
  <w:abstractNum w:abstractNumId="59">
    <w:nsid w:val="42C296BD"/>
    <w:multiLevelType w:val="hybridMultilevel"/>
    <w:lvl w:ilvl="0">
      <w:lvlJc w:val="left"/>
      <w:lvlText w:val="(%1)"/>
      <w:numFmt w:val="lowerRoman"/>
      <w:start w:val="2"/>
    </w:lvl>
    <w:lvl w:ilvl="1">
      <w:lvlJc w:val="left"/>
      <w:lvlText w:val="%2"/>
      <w:numFmt w:val="decimal"/>
      <w:start w:val="1"/>
    </w:lvl>
  </w:abstractNum>
  <w:abstractNum w:abstractNumId="60">
    <w:nsid w:val="168E121F"/>
    <w:multiLevelType w:val="hybridMultilevel"/>
    <w:lvl w:ilvl="0">
      <w:lvlJc w:val="left"/>
      <w:lvlText w:val="%1."/>
      <w:numFmt w:val="decimal"/>
      <w:start w:val="4"/>
    </w:lvl>
  </w:abstractNum>
  <w:abstractNum w:abstractNumId="61">
    <w:nsid w:val="1EBA5D23"/>
    <w:multiLevelType w:val="hybridMultilevel"/>
    <w:lvl w:ilvl="0">
      <w:lvlJc w:val="left"/>
      <w:lvlText w:val="%1."/>
      <w:numFmt w:val="decimal"/>
      <w:start w:val="5"/>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2"/>
    </w:lvl>
  </w:abstractNum>
  <w:abstractNum w:abstractNumId="64">
    <w:nsid w:val="540A471C"/>
    <w:multiLevelType w:val="hybridMultilevel"/>
    <w:lvl w:ilvl="0">
      <w:lvlJc w:val="left"/>
      <w:lvlText w:val="%1."/>
      <w:numFmt w:val="decimal"/>
      <w:start w:val="10"/>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decimal"/>
      <w:start w:val="11"/>
    </w:lvl>
  </w:abstractNum>
  <w:abstractNum w:abstractNumId="67">
    <w:nsid w:val="613EFDC5"/>
    <w:multiLevelType w:val="hybridMultilevel"/>
    <w:lvl w:ilvl="0">
      <w:lvlJc w:val="left"/>
      <w:lvlText w:val="%1."/>
      <w:numFmt w:val="decimal"/>
      <w:start w:val="12"/>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decimal"/>
      <w:start w:val="14"/>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72">
    <w:nsid w:val="8F2B15E"/>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73">
    <w:nsid w:val="1A32234B"/>
    <w:multiLevelType w:val="hybridMultilevel"/>
    <w:lvl w:ilvl="0">
      <w:lvlJc w:val="left"/>
      <w:lvlText w:val="(%1)"/>
      <w:numFmt w:val="upperLetter"/>
      <w:start w:val="4"/>
    </w:lvl>
  </w:abstractNum>
  <w:abstractNum w:abstractNumId="74">
    <w:nsid w:val="3B0FD379"/>
    <w:multiLevelType w:val="hybridMultilevel"/>
    <w:lvl w:ilvl="0">
      <w:lvlJc w:val="left"/>
      <w:lvlText w:val="%1."/>
      <w:numFmt w:val="decimal"/>
      <w:start w:val="3"/>
    </w:lvl>
  </w:abstractNum>
  <w:abstractNum w:abstractNumId="75">
    <w:nsid w:val="68EB2F63"/>
    <w:multiLevelType w:val="hybridMultilevel"/>
    <w:lvl w:ilvl="0">
      <w:lvlJc w:val="left"/>
      <w:lvlText w:val="%1."/>
      <w:numFmt w:val="decimal"/>
      <w:start w:val="4"/>
    </w:lvl>
    <w:lvl w:ilvl="1">
      <w:lvlJc w:val="left"/>
      <w:lvlText w:val="(%2)"/>
      <w:numFmt w:val="upperLetter"/>
      <w:start w:val="1"/>
    </w:lvl>
  </w:abstractNum>
  <w:abstractNum w:abstractNumId="76">
    <w:nsid w:val="4962813B"/>
    <w:multiLevelType w:val="hybridMultilevel"/>
    <w:lvl w:ilvl="0">
      <w:lvlJc w:val="left"/>
      <w:lvlText w:val="%1."/>
      <w:numFmt w:val="decimal"/>
      <w:start w:val="5"/>
    </w:lvl>
  </w:abstractNum>
  <w:abstractNum w:abstractNumId="77">
    <w:nsid w:val="60B6DF70"/>
    <w:multiLevelType w:val="hybridMultilevel"/>
    <w:lvl w:ilvl="0">
      <w:lvlJc w:val="left"/>
      <w:lvlText w:val="%1."/>
      <w:numFmt w:val="decimal"/>
      <w:start w:val="7"/>
    </w:lvl>
  </w:abstractNum>
  <w:abstractNum w:abstractNumId="78">
    <w:nsid w:val="6A5EE64"/>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1"/>
    </w:lvl>
  </w:abstractNum>
  <w:abstractNum w:abstractNumId="79">
    <w:nsid w:val="14330624"/>
    <w:multiLevelType w:val="hybridMultilevel"/>
    <w:lvl w:ilvl="0">
      <w:lvlJc w:val="left"/>
      <w:lvlText w:val="%1."/>
      <w:numFmt w:val="decimal"/>
      <w:start w:val="10"/>
    </w:lvl>
    <w:lvl w:ilvl="1">
      <w:lvlJc w:val="left"/>
      <w:lvlText w:val="(%2)"/>
      <w:numFmt w:val="upperLetter"/>
      <w:start w:val="1"/>
    </w:lvl>
  </w:abstractNum>
  <w:abstractNum w:abstractNumId="80">
    <w:nsid w:val="7FFFCA11"/>
    <w:multiLevelType w:val="hybridMultilevel"/>
    <w:lvl w:ilvl="0">
      <w:lvlJc w:val="left"/>
      <w:lvlText w:val="%1"/>
      <w:numFmt w:val="decimal"/>
      <w:start w:val="1"/>
    </w:lvl>
    <w:lvl w:ilvl="1">
      <w:lvlJc w:val="left"/>
      <w:lvlText w:val="(%2)"/>
      <w:numFmt w:val="upperLetter"/>
      <w:start w:val="2"/>
    </w:lvl>
  </w:abstractNum>
  <w:abstractNum w:abstractNumId="81">
    <w:nsid w:val="1A27709E"/>
    <w:multiLevelType w:val="hybridMultilevel"/>
    <w:lvl w:ilvl="0">
      <w:lvlJc w:val="left"/>
      <w:lvlText w:val="%1."/>
      <w:numFmt w:val="decimal"/>
      <w:start w:val="14"/>
    </w:lvl>
    <w:lvl w:ilvl="1">
      <w:lvlJc w:val="left"/>
      <w:lvlText w:val="%2"/>
      <w:numFmt w:val="upp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29" Type="http://schemas.openxmlformats.org/officeDocument/2006/relationships/hyperlink" Target="http://www.sec.gov/Archives/edgar/data/47111/000004711117000007/exhibit31-byxlawsofthehers.htm" TargetMode="External"/><Relationship Id="rId30" Type="http://schemas.openxmlformats.org/officeDocument/2006/relationships/hyperlink" Target="http://www.sec.gov/Archives/edgar/data/47111/000004711117000011/exhibit101-executiveemploy.htm" TargetMode="External"/><Relationship Id="rId31" Type="http://schemas.openxmlformats.org/officeDocument/2006/relationships/hyperlink" Target="http://www.sec.gov/Archives/edgar/data/47111/000004711117000011/exhibit102-retiremen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2019-12-29T07:02:46Z</dcterms:created>
  <dcterms:modified xsi:type="dcterms:W3CDTF">2019-12-29T07:02:46Z</dcterms:modified>
</cp:coreProperties>
</file>