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38"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1, 2023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6920" w:type="dxa"/>
            <w:vAlign w:val="bottom"/>
            <w:gridSpan w:val="5"/>
          </w:tcPr>
          <w:p>
            <w:pPr>
              <w:jc w:val="center"/>
              <w:ind w:right="14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88"/>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9"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77"/>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Arial" w:cs="Arial" w:eastAsia="Arial" w:hAnsi="Arial"/>
                <w:sz w:val="18"/>
                <w:szCs w:val="18"/>
                <w:color w:val="auto"/>
                <w:w w:val="89"/>
              </w:rPr>
              <w:t>(Former name or former address, if changed since last report)</w:t>
            </w:r>
          </w:p>
        </w:tc>
      </w:tr>
      <w:tr>
        <w:trPr>
          <w:trHeight w:val="234"/>
        </w:trPr>
        <w:tc>
          <w:tcPr>
            <w:tcW w:w="692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58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5" w:lineRule="exact"/>
        <w:rPr>
          <w:sz w:val="24"/>
          <w:szCs w:val="24"/>
          <w:color w:val="auto"/>
        </w:rPr>
      </w:pPr>
    </w:p>
    <w:p>
      <w:pPr>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requirements for the past 90 days. Yes x No </w:t>
      </w:r>
      <w:r>
        <w:rPr>
          <w:rFonts w:ascii="MS PGothic" w:cs="MS PGothic" w:eastAsia="MS PGothic" w:hAnsi="MS PGothic"/>
          <w:sz w:val="18"/>
          <w:szCs w:val="18"/>
          <w:color w:val="auto"/>
        </w:rPr>
        <w:t>☐</w:t>
      </w:r>
    </w:p>
    <w:p>
      <w:pPr>
        <w:spacing w:after="0" w:line="202"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02" w:lineRule="exact"/>
        <w:rPr>
          <w:sz w:val="24"/>
          <w:szCs w:val="24"/>
          <w:color w:val="auto"/>
        </w:rPr>
      </w:pPr>
    </w:p>
    <w:p>
      <w:pPr>
        <w:ind w:right="3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rPr>
          <w:sz w:val="20"/>
          <w:szCs w:val="20"/>
          <w:color w:val="auto"/>
        </w:rPr>
      </w:pPr>
      <w:r>
        <w:rPr>
          <w:rFonts w:ascii="Arial" w:cs="Arial" w:eastAsia="Arial" w:hAnsi="Arial"/>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80" w:val="left"/>
          <w:tab w:leader="none" w:pos="2280" w:val="left"/>
          <w:tab w:leader="none" w:pos="3680" w:val="left"/>
          <w:tab w:leader="none" w:pos="872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7" w:lineRule="exact"/>
        <w:rPr>
          <w:sz w:val="24"/>
          <w:szCs w:val="24"/>
          <w:color w:val="auto"/>
        </w:rPr>
      </w:pPr>
    </w:p>
    <w:p>
      <w:pPr>
        <w:ind w:right="16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Arial" w:cs="Arial" w:eastAsia="Arial" w:hAnsi="Arial"/>
          <w:sz w:val="18"/>
          <w:szCs w:val="18"/>
          <w:color w:val="auto"/>
        </w:rPr>
        <w:t>Common Stock, one dollar par value—149,884,670 shares, as of October 20, 2023.</w:t>
      </w:r>
    </w:p>
    <w:p>
      <w:pPr>
        <w:ind w:left="660"/>
        <w:spacing w:after="0"/>
        <w:rPr>
          <w:sz w:val="20"/>
          <w:szCs w:val="20"/>
          <w:color w:val="auto"/>
        </w:rPr>
      </w:pPr>
      <w:r>
        <w:rPr>
          <w:rFonts w:ascii="Arial" w:cs="Arial" w:eastAsia="Arial" w:hAnsi="Arial"/>
          <w:sz w:val="18"/>
          <w:szCs w:val="18"/>
          <w:color w:val="auto"/>
        </w:rPr>
        <w:t>Class B Common Stock, one dollar par value—54,613,514 shares, as of October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October 1,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9780" w:type="dxa"/>
            <w:vAlign w:val="bottom"/>
            <w:gridSpan w:val="38"/>
            <w:shd w:val="clear" w:color="auto" w:fill="CCEEFF"/>
          </w:tcPr>
          <w:p>
            <w:pPr>
              <w:spacing w:after="0"/>
              <w:rPr>
                <w:sz w:val="20"/>
                <w:szCs w:val="20"/>
                <w:color w:val="auto"/>
              </w:rPr>
            </w:pPr>
            <w:r>
              <w:rPr>
                <w:rFonts w:ascii="Arial" w:cs="Arial" w:eastAsia="Arial" w:hAnsi="Arial"/>
                <w:sz w:val="16"/>
                <w:szCs w:val="16"/>
                <w:color w:val="0000FF"/>
              </w:rPr>
              <w:t>PART I. FINANCIAL INFORMATION</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0000FF"/>
              </w:rPr>
              <w:t>2</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8"/>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7180" w:type="dxa"/>
            <w:vAlign w:val="bottom"/>
            <w:tcBorders>
              <w:top w:val="single" w:sz="8" w:color="CCEEFF"/>
            </w:tcBorders>
            <w:gridSpan w:val="20"/>
          </w:tcPr>
          <w:p>
            <w:pPr>
              <w:spacing w:after="0"/>
              <w:rPr>
                <w:sz w:val="15"/>
                <w:szCs w:val="15"/>
                <w:color w:val="auto"/>
              </w:rPr>
            </w:pPr>
          </w:p>
        </w:tc>
        <w:tc>
          <w:tcPr>
            <w:tcW w:w="13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80" w:type="dxa"/>
            <w:vAlign w:val="bottom"/>
            <w:tcBorders>
              <w:bottom w:val="single" w:sz="8" w:color="0000FF"/>
            </w:tcBorders>
            <w:gridSpan w:val="33"/>
            <w:shd w:val="clear" w:color="auto" w:fill="CCEEFF"/>
          </w:tcPr>
          <w:p>
            <w:pPr>
              <w:spacing w:after="0" w:line="175" w:lineRule="exact"/>
              <w:rPr>
                <w:sz w:val="20"/>
                <w:szCs w:val="20"/>
                <w:color w:val="auto"/>
              </w:rPr>
            </w:pPr>
            <w:r>
              <w:rPr>
                <w:rFonts w:ascii="Arial" w:cs="Arial" w:eastAsia="Arial" w:hAnsi="Arial"/>
                <w:sz w:val="16"/>
                <w:szCs w:val="16"/>
                <w:color w:val="0000FF"/>
                <w:w w:val="91"/>
              </w:rPr>
              <w:t>Consolidated Statements of Income for the Three and Nine Months Ended October 1, 2023 and October 2, 2022</w:t>
            </w: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gridSpan w:val="37"/>
          </w:tcPr>
          <w:p>
            <w:pPr>
              <w:ind w:left="80"/>
              <w:spacing w:after="0" w:line="175" w:lineRule="exact"/>
              <w:rPr>
                <w:sz w:val="20"/>
                <w:szCs w:val="20"/>
                <w:color w:val="auto"/>
              </w:rPr>
            </w:pPr>
            <w:r>
              <w:rPr>
                <w:rFonts w:ascii="Arial" w:cs="Arial" w:eastAsia="Arial" w:hAnsi="Arial"/>
                <w:sz w:val="16"/>
                <w:szCs w:val="16"/>
                <w:color w:val="0000FF"/>
              </w:rPr>
              <w:t>Consolidated Statements of Comprehensive Income for the Three and Nine Months Ended October 1, 2023 and October 2, 2022</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FF"/>
            </w:tcBorders>
            <w:gridSpan w:val="30"/>
            <w:shd w:val="clear" w:color="auto" w:fill="CCEEFF"/>
          </w:tcPr>
          <w:p>
            <w:pPr>
              <w:spacing w:after="0" w:line="175" w:lineRule="exact"/>
              <w:rPr>
                <w:sz w:val="20"/>
                <w:szCs w:val="20"/>
                <w:color w:val="auto"/>
              </w:rPr>
            </w:pPr>
            <w:r>
              <w:rPr>
                <w:rFonts w:ascii="Arial" w:cs="Arial" w:eastAsia="Arial" w:hAnsi="Arial"/>
                <w:sz w:val="16"/>
                <w:szCs w:val="16"/>
                <w:color w:val="0000FF"/>
                <w:w w:val="90"/>
              </w:rPr>
              <w:t>Consolidated Balance Sheets as of October 1, 2023 and December 31, 2022</w:t>
            </w:r>
          </w:p>
        </w:tc>
        <w:tc>
          <w:tcPr>
            <w:tcW w:w="4660" w:type="dxa"/>
            <w:vAlign w:val="bottom"/>
            <w:tcBorders>
              <w:bottom w:val="single" w:sz="8" w:color="CCEEFF"/>
            </w:tcBorders>
            <w:gridSpan w:val="6"/>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gridSpan w:val="37"/>
          </w:tcPr>
          <w:p>
            <w:pPr>
              <w:ind w:left="80"/>
              <w:spacing w:after="0" w:line="175" w:lineRule="exact"/>
              <w:rPr>
                <w:sz w:val="20"/>
                <w:szCs w:val="20"/>
                <w:color w:val="auto"/>
              </w:rPr>
            </w:pPr>
            <w:r>
              <w:rPr>
                <w:rFonts w:ascii="Arial" w:cs="Arial" w:eastAsia="Arial" w:hAnsi="Arial"/>
                <w:sz w:val="16"/>
                <w:szCs w:val="16"/>
                <w:color w:val="0000FF"/>
              </w:rPr>
              <w:t>Consolidated Statements of Cash Flows for the Nine Months Ended October 1, 2023 and October 2, 2022</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5</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160" w:type="dxa"/>
            <w:vAlign w:val="bottom"/>
            <w:tcBorders>
              <w:bottom w:val="single" w:sz="8" w:color="0000FF"/>
            </w:tcBorders>
            <w:gridSpan w:val="34"/>
            <w:shd w:val="clear" w:color="auto" w:fill="CCEEFF"/>
          </w:tcPr>
          <w:p>
            <w:pPr>
              <w:spacing w:after="0" w:line="175" w:lineRule="exact"/>
              <w:rPr>
                <w:sz w:val="20"/>
                <w:szCs w:val="20"/>
                <w:color w:val="auto"/>
              </w:rPr>
            </w:pPr>
            <w:r>
              <w:rPr>
                <w:rFonts w:ascii="Arial" w:cs="Arial" w:eastAsia="Arial" w:hAnsi="Arial"/>
                <w:sz w:val="16"/>
                <w:szCs w:val="16"/>
                <w:color w:val="0000FF"/>
                <w:w w:val="91"/>
              </w:rPr>
              <w:t>Consolidated Statements of Stockholders’ Equity for the Three and Nine Months Ended October 1, 2023 and October 2, 2022</w:t>
            </w:r>
          </w:p>
        </w:tc>
        <w:tc>
          <w:tcPr>
            <w:tcW w:w="142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60" w:type="dxa"/>
            <w:vAlign w:val="bottom"/>
            <w:gridSpan w:val="37"/>
          </w:tcPr>
          <w:p>
            <w:pPr>
              <w:ind w:left="80"/>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8</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1 - Summary of Significant Accounting Policies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8</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2 - Business Acquisitions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3 - Goodwill and Intangible Assets</w:t>
            </w:r>
          </w:p>
        </w:tc>
        <w:tc>
          <w:tcPr>
            <w:tcW w:w="1440" w:type="dxa"/>
            <w:vAlign w:val="bottom"/>
            <w:gridSpan w:val="4"/>
            <w:shd w:val="clear" w:color="auto" w:fill="CCEEFF"/>
          </w:tcPr>
          <w:p>
            <w:pPr>
              <w:jc w:val="right"/>
              <w:ind w:right="20"/>
              <w:spacing w:after="0" w:line="175" w:lineRule="exact"/>
              <w:rPr>
                <w:sz w:val="20"/>
                <w:szCs w:val="20"/>
                <w:color w:val="auto"/>
              </w:rPr>
            </w:pPr>
            <w:r>
              <w:rPr>
                <w:rFonts w:ascii="Arial" w:cs="Arial" w:eastAsia="Arial" w:hAnsi="Arial"/>
                <w:sz w:val="16"/>
                <w:szCs w:val="16"/>
                <w:color w:val="0000FF"/>
              </w:rPr>
              <w:t>11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4 - Short and Long-Term Debt</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12</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5 - Derivative Instruments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13</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6 - Fair Value Measurements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16</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7 - Leases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18</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8 - Investments in Unconsolidated Affiliates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9 - Business Realignment Activities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21</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10 - Income Taxes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22</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11 - Pension and Other Post-Retirement Benefit Plans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23</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12 - Stock Compensation Plans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24</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13 - Segment Information</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27</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14 - Treasury Stock Activity</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30</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15 - Contingencies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30</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16 - Earnings Per Share</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17 - Other (Income) Expense, Net</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34</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gridSpan w:val="36"/>
          </w:tcPr>
          <w:p>
            <w:pPr>
              <w:ind w:left="340"/>
              <w:spacing w:after="0" w:line="175" w:lineRule="exact"/>
              <w:rPr>
                <w:sz w:val="20"/>
                <w:szCs w:val="20"/>
                <w:color w:val="auto"/>
              </w:rPr>
            </w:pPr>
            <w:r>
              <w:rPr>
                <w:rFonts w:ascii="Arial" w:cs="Arial" w:eastAsia="Arial" w:hAnsi="Arial"/>
                <w:sz w:val="16"/>
                <w:szCs w:val="16"/>
                <w:color w:val="0000FF"/>
              </w:rPr>
              <w:t>Note 18 - Related Party Transactions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34</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580" w:type="dxa"/>
            <w:vAlign w:val="bottom"/>
            <w:gridSpan w:val="36"/>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19 - Supplemental Balance Sheet Information</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35</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780" w:type="dxa"/>
            <w:vAlign w:val="bottom"/>
            <w:gridSpan w:val="38"/>
          </w:tcPr>
          <w:p>
            <w:pPr>
              <w:ind w:left="120"/>
              <w:spacing w:after="0" w:line="175" w:lineRule="exact"/>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60" w:type="dxa"/>
            <w:vAlign w:val="bottom"/>
            <w:gridSpan w:val="37"/>
            <w:shd w:val="clear" w:color="auto" w:fill="CCEEFF"/>
          </w:tcPr>
          <w:p>
            <w:pPr>
              <w:spacing w:after="0" w:line="175" w:lineRule="exact"/>
              <w:rPr>
                <w:sz w:val="20"/>
                <w:szCs w:val="20"/>
                <w:color w:val="auto"/>
              </w:rPr>
            </w:pPr>
            <w:r>
              <w:rPr>
                <w:rFonts w:ascii="Arial" w:cs="Arial" w:eastAsia="Arial" w:hAnsi="Arial"/>
                <w:sz w:val="16"/>
                <w:szCs w:val="16"/>
                <w:color w:val="0000FF"/>
              </w:rPr>
              <w:t>Item 3. Quantitative and Qualitative Disclosures About Market Risk</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47</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30"/>
          </w:tcPr>
          <w:p>
            <w:pPr>
              <w:spacing w:after="0" w:line="175" w:lineRule="exact"/>
              <w:rPr>
                <w:sz w:val="20"/>
                <w:szCs w:val="20"/>
                <w:color w:val="auto"/>
              </w:rPr>
            </w:pPr>
            <w:r>
              <w:rPr>
                <w:rFonts w:ascii="Arial" w:cs="Arial" w:eastAsia="Arial" w:hAnsi="Arial"/>
                <w:sz w:val="16"/>
                <w:szCs w:val="16"/>
                <w:color w:val="0000FF"/>
              </w:rPr>
              <w:t>Item 4. Controls and Procedures</w:t>
            </w:r>
          </w:p>
        </w:tc>
        <w:tc>
          <w:tcPr>
            <w:tcW w:w="5240" w:type="dxa"/>
            <w:vAlign w:val="bottom"/>
            <w:tcBorders>
              <w:top w:val="single" w:sz="8" w:color="CCEEFF"/>
            </w:tcBorders>
            <w:gridSpan w:val="7"/>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48</w:t>
            </w:r>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780" w:type="dxa"/>
            <w:vAlign w:val="bottom"/>
            <w:gridSpan w:val="38"/>
            <w:shd w:val="clear" w:color="auto" w:fill="CCEEFF"/>
          </w:tcPr>
          <w:p>
            <w:pPr>
              <w:spacing w:after="0" w:line="175" w:lineRule="exact"/>
              <w:rPr>
                <w:sz w:val="20"/>
                <w:szCs w:val="20"/>
                <w:color w:val="auto"/>
              </w:rPr>
            </w:pPr>
            <w:r>
              <w:rPr>
                <w:rFonts w:ascii="Arial" w:cs="Arial" w:eastAsia="Arial" w:hAnsi="Arial"/>
                <w:sz w:val="16"/>
                <w:szCs w:val="16"/>
                <w:color w:val="0000FF"/>
              </w:rPr>
              <w:t>PART II. OTHER INFORMATION</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49</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gridSpan w:val="14"/>
          </w:tcPr>
          <w:p>
            <w:pPr>
              <w:ind w:left="120"/>
              <w:spacing w:after="0" w:line="175" w:lineRule="exact"/>
              <w:rPr>
                <w:sz w:val="20"/>
                <w:szCs w:val="20"/>
                <w:color w:val="auto"/>
              </w:rPr>
            </w:pPr>
            <w:r>
              <w:rPr>
                <w:rFonts w:ascii="Arial" w:cs="Arial" w:eastAsia="Arial" w:hAnsi="Arial"/>
                <w:sz w:val="16"/>
                <w:szCs w:val="16"/>
                <w:color w:val="0000FF"/>
              </w:rPr>
              <w:t>Item 1. Legal Proceedings</w:t>
            </w:r>
          </w:p>
        </w:tc>
        <w:tc>
          <w:tcPr>
            <w:tcW w:w="7460" w:type="dxa"/>
            <w:vAlign w:val="bottom"/>
            <w:tcBorders>
              <w:top w:val="single" w:sz="8" w:color="CCEEFF"/>
            </w:tcBorders>
            <w:gridSpan w:val="24"/>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49</w:t>
            </w:r>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6"/>
            <w:shd w:val="clear" w:color="auto" w:fill="CCEEFF"/>
          </w:tcPr>
          <w:p>
            <w:pPr>
              <w:spacing w:after="0" w:line="175" w:lineRule="exact"/>
              <w:rPr>
                <w:sz w:val="20"/>
                <w:szCs w:val="20"/>
                <w:color w:val="auto"/>
              </w:rPr>
            </w:pPr>
            <w:r>
              <w:rPr>
                <w:rFonts w:ascii="Arial" w:cs="Arial" w:eastAsia="Arial" w:hAnsi="Arial"/>
                <w:sz w:val="16"/>
                <w:szCs w:val="16"/>
                <w:color w:val="0000FF"/>
                <w:w w:val="92"/>
              </w:rPr>
              <w:t>Item 1A. Risk Factors</w:t>
            </w:r>
          </w:p>
        </w:tc>
        <w:tc>
          <w:tcPr>
            <w:tcW w:w="8220" w:type="dxa"/>
            <w:vAlign w:val="bottom"/>
            <w:tcBorders>
              <w:bottom w:val="single" w:sz="8" w:color="CCEEFF"/>
            </w:tcBorders>
            <w:gridSpan w:val="31"/>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780" w:type="dxa"/>
            <w:vAlign w:val="bottom"/>
            <w:gridSpan w:val="38"/>
          </w:tcPr>
          <w:p>
            <w:pPr>
              <w:ind w:left="120"/>
              <w:spacing w:after="0" w:line="175" w:lineRule="exact"/>
              <w:rPr>
                <w:sz w:val="20"/>
                <w:szCs w:val="20"/>
                <w:color w:val="auto"/>
              </w:rPr>
            </w:pPr>
            <w:r>
              <w:rPr>
                <w:rFonts w:ascii="Arial" w:cs="Arial" w:eastAsia="Arial" w:hAnsi="Arial"/>
                <w:sz w:val="16"/>
                <w:szCs w:val="16"/>
                <w:color w:val="0000FF"/>
              </w:rPr>
              <w:t>Item 2. Unregistered Sales of Equity Securities, Use of Proceeds, and Issuer Purchases of Equity Securities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8"/>
            <w:shd w:val="clear" w:color="auto" w:fill="CCEEFF"/>
          </w:tcPr>
          <w:p>
            <w:pPr>
              <w:spacing w:after="0" w:line="175" w:lineRule="exact"/>
              <w:rPr>
                <w:sz w:val="20"/>
                <w:szCs w:val="20"/>
                <w:color w:val="auto"/>
              </w:rPr>
            </w:pPr>
            <w:r>
              <w:rPr>
                <w:rFonts w:ascii="Arial" w:cs="Arial" w:eastAsia="Arial" w:hAnsi="Arial"/>
                <w:sz w:val="16"/>
                <w:szCs w:val="16"/>
                <w:color w:val="0000FF"/>
                <w:w w:val="92"/>
              </w:rPr>
              <w:t>Item 3. Defaults Upon Senior Securities</w:t>
            </w:r>
          </w:p>
        </w:tc>
        <w:tc>
          <w:tcPr>
            <w:tcW w:w="7060" w:type="dxa"/>
            <w:vAlign w:val="bottom"/>
            <w:tcBorders>
              <w:bottom w:val="single" w:sz="8" w:color="CCEEFF"/>
            </w:tcBorders>
            <w:gridSpan w:val="19"/>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780" w:type="dxa"/>
            <w:vAlign w:val="bottom"/>
            <w:gridSpan w:val="38"/>
          </w:tcPr>
          <w:p>
            <w:pPr>
              <w:ind w:left="120"/>
              <w:spacing w:after="0" w:line="175" w:lineRule="exact"/>
              <w:rPr>
                <w:sz w:val="20"/>
                <w:szCs w:val="20"/>
                <w:color w:val="auto"/>
              </w:rPr>
            </w:pPr>
            <w:r>
              <w:rPr>
                <w:rFonts w:ascii="Arial" w:cs="Arial" w:eastAsia="Arial" w:hAnsi="Arial"/>
                <w:sz w:val="16"/>
                <w:szCs w:val="16"/>
                <w:color w:val="0000FF"/>
              </w:rPr>
              <w:t>Item 4. Mine Safety Disclosures</w:t>
            </w:r>
          </w:p>
        </w:tc>
        <w:tc>
          <w:tcPr>
            <w:tcW w:w="142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60" w:type="dxa"/>
            <w:vAlign w:val="bottom"/>
            <w:gridSpan w:val="37"/>
            <w:shd w:val="clear" w:color="auto" w:fill="CCEEFF"/>
          </w:tcPr>
          <w:p>
            <w:pPr>
              <w:spacing w:after="0" w:line="175" w:lineRule="exact"/>
              <w:rPr>
                <w:sz w:val="20"/>
                <w:szCs w:val="20"/>
                <w:color w:val="auto"/>
              </w:rPr>
            </w:pPr>
            <w:r>
              <w:rPr>
                <w:rFonts w:ascii="Arial" w:cs="Arial" w:eastAsia="Arial" w:hAnsi="Arial"/>
                <w:sz w:val="16"/>
                <w:szCs w:val="16"/>
                <w:color w:val="0000FF"/>
              </w:rPr>
              <w:t>Item 5. Other Information</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49</w:t>
            </w:r>
          </w:p>
        </w:tc>
        <w:tc>
          <w:tcPr>
            <w:tcW w:w="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80" w:type="dxa"/>
            <w:vAlign w:val="bottom"/>
            <w:tcBorders>
              <w:top w:val="single" w:sz="8" w:color="0000FF"/>
            </w:tcBorders>
            <w:gridSpan w:val="7"/>
          </w:tcPr>
          <w:p>
            <w:pPr>
              <w:spacing w:after="0" w:line="175" w:lineRule="exact"/>
              <w:rPr>
                <w:sz w:val="20"/>
                <w:szCs w:val="20"/>
                <w:color w:val="auto"/>
              </w:rPr>
            </w:pPr>
            <w:r>
              <w:rPr>
                <w:rFonts w:ascii="Arial" w:cs="Arial" w:eastAsia="Arial" w:hAnsi="Arial"/>
                <w:sz w:val="16"/>
                <w:szCs w:val="16"/>
                <w:color w:val="0000FF"/>
              </w:rPr>
              <w:t>Item 6. Exhibits</w:t>
            </w:r>
          </w:p>
        </w:tc>
        <w:tc>
          <w:tcPr>
            <w:tcW w:w="7980" w:type="dxa"/>
            <w:vAlign w:val="bottom"/>
            <w:tcBorders>
              <w:top w:val="single" w:sz="8" w:color="CCEEFF"/>
            </w:tcBorders>
            <w:gridSpan w:val="30"/>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51</w:t>
            </w:r>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780" w:type="dxa"/>
            <w:vAlign w:val="bottom"/>
            <w:gridSpan w:val="38"/>
            <w:shd w:val="clear" w:color="auto" w:fill="CCEEFF"/>
          </w:tcPr>
          <w:p>
            <w:pPr>
              <w:spacing w:after="0" w:line="175" w:lineRule="exact"/>
              <w:rPr>
                <w:sz w:val="20"/>
                <w:szCs w:val="20"/>
                <w:color w:val="auto"/>
              </w:rPr>
            </w:pPr>
            <w:r>
              <w:rPr>
                <w:rFonts w:ascii="Arial" w:cs="Arial" w:eastAsia="Arial" w:hAnsi="Arial"/>
                <w:sz w:val="16"/>
                <w:szCs w:val="16"/>
                <w:color w:val="0000FF"/>
              </w:rPr>
              <w:t>Signatures</w:t>
            </w:r>
          </w:p>
        </w:tc>
        <w:tc>
          <w:tcPr>
            <w:tcW w:w="142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52</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160" w:type="dxa"/>
            <w:vAlign w:val="bottom"/>
          </w:tcPr>
          <w:p>
            <w:pPr>
              <w:spacing w:after="0"/>
              <w:rPr>
                <w:sz w:val="19"/>
                <w:szCs w:val="19"/>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8"/>
              </w:rPr>
              <w:t>October 1, 2023</w:t>
            </w: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October 2, 2022</w:t>
            </w:r>
          </w:p>
        </w:tc>
        <w:tc>
          <w:tcPr>
            <w:tcW w:w="120" w:type="dxa"/>
            <w:vAlign w:val="bottom"/>
          </w:tcPr>
          <w:p>
            <w:pPr>
              <w:spacing w:after="0"/>
              <w:rPr>
                <w:sz w:val="19"/>
                <w:szCs w:val="19"/>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October 1, 2023</w:t>
            </w: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October 2, 2022</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3,029,987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2,728,153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8,507,881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7,766,956</w:t>
            </w:r>
          </w:p>
        </w:tc>
      </w:tr>
      <w:tr>
        <w:trPr>
          <w:trHeight w:val="23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1,669,734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1,619,653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4,633,207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4,412,977</w:t>
            </w:r>
          </w:p>
        </w:tc>
      </w:tr>
      <w:tr>
        <w:trPr>
          <w:trHeight w:val="223"/>
        </w:trPr>
        <w:tc>
          <w:tcPr>
            <w:tcW w:w="5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3,353,979</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551,880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1,777,695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1,619,564</w:t>
            </w: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realignment costs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735,949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556,620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2,096,538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1,734,141</w:t>
            </w: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101,970</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78,222</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1,553,949</w:t>
            </w:r>
          </w:p>
        </w:tc>
      </w:tr>
      <w:tr>
        <w:trPr>
          <w:trHeight w:val="229"/>
        </w:trPr>
        <w:tc>
          <w:tcPr>
            <w:tcW w:w="51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305,428</w:t>
            </w:r>
          </w:p>
        </w:tc>
      </w:tr>
      <w:tr>
        <w:trPr>
          <w:trHeight w:val="248"/>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1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2.838</w:t>
            </w: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bl>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5" w:right="5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40"/>
          </w:cols>
          <w:pgMar w:left="380" w:top="12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w:t>
      </w:r>
    </w:p>
    <w:p>
      <w:pPr>
        <w:spacing w:after="0" w:line="42" w:lineRule="exact"/>
        <w:rPr>
          <w:sz w:val="20"/>
          <w:szCs w:val="20"/>
          <w:color w:val="auto"/>
        </w:rPr>
      </w:pPr>
    </w:p>
    <w:p>
      <w:pPr>
        <w:ind w:left="20"/>
        <w:spacing w:after="0" w:line="254" w:lineRule="auto"/>
        <w:rPr>
          <w:sz w:val="20"/>
          <w:szCs w:val="20"/>
          <w:color w:val="auto"/>
        </w:rPr>
      </w:pPr>
      <w:r>
        <w:rPr>
          <w:rFonts w:ascii="Arial" w:cs="Arial" w:eastAsia="Arial" w:hAnsi="Arial"/>
          <w:sz w:val="14"/>
          <w:szCs w:val="14"/>
          <w:b w:val="1"/>
          <w:bCs w:val="1"/>
          <w:color w:val="auto"/>
        </w:rPr>
        <w:t>Other comprehensive income, net of tax:</w:t>
      </w:r>
    </w:p>
    <w:p>
      <w:pPr>
        <w:spacing w:after="0" w:line="1" w:lineRule="exact"/>
        <w:rPr>
          <w:sz w:val="20"/>
          <w:szCs w:val="20"/>
          <w:color w:val="auto"/>
        </w:rPr>
      </w:pPr>
    </w:p>
    <w:p>
      <w:pPr>
        <w:ind w:left="140" w:right="460"/>
        <w:spacing w:after="0" w:line="251" w:lineRule="auto"/>
        <w:rPr>
          <w:sz w:val="20"/>
          <w:szCs w:val="20"/>
          <w:color w:val="auto"/>
        </w:rPr>
      </w:pPr>
      <w:r>
        <w:rPr>
          <w:rFonts w:ascii="Arial" w:cs="Arial" w:eastAsia="Arial" w:hAnsi="Arial"/>
          <w:sz w:val="14"/>
          <w:szCs w:val="14"/>
          <w:color w:val="auto"/>
        </w:rPr>
        <w:t>Foreign currency translation adjustments:</w:t>
      </w:r>
    </w:p>
    <w:p>
      <w:pPr>
        <w:spacing w:after="0" w:line="1" w:lineRule="exact"/>
        <w:rPr>
          <w:sz w:val="20"/>
          <w:szCs w:val="20"/>
          <w:color w:val="auto"/>
        </w:rPr>
      </w:pPr>
    </w:p>
    <w:p>
      <w:pPr>
        <w:ind w:left="220" w:right="40"/>
        <w:spacing w:after="0" w:line="251" w:lineRule="auto"/>
        <w:rPr>
          <w:sz w:val="20"/>
          <w:szCs w:val="20"/>
          <w:color w:val="auto"/>
        </w:rPr>
      </w:pPr>
      <w:r>
        <w:rPr>
          <w:rFonts w:ascii="Arial" w:cs="Arial" w:eastAsia="Arial" w:hAnsi="Arial"/>
          <w:sz w:val="14"/>
          <w:szCs w:val="14"/>
          <w:color w:val="auto"/>
        </w:rPr>
        <w:t>Foreign currency translation gains (losses) during period</w:t>
      </w:r>
    </w:p>
    <w:p>
      <w:pPr>
        <w:spacing w:after="0" w:line="1" w:lineRule="exact"/>
        <w:rPr>
          <w:sz w:val="20"/>
          <w:szCs w:val="20"/>
          <w:color w:val="auto"/>
        </w:rPr>
      </w:pPr>
    </w:p>
    <w:p>
      <w:pPr>
        <w:ind w:left="140" w:right="40"/>
        <w:spacing w:after="0" w:line="251" w:lineRule="auto"/>
        <w:rPr>
          <w:sz w:val="20"/>
          <w:szCs w:val="20"/>
          <w:color w:val="auto"/>
        </w:rPr>
      </w:pPr>
      <w:r>
        <w:rPr>
          <w:rFonts w:ascii="Arial" w:cs="Arial" w:eastAsia="Arial" w:hAnsi="Arial"/>
          <w:sz w:val="14"/>
          <w:szCs w:val="14"/>
          <w:color w:val="auto"/>
        </w:rPr>
        <w:t>Pension and post-retirement benefit plans:</w:t>
      </w:r>
    </w:p>
    <w:p>
      <w:pPr>
        <w:spacing w:after="0" w:line="1" w:lineRule="exact"/>
        <w:rPr>
          <w:sz w:val="20"/>
          <w:szCs w:val="20"/>
          <w:color w:val="auto"/>
        </w:rPr>
      </w:pPr>
    </w:p>
    <w:p>
      <w:pPr>
        <w:ind w:left="220" w:right="380"/>
        <w:spacing w:after="0" w:line="251" w:lineRule="auto"/>
        <w:rPr>
          <w:sz w:val="20"/>
          <w:szCs w:val="20"/>
          <w:color w:val="auto"/>
        </w:rPr>
      </w:pPr>
      <w:r>
        <w:rPr>
          <w:rFonts w:ascii="Arial" w:cs="Arial" w:eastAsia="Arial" w:hAnsi="Arial"/>
          <w:sz w:val="14"/>
          <w:szCs w:val="14"/>
          <w:color w:val="auto"/>
        </w:rPr>
        <w:t>Net actuarial gain (loss) and service cost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Reclassification to earnings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flow hedges:</w:t>
      </w:r>
    </w:p>
    <w:p>
      <w:pPr>
        <w:spacing w:after="0" w:line="42" w:lineRule="exact"/>
        <w:rPr>
          <w:sz w:val="20"/>
          <w:szCs w:val="20"/>
          <w:color w:val="auto"/>
        </w:rPr>
      </w:pPr>
    </w:p>
    <w:p>
      <w:pPr>
        <w:ind w:left="220" w:right="420"/>
        <w:spacing w:after="0" w:line="251" w:lineRule="auto"/>
        <w:rPr>
          <w:sz w:val="20"/>
          <w:szCs w:val="20"/>
          <w:color w:val="auto"/>
        </w:rPr>
      </w:pPr>
      <w:r>
        <w:rPr>
          <w:rFonts w:ascii="Arial" w:cs="Arial" w:eastAsia="Arial" w:hAnsi="Arial"/>
          <w:sz w:val="14"/>
          <w:szCs w:val="14"/>
          <w:color w:val="auto"/>
        </w:rPr>
        <w:t>Gains (losses) on cash flow hedging derivatives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Reclassification to earnings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8"/>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Nine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October 1, 2023</w:t>
            </w:r>
          </w:p>
        </w:tc>
        <w:tc>
          <w:tcPr>
            <w:tcW w:w="80" w:type="dxa"/>
            <w:vAlign w:val="bottom"/>
          </w:tcPr>
          <w:p>
            <w:pPr>
              <w:spacing w:after="0"/>
              <w:rPr>
                <w:sz w:val="16"/>
                <w:szCs w:val="16"/>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October 2, 2022</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w w:val="93"/>
              </w:rPr>
              <w:t>October 1, 2023</w:t>
            </w:r>
          </w:p>
        </w:tc>
        <w:tc>
          <w:tcPr>
            <w:tcW w:w="80" w:type="dxa"/>
            <w:vAlign w:val="bottom"/>
          </w:tcPr>
          <w:p>
            <w:pPr>
              <w:spacing w:after="0"/>
              <w:rPr>
                <w:sz w:val="16"/>
                <w:szCs w:val="16"/>
                <w:color w:val="auto"/>
              </w:rPr>
            </w:pPr>
          </w:p>
        </w:tc>
        <w:tc>
          <w:tcPr>
            <w:tcW w:w="22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October 2, 2022</w:t>
            </w:r>
          </w:p>
        </w:tc>
        <w:tc>
          <w:tcPr>
            <w:tcW w:w="0" w:type="dxa"/>
            <w:vAlign w:val="bottom"/>
          </w:tcPr>
          <w:p>
            <w:pPr>
              <w:spacing w:after="0"/>
              <w:rPr>
                <w:sz w:val="1"/>
                <w:szCs w:val="1"/>
                <w:color w:val="auto"/>
              </w:rPr>
            </w:pPr>
          </w:p>
        </w:tc>
      </w:tr>
      <w:tr>
        <w:trPr>
          <w:trHeight w:val="139"/>
        </w:trPr>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7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0"/>
              </w:rPr>
              <w:t>Tax</w:t>
            </w: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After-Tax</w:t>
            </w:r>
          </w:p>
        </w:tc>
        <w:tc>
          <w:tcPr>
            <w:tcW w:w="8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9"/>
              </w:rPr>
              <w:t>Tax</w:t>
            </w: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After-Tax</w:t>
            </w:r>
          </w:p>
        </w:tc>
        <w:tc>
          <w:tcPr>
            <w:tcW w:w="80" w:type="dxa"/>
            <w:vAlign w:val="bottom"/>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Pre-Tax</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After-Tax</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auto"/>
              </w:rPr>
              <w:t>Tax</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(Expense)</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(Expense)</w:t>
            </w: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60"/>
              <w:spacing w:after="0" w:line="145" w:lineRule="exact"/>
              <w:rPr>
                <w:sz w:val="20"/>
                <w:szCs w:val="20"/>
                <w:color w:val="auto"/>
              </w:rPr>
            </w:pPr>
            <w:r>
              <w:rPr>
                <w:rFonts w:ascii="Arial" w:cs="Arial" w:eastAsia="Arial" w:hAnsi="Arial"/>
                <w:sz w:val="14"/>
                <w:szCs w:val="14"/>
                <w:b w:val="1"/>
                <w:bCs w:val="1"/>
                <w:color w:val="auto"/>
              </w:rPr>
              <w:t>Pre-Tax  (Expense)   After-Tax</w:t>
            </w:r>
          </w:p>
        </w:tc>
        <w:tc>
          <w:tcPr>
            <w:tcW w:w="0" w:type="dxa"/>
            <w:vAlign w:val="bottom"/>
          </w:tcPr>
          <w:p>
            <w:pPr>
              <w:spacing w:after="0"/>
              <w:rPr>
                <w:sz w:val="1"/>
                <w:szCs w:val="1"/>
                <w:color w:val="auto"/>
              </w:rPr>
            </w:pPr>
          </w:p>
        </w:tc>
      </w:tr>
      <w:tr>
        <w:trPr>
          <w:trHeight w:val="196"/>
        </w:trPr>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Benefit</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Benefit</w:t>
            </w: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   Benefit</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$ 518,577</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9"/>
              </w:rPr>
              <w:t>$ 399,487</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89"/>
              </w:rPr>
              <w:t>$ 1,512,745</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$ 1,248,521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-145415</wp:posOffset>
            </wp:positionV>
            <wp:extent cx="707199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205740</wp:posOffset>
            </wp:positionV>
            <wp:extent cx="707199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jc w:val="right"/>
              <w:spacing w:after="0"/>
              <w:rPr>
                <w:sz w:val="20"/>
                <w:szCs w:val="20"/>
                <w:color w:val="auto"/>
              </w:rPr>
            </w:pPr>
            <w:r>
              <w:rPr>
                <w:rFonts w:ascii="Arial" w:cs="Arial" w:eastAsia="Arial" w:hAnsi="Arial"/>
                <w:sz w:val="14"/>
                <w:szCs w:val="14"/>
                <w:color w:val="auto"/>
                <w:w w:val="90"/>
              </w:rPr>
              <w:t>$ (12,461)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(12,461)</w:t>
            </w:r>
          </w:p>
        </w:tc>
        <w:tc>
          <w:tcPr>
            <w:tcW w:w="700" w:type="dxa"/>
            <w:vAlign w:val="bottom"/>
          </w:tcPr>
          <w:p>
            <w:pPr>
              <w:jc w:val="right"/>
              <w:spacing w:after="0"/>
              <w:rPr>
                <w:sz w:val="20"/>
                <w:szCs w:val="20"/>
                <w:color w:val="auto"/>
              </w:rPr>
            </w:pPr>
            <w:r>
              <w:rPr>
                <w:rFonts w:ascii="Arial" w:cs="Arial" w:eastAsia="Arial" w:hAnsi="Arial"/>
                <w:sz w:val="14"/>
                <w:szCs w:val="14"/>
                <w:color w:val="auto"/>
                <w:w w:val="97"/>
              </w:rPr>
              <w:t>$ (13,511)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(13,511)</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  8,875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8,875</w:t>
            </w:r>
          </w:p>
        </w:tc>
        <w:tc>
          <w:tcPr>
            <w:tcW w:w="720" w:type="dxa"/>
            <w:vAlign w:val="bottom"/>
          </w:tcPr>
          <w:p>
            <w:pPr>
              <w:jc w:val="right"/>
              <w:spacing w:after="0"/>
              <w:rPr>
                <w:sz w:val="20"/>
                <w:szCs w:val="20"/>
                <w:color w:val="auto"/>
              </w:rPr>
            </w:pPr>
            <w:r>
              <w:rPr>
                <w:rFonts w:ascii="Arial" w:cs="Arial" w:eastAsia="Arial" w:hAnsi="Arial"/>
                <w:sz w:val="14"/>
                <w:szCs w:val="14"/>
                <w:color w:val="auto"/>
              </w:rPr>
              <w:t>$ (15,851)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(15,851)</w:t>
            </w:r>
          </w:p>
        </w:tc>
      </w:tr>
      <w:tr>
        <w:trPr>
          <w:trHeight w:val="675"/>
        </w:trPr>
        <w:tc>
          <w:tcPr>
            <w:tcW w:w="660" w:type="dxa"/>
            <w:vAlign w:val="bottom"/>
          </w:tcPr>
          <w:p>
            <w:pPr>
              <w:jc w:val="right"/>
              <w:spacing w:after="0"/>
              <w:rPr>
                <w:sz w:val="20"/>
                <w:szCs w:val="20"/>
                <w:color w:val="auto"/>
              </w:rPr>
            </w:pPr>
            <w:r>
              <w:rPr>
                <w:rFonts w:ascii="Arial" w:cs="Arial" w:eastAsia="Arial" w:hAnsi="Arial"/>
                <w:sz w:val="14"/>
                <w:szCs w:val="14"/>
                <w:color w:val="auto"/>
              </w:rPr>
              <w:t>(35,109)</w:t>
            </w:r>
          </w:p>
        </w:tc>
        <w:tc>
          <w:tcPr>
            <w:tcW w:w="18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8,417</w:t>
            </w:r>
          </w:p>
        </w:tc>
        <w:tc>
          <w:tcPr>
            <w:tcW w:w="680" w:type="dxa"/>
            <w:vAlign w:val="bottom"/>
          </w:tcPr>
          <w:p>
            <w:pPr>
              <w:jc w:val="right"/>
              <w:spacing w:after="0"/>
              <w:rPr>
                <w:sz w:val="20"/>
                <w:szCs w:val="20"/>
                <w:color w:val="auto"/>
              </w:rPr>
            </w:pPr>
            <w:r>
              <w:rPr>
                <w:rFonts w:ascii="Arial" w:cs="Arial" w:eastAsia="Arial" w:hAnsi="Arial"/>
                <w:sz w:val="14"/>
                <w:szCs w:val="14"/>
                <w:color w:val="auto"/>
              </w:rPr>
              <w:t>(26,692)</w:t>
            </w:r>
          </w:p>
        </w:tc>
        <w:tc>
          <w:tcPr>
            <w:tcW w:w="700" w:type="dxa"/>
            <w:vAlign w:val="bottom"/>
          </w:tcPr>
          <w:p>
            <w:pPr>
              <w:jc w:val="right"/>
              <w:spacing w:after="0"/>
              <w:rPr>
                <w:sz w:val="20"/>
                <w:szCs w:val="20"/>
                <w:color w:val="auto"/>
              </w:rPr>
            </w:pPr>
            <w:r>
              <w:rPr>
                <w:rFonts w:ascii="Arial" w:cs="Arial" w:eastAsia="Arial" w:hAnsi="Arial"/>
                <w:sz w:val="14"/>
                <w:szCs w:val="14"/>
                <w:color w:val="auto"/>
              </w:rPr>
              <w:t>(27,909)</w:t>
            </w:r>
          </w:p>
        </w:tc>
        <w:tc>
          <w:tcPr>
            <w:tcW w:w="20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6,704</w:t>
            </w:r>
          </w:p>
        </w:tc>
        <w:tc>
          <w:tcPr>
            <w:tcW w:w="660" w:type="dxa"/>
            <w:vAlign w:val="bottom"/>
          </w:tcPr>
          <w:p>
            <w:pPr>
              <w:jc w:val="right"/>
              <w:spacing w:after="0"/>
              <w:rPr>
                <w:sz w:val="20"/>
                <w:szCs w:val="20"/>
                <w:color w:val="auto"/>
              </w:rPr>
            </w:pPr>
            <w:r>
              <w:rPr>
                <w:rFonts w:ascii="Arial" w:cs="Arial" w:eastAsia="Arial" w:hAnsi="Arial"/>
                <w:sz w:val="14"/>
                <w:szCs w:val="14"/>
                <w:color w:val="auto"/>
              </w:rPr>
              <w:t>(21,205)</w:t>
            </w:r>
          </w:p>
        </w:tc>
        <w:tc>
          <w:tcPr>
            <w:tcW w:w="680" w:type="dxa"/>
            <w:vAlign w:val="bottom"/>
          </w:tcPr>
          <w:p>
            <w:pPr>
              <w:jc w:val="right"/>
              <w:spacing w:after="0"/>
              <w:rPr>
                <w:sz w:val="20"/>
                <w:szCs w:val="20"/>
                <w:color w:val="auto"/>
              </w:rPr>
            </w:pPr>
            <w:r>
              <w:rPr>
                <w:rFonts w:ascii="Arial" w:cs="Arial" w:eastAsia="Arial" w:hAnsi="Arial"/>
                <w:sz w:val="14"/>
                <w:szCs w:val="14"/>
                <w:color w:val="auto"/>
              </w:rPr>
              <w:t>(34,185)</w:t>
            </w:r>
          </w:p>
        </w:tc>
        <w:tc>
          <w:tcPr>
            <w:tcW w:w="200" w:type="dxa"/>
            <w:vAlign w:val="bottom"/>
          </w:tcPr>
          <w:p>
            <w:pPr>
              <w:spacing w:after="0"/>
              <w:rPr>
                <w:sz w:val="24"/>
                <w:szCs w:val="2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8,239</w:t>
            </w:r>
          </w:p>
        </w:tc>
        <w:tc>
          <w:tcPr>
            <w:tcW w:w="720" w:type="dxa"/>
            <w:vAlign w:val="bottom"/>
          </w:tcPr>
          <w:p>
            <w:pPr>
              <w:jc w:val="right"/>
              <w:spacing w:after="0"/>
              <w:rPr>
                <w:sz w:val="20"/>
                <w:szCs w:val="20"/>
                <w:color w:val="auto"/>
              </w:rPr>
            </w:pPr>
            <w:r>
              <w:rPr>
                <w:rFonts w:ascii="Arial" w:cs="Arial" w:eastAsia="Arial" w:hAnsi="Arial"/>
                <w:sz w:val="14"/>
                <w:szCs w:val="14"/>
                <w:color w:val="auto"/>
              </w:rPr>
              <w:t>(25,946)</w:t>
            </w:r>
          </w:p>
        </w:tc>
        <w:tc>
          <w:tcPr>
            <w:tcW w:w="720" w:type="dxa"/>
            <w:vAlign w:val="bottom"/>
          </w:tcPr>
          <w:p>
            <w:pPr>
              <w:jc w:val="right"/>
              <w:spacing w:after="0"/>
              <w:rPr>
                <w:sz w:val="20"/>
                <w:szCs w:val="20"/>
                <w:color w:val="auto"/>
              </w:rPr>
            </w:pPr>
            <w:r>
              <w:rPr>
                <w:rFonts w:ascii="Arial" w:cs="Arial" w:eastAsia="Arial" w:hAnsi="Arial"/>
                <w:sz w:val="14"/>
                <w:szCs w:val="14"/>
                <w:color w:val="auto"/>
              </w:rPr>
              <w:t>(66,720)</w:t>
            </w:r>
          </w:p>
        </w:tc>
        <w:tc>
          <w:tcPr>
            <w:tcW w:w="180" w:type="dxa"/>
            <w:vAlign w:val="bottom"/>
          </w:tcPr>
          <w:p>
            <w:pPr>
              <w:spacing w:after="0"/>
              <w:rPr>
                <w:sz w:val="24"/>
                <w:szCs w:val="2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13,895</w:t>
            </w:r>
          </w:p>
        </w:tc>
        <w:tc>
          <w:tcPr>
            <w:tcW w:w="660" w:type="dxa"/>
            <w:vAlign w:val="bottom"/>
          </w:tcPr>
          <w:p>
            <w:pPr>
              <w:jc w:val="right"/>
              <w:spacing w:after="0"/>
              <w:rPr>
                <w:sz w:val="20"/>
                <w:szCs w:val="20"/>
                <w:color w:val="auto"/>
              </w:rPr>
            </w:pPr>
            <w:r>
              <w:rPr>
                <w:rFonts w:ascii="Arial" w:cs="Arial" w:eastAsia="Arial" w:hAnsi="Arial"/>
                <w:sz w:val="14"/>
                <w:szCs w:val="14"/>
                <w:color w:val="auto"/>
              </w:rPr>
              <w:t>(52,825)</w:t>
            </w:r>
          </w:p>
        </w:tc>
      </w:tr>
      <w:tr>
        <w:trPr>
          <w:trHeight w:val="203"/>
        </w:trPr>
        <w:tc>
          <w:tcPr>
            <w:tcW w:w="660" w:type="dxa"/>
            <w:vAlign w:val="bottom"/>
          </w:tcPr>
          <w:p>
            <w:pPr>
              <w:jc w:val="right"/>
              <w:ind w:right="28"/>
              <w:spacing w:after="0"/>
              <w:rPr>
                <w:sz w:val="20"/>
                <w:szCs w:val="20"/>
                <w:color w:val="auto"/>
              </w:rPr>
            </w:pPr>
            <w:r>
              <w:rPr>
                <w:rFonts w:ascii="Arial" w:cs="Arial" w:eastAsia="Arial" w:hAnsi="Arial"/>
                <w:sz w:val="14"/>
                <w:szCs w:val="14"/>
                <w:color w:val="auto"/>
              </w:rPr>
              <w:t>5,174</w:t>
            </w:r>
          </w:p>
        </w:tc>
        <w:tc>
          <w:tcPr>
            <w:tcW w:w="18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(1,242)</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3,932</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6,904</w:t>
            </w:r>
          </w:p>
        </w:tc>
        <w:tc>
          <w:tcPr>
            <w:tcW w:w="2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(1,657)</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5,247</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16,062</w:t>
            </w:r>
          </w:p>
        </w:tc>
        <w:tc>
          <w:tcPr>
            <w:tcW w:w="2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w w:val="99"/>
              </w:rPr>
              <w:t>(3,855)</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12,207</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20,345</w:t>
            </w:r>
          </w:p>
        </w:tc>
        <w:tc>
          <w:tcPr>
            <w:tcW w:w="1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(4,883)</w:t>
            </w:r>
          </w:p>
        </w:tc>
        <w:tc>
          <w:tcPr>
            <w:tcW w:w="660" w:type="dxa"/>
            <w:vAlign w:val="bottom"/>
          </w:tcPr>
          <w:p>
            <w:pPr>
              <w:jc w:val="right"/>
              <w:spacing w:after="0"/>
              <w:rPr>
                <w:sz w:val="20"/>
                <w:szCs w:val="20"/>
                <w:color w:val="auto"/>
              </w:rPr>
            </w:pPr>
            <w:r>
              <w:rPr>
                <w:rFonts w:ascii="Arial" w:cs="Arial" w:eastAsia="Arial" w:hAnsi="Arial"/>
                <w:sz w:val="14"/>
                <w:szCs w:val="14"/>
                <w:color w:val="auto"/>
              </w:rPr>
              <w:t>15,462</w:t>
            </w:r>
          </w:p>
        </w:tc>
      </w:tr>
      <w:tr>
        <w:trPr>
          <w:trHeight w:val="540"/>
        </w:trPr>
        <w:tc>
          <w:tcPr>
            <w:tcW w:w="660" w:type="dxa"/>
            <w:vAlign w:val="bottom"/>
          </w:tcPr>
          <w:p>
            <w:pPr>
              <w:jc w:val="right"/>
              <w:ind w:right="28"/>
              <w:spacing w:after="0"/>
              <w:rPr>
                <w:sz w:val="20"/>
                <w:szCs w:val="20"/>
                <w:color w:val="auto"/>
              </w:rPr>
            </w:pPr>
            <w:r>
              <w:rPr>
                <w:rFonts w:ascii="Arial" w:cs="Arial" w:eastAsia="Arial" w:hAnsi="Arial"/>
                <w:sz w:val="14"/>
                <w:szCs w:val="14"/>
                <w:color w:val="auto"/>
              </w:rPr>
              <w:t>2,945</w:t>
            </w:r>
          </w:p>
        </w:tc>
        <w:tc>
          <w:tcPr>
            <w:tcW w:w="18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(1,365)</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1,580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891</w:t>
            </w:r>
          </w:p>
        </w:tc>
        <w:tc>
          <w:tcPr>
            <w:tcW w:w="20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680" w:type="dxa"/>
            <w:vAlign w:val="bottom"/>
          </w:tcPr>
          <w:p>
            <w:pPr>
              <w:jc w:val="right"/>
              <w:spacing w:after="0"/>
              <w:rPr>
                <w:sz w:val="20"/>
                <w:szCs w:val="20"/>
                <w:color w:val="auto"/>
              </w:rPr>
            </w:pPr>
            <w:r>
              <w:rPr>
                <w:rFonts w:ascii="Arial" w:cs="Arial" w:eastAsia="Arial" w:hAnsi="Arial"/>
                <w:sz w:val="14"/>
                <w:szCs w:val="14"/>
                <w:color w:val="auto"/>
              </w:rPr>
              <w:t>(538)</w:t>
            </w:r>
          </w:p>
        </w:tc>
        <w:tc>
          <w:tcPr>
            <w:tcW w:w="200" w:type="dxa"/>
            <w:vAlign w:val="bottom"/>
          </w:tcPr>
          <w:p>
            <w:pPr>
              <w:spacing w:after="0"/>
              <w:rPr>
                <w:sz w:val="24"/>
                <w:szCs w:val="2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w w:val="99"/>
              </w:rPr>
              <w:t>(3,096)</w:t>
            </w:r>
          </w:p>
        </w:tc>
        <w:tc>
          <w:tcPr>
            <w:tcW w:w="720" w:type="dxa"/>
            <w:vAlign w:val="bottom"/>
          </w:tcPr>
          <w:p>
            <w:pPr>
              <w:jc w:val="right"/>
              <w:spacing w:after="0"/>
              <w:rPr>
                <w:sz w:val="20"/>
                <w:szCs w:val="20"/>
                <w:color w:val="auto"/>
              </w:rPr>
            </w:pPr>
            <w:r>
              <w:rPr>
                <w:rFonts w:ascii="Arial" w:cs="Arial" w:eastAsia="Arial" w:hAnsi="Arial"/>
                <w:sz w:val="14"/>
                <w:szCs w:val="14"/>
                <w:color w:val="auto"/>
              </w:rPr>
              <w:t>(3,634)</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18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(1,343)</w:t>
            </w:r>
          </w:p>
        </w:tc>
        <w:tc>
          <w:tcPr>
            <w:tcW w:w="660" w:type="dxa"/>
            <w:vAlign w:val="bottom"/>
          </w:tcPr>
          <w:p>
            <w:pPr>
              <w:jc w:val="right"/>
              <w:spacing w:after="0"/>
              <w:rPr>
                <w:sz w:val="20"/>
                <w:szCs w:val="20"/>
                <w:color w:val="auto"/>
              </w:rPr>
            </w:pPr>
            <w:r>
              <w:rPr>
                <w:rFonts w:ascii="Arial" w:cs="Arial" w:eastAsia="Arial" w:hAnsi="Arial"/>
                <w:sz w:val="14"/>
                <w:szCs w:val="14"/>
                <w:color w:val="auto"/>
              </w:rPr>
              <w:t>(1,098)</w:t>
            </w:r>
          </w:p>
        </w:tc>
      </w:tr>
      <w:tr>
        <w:trPr>
          <w:trHeight w:val="203"/>
        </w:trPr>
        <w:tc>
          <w:tcPr>
            <w:tcW w:w="660" w:type="dxa"/>
            <w:vAlign w:val="bottom"/>
          </w:tcPr>
          <w:p>
            <w:pPr>
              <w:jc w:val="right"/>
              <w:ind w:right="28"/>
              <w:spacing w:after="0"/>
              <w:rPr>
                <w:sz w:val="20"/>
                <w:szCs w:val="20"/>
                <w:color w:val="auto"/>
              </w:rPr>
            </w:pPr>
            <w:r>
              <w:rPr>
                <w:rFonts w:ascii="Arial" w:cs="Arial" w:eastAsia="Arial" w:hAnsi="Arial"/>
                <w:sz w:val="14"/>
                <w:szCs w:val="14"/>
                <w:color w:val="auto"/>
              </w:rPr>
              <w:t>4,198</w:t>
            </w:r>
          </w:p>
        </w:tc>
        <w:tc>
          <w:tcPr>
            <w:tcW w:w="18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4,035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2,258</w:t>
            </w:r>
          </w:p>
        </w:tc>
        <w:tc>
          <w:tcPr>
            <w:tcW w:w="2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1,615</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13,451</w:t>
            </w:r>
          </w:p>
        </w:tc>
        <w:tc>
          <w:tcPr>
            <w:tcW w:w="2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w w:val="99"/>
              </w:rPr>
              <w:t>(3,267)</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10,184</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9,143</w:t>
            </w:r>
          </w:p>
        </w:tc>
        <w:tc>
          <w:tcPr>
            <w:tcW w:w="1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(1,666)</w:t>
            </w:r>
          </w:p>
        </w:tc>
        <w:tc>
          <w:tcPr>
            <w:tcW w:w="660" w:type="dxa"/>
            <w:vAlign w:val="bottom"/>
          </w:tcPr>
          <w:p>
            <w:pPr>
              <w:jc w:val="right"/>
              <w:spacing w:after="0"/>
              <w:rPr>
                <w:sz w:val="20"/>
                <w:szCs w:val="20"/>
                <w:color w:val="auto"/>
              </w:rPr>
            </w:pPr>
            <w:r>
              <w:rPr>
                <w:rFonts w:ascii="Arial" w:cs="Arial" w:eastAsia="Arial" w:hAnsi="Arial"/>
                <w:sz w:val="14"/>
                <w:szCs w:val="14"/>
                <w:color w:val="auto"/>
              </w:rPr>
              <w:t>7,477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-1011555</wp:posOffset>
            </wp:positionV>
            <wp:extent cx="707199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-582930</wp:posOffset>
            </wp:positionV>
            <wp:extent cx="707199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-325755</wp:posOffset>
            </wp:positionV>
            <wp:extent cx="707199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220" w:space="140"/>
            <w:col w:w="8780"/>
          </w:cols>
          <w:pgMar w:left="380" w:top="1255" w:right="37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236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Total other comprehensive income</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 (35,253)</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   5,647</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(29,606)</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 (31,367)</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3,698</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(27,669)</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8"/>
              </w:rPr>
              <w:t>$  3,665</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(1,979)</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1,686</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 (52,838)</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6,003</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(46,835)</w:t>
            </w:r>
          </w:p>
        </w:tc>
        <w:tc>
          <w:tcPr>
            <w:tcW w:w="0" w:type="dxa"/>
            <w:vAlign w:val="bottom"/>
          </w:tcPr>
          <w:p>
            <w:pPr>
              <w:spacing w:after="0"/>
              <w:rPr>
                <w:sz w:val="1"/>
                <w:szCs w:val="1"/>
                <w:color w:val="auto"/>
              </w:rPr>
            </w:pPr>
          </w:p>
        </w:tc>
      </w:tr>
      <w:tr>
        <w:trPr>
          <w:trHeight w:val="231"/>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net of tax</w:t>
            </w: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3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$ 488,971</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$ 371,818</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$ 1,514,431</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$ 1,201,686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291465</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40"/>
        <w:spacing w:after="0"/>
        <w:tabs>
          <w:tab w:leader="none" w:pos="380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339725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255" w:right="379" w:bottom="1440" w:gutter="0" w:footer="0" w:header="0"/>
          <w:type w:val="continuous"/>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Arial" w:cs="Arial" w:eastAsia="Arial" w:hAnsi="Arial"/>
                <w:sz w:val="18"/>
                <w:szCs w:val="18"/>
                <w:b w:val="1"/>
                <w:bCs w:val="1"/>
                <w:color w:val="auto"/>
              </w:rPr>
              <w:t>THE HERSHEY COMPANY</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gridSpan w:val="2"/>
          </w:tcPr>
          <w:p>
            <w:pPr>
              <w:jc w:val="center"/>
              <w:ind w:left="3730"/>
              <w:spacing w:after="0"/>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Arial" w:cs="Arial" w:eastAsia="Arial" w:hAnsi="Arial"/>
                <w:sz w:val="18"/>
                <w:szCs w:val="18"/>
                <w:b w:val="1"/>
                <w:bCs w:val="1"/>
                <w:color w:val="auto"/>
                <w:w w:val="88"/>
              </w:rPr>
              <w:t>(in thousands, except share data)</w:t>
            </w: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1, 2023</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463,889</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Accounts receivable—trade, net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1,127,728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711,203</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1,173,119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2,620,406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3,156,064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2,769,702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2,606,956</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Other intangibles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1,907,371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1,966,269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944,989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40,498</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10,948,820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1,085,016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970,558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832,518</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Accrued income taxes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54,864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debt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693,790</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753,578</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3,257,154</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4,086,087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3,343,977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719,742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7,968,031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7,649,276</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Arial" w:cs="Arial" w:eastAsia="Arial" w:hAnsi="Arial"/>
                <w:sz w:val="18"/>
                <w:szCs w:val="18"/>
                <w:color w:val="auto"/>
              </w:rPr>
              <w:t>The Hershey Company stockholders’ equity</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stock, shares issued: none in 2023 and 2022</w:t>
            </w: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Arial" w:cs="Arial" w:eastAsia="Arial" w:hAnsi="Arial"/>
                <w:sz w:val="18"/>
                <w:szCs w:val="18"/>
                <w:color w:val="auto"/>
                <w:w w:val="97"/>
              </w:rPr>
              <w:t>Common stock, shares issued: 166,938,702 at October 1, 2023 and 163,439,248 at</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Arial" w:cs="Arial" w:eastAsia="Arial" w:hAnsi="Arial"/>
                <w:sz w:val="18"/>
                <w:szCs w:val="18"/>
                <w:color w:val="auto"/>
              </w:rPr>
              <w:t>December 31, 2022</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166,939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163,439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Class B common stock, shares issued: 54,613,514 at October 1, 2023 and 58,113,777 at</w:t>
            </w: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2022</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58,114</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1,321,533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1,296,572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3,589,781</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Arial" w:cs="Arial" w:eastAsia="Arial" w:hAnsi="Arial"/>
                <w:sz w:val="18"/>
                <w:szCs w:val="18"/>
                <w:color w:val="auto"/>
                <w:w w:val="90"/>
              </w:rPr>
              <w:t>Treasury—common stock shares, at cost: 17,063,009 at October 1, 2023 and 16,588,308</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Arial" w:cs="Arial" w:eastAsia="Arial" w:hAnsi="Arial"/>
                <w:sz w:val="18"/>
                <w:szCs w:val="18"/>
                <w:color w:val="auto"/>
              </w:rPr>
              <w:t>at December 31, 2022</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(1,776,262)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(1,556,029)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(252,333)</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3,967,640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3,299,544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10,948,820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October 2, 2022</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4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Net income</w:t>
            </w:r>
          </w:p>
        </w:tc>
        <w:tc>
          <w:tcPr>
            <w:tcW w:w="4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1,512,745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1,248,521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Depreciation and amortization</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303,096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279,082</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50,640</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Deferred income taxes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(9,751)</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Write-down of equity investments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70,754</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Other</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92,632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Changes in assets and liabilities, net of business acquisition: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rPr>
              <w:t>Accounts receivable—trade, net</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(409,688)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(259,064)</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Inventories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(201,425)</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w w:val="91"/>
              </w:rPr>
              <w:t>Prepaid expenses and other current assets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(40,565)</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w w:val="98"/>
              </w:rPr>
              <w:t>Accounts payable and accrued liabilities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248,230</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rPr>
              <w:t>Accrued income taxes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124,965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Contributions to pension and other benefit plans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(16,639)</w:t>
            </w:r>
          </w:p>
        </w:tc>
      </w:tr>
      <w:tr>
        <w:trPr>
          <w:trHeight w:val="213"/>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ind w:left="980"/>
              <w:spacing w:after="0"/>
              <w:rPr>
                <w:sz w:val="20"/>
                <w:szCs w:val="20"/>
                <w:color w:val="auto"/>
              </w:rPr>
            </w:pPr>
            <w:r>
              <w:rPr>
                <w:rFonts w:ascii="Arial" w:cs="Arial" w:eastAsia="Arial" w:hAnsi="Arial"/>
                <w:sz w:val="16"/>
                <w:szCs w:val="16"/>
                <w:color w:val="auto"/>
              </w:rPr>
              <w:t>Other assets and liabilities</w:t>
            </w:r>
          </w:p>
        </w:tc>
        <w:tc>
          <w:tcPr>
            <w:tcW w:w="4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(27,186)</w:t>
            </w:r>
          </w:p>
        </w:tc>
      </w:tr>
      <w:tr>
        <w:trPr>
          <w:trHeight w:val="213"/>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4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1,560,194</w:t>
            </w:r>
          </w:p>
        </w:tc>
      </w:tr>
      <w:tr>
        <w:trPr>
          <w:trHeight w:val="193"/>
        </w:trPr>
        <w:tc>
          <w:tcPr>
            <w:tcW w:w="20" w:type="dxa"/>
            <w:vAlign w:val="bottom"/>
          </w:tcPr>
          <w:p>
            <w:pPr>
              <w:spacing w:after="0"/>
              <w:rPr>
                <w:sz w:val="16"/>
                <w:szCs w:val="16"/>
                <w:color w:val="auto"/>
              </w:rPr>
            </w:pPr>
          </w:p>
        </w:tc>
        <w:tc>
          <w:tcPr>
            <w:tcW w:w="38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Investing Activities</w:t>
            </w: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Capital additions (including software)</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(359,993)</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540"/>
              <w:spacing w:after="0"/>
              <w:rPr>
                <w:sz w:val="20"/>
                <w:szCs w:val="20"/>
                <w:color w:val="auto"/>
              </w:rPr>
            </w:pPr>
            <w:r>
              <w:rPr>
                <w:rFonts w:ascii="Arial" w:cs="Arial" w:eastAsia="Arial" w:hAnsi="Arial"/>
                <w:sz w:val="16"/>
                <w:szCs w:val="16"/>
                <w:color w:val="auto"/>
              </w:rPr>
              <w:t>Equity investments in tax credit qualifying partnerships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(159,713)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Business acquisitions, net of cash and cash equivalents acquired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Other investing activities</w:t>
            </w:r>
          </w:p>
        </w:tc>
        <w:tc>
          <w:tcPr>
            <w:tcW w:w="4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w:t>
            </w:r>
          </w:p>
        </w:tc>
      </w:tr>
      <w:tr>
        <w:trPr>
          <w:trHeight w:val="213"/>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4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(735,543)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(509,976)</w:t>
            </w:r>
          </w:p>
        </w:tc>
      </w:tr>
      <w:tr>
        <w:trPr>
          <w:trHeight w:val="193"/>
        </w:trPr>
        <w:tc>
          <w:tcPr>
            <w:tcW w:w="20" w:type="dxa"/>
            <w:vAlign w:val="bottom"/>
          </w:tcPr>
          <w:p>
            <w:pPr>
              <w:spacing w:after="0"/>
              <w:rPr>
                <w:sz w:val="16"/>
                <w:szCs w:val="16"/>
                <w:color w:val="auto"/>
              </w:rPr>
            </w:pPr>
          </w:p>
        </w:tc>
        <w:tc>
          <w:tcPr>
            <w:tcW w:w="3800" w:type="dxa"/>
            <w:vAlign w:val="bottom"/>
            <w:gridSpan w:val="2"/>
          </w:tcPr>
          <w:p>
            <w:pPr>
              <w:ind w:left="200"/>
              <w:spacing w:after="0"/>
              <w:rPr>
                <w:sz w:val="20"/>
                <w:szCs w:val="20"/>
                <w:color w:val="auto"/>
              </w:rPr>
            </w:pPr>
            <w:r>
              <w:rPr>
                <w:rFonts w:ascii="Arial" w:cs="Arial" w:eastAsia="Arial" w:hAnsi="Arial"/>
                <w:sz w:val="16"/>
                <w:szCs w:val="16"/>
                <w:b w:val="1"/>
                <w:bCs w:val="1"/>
                <w:color w:val="auto"/>
              </w:rPr>
              <w:t>Financing Activities</w:t>
            </w: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Net increase (decrease) in short-term debt</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(145,552)</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w w:val="92"/>
              </w:rPr>
              <w:t>Long-term borrowings, net of debt issuance costs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744,092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93"/>
              </w:rPr>
              <w:t>Repayment of long-term debt and finance leases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Cash dividends paid</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(651,266)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(567,989)</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Repurchase of common stock</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(355,271)</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Proceeds from exercised stock options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30,824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Taxes withheld and paid on employee stock awards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(34,722)</w:t>
            </w:r>
          </w:p>
        </w:tc>
      </w:tr>
      <w:tr>
        <w:trPr>
          <w:trHeight w:val="206"/>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4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(784,365)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(1,076,031)</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24,288</w:t>
            </w:r>
          </w:p>
        </w:tc>
      </w:tr>
      <w:tr>
        <w:trPr>
          <w:trHeight w:val="206"/>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w w:val="99"/>
              </w:rPr>
              <w:t>Net increase (decrease) in cash and cash equivalents</w:t>
            </w:r>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(1,525)</w:t>
            </w:r>
          </w:p>
        </w:tc>
      </w:tr>
      <w:tr>
        <w:trPr>
          <w:trHeight w:val="216"/>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4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329,266</w:t>
            </w: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4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Supplemental Disclosure</w:t>
            </w:r>
          </w:p>
        </w:tc>
        <w:tc>
          <w:tcPr>
            <w:tcW w:w="4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111,678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90,787</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190,724</w:t>
            </w:r>
          </w:p>
        </w:tc>
      </w:tr>
      <w:tr>
        <w:trPr>
          <w:trHeight w:val="55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2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88"/>
              </w:rPr>
              <w:t>See Notes to Unaudited Consolidated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75"/>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280" w:type="dxa"/>
            <w:vAlign w:val="bottom"/>
          </w:tcPr>
          <w:p>
            <w:pPr>
              <w:jc w:val="center"/>
              <w:ind w:right="599"/>
              <w:spacing w:after="0"/>
              <w:rPr>
                <w:sz w:val="20"/>
                <w:szCs w:val="20"/>
                <w:color w:val="auto"/>
              </w:rPr>
            </w:pPr>
            <w:r>
              <w:rPr>
                <w:rFonts w:ascii="Arial" w:cs="Arial" w:eastAsia="Arial" w:hAnsi="Arial"/>
                <w:sz w:val="16"/>
                <w:szCs w:val="16"/>
                <w:color w:val="auto"/>
                <w:w w:val="90"/>
              </w:rPr>
              <w:t>The Hershey Company | Q3 2023 Form 10-Q | Page 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HERSHEY COMPANY</w:t>
      </w:r>
    </w:p>
    <w:p>
      <w:pPr>
        <w:jc w:val="center"/>
        <w:ind w:right="-119"/>
        <w:spacing w:after="0" w:line="219"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03" w:lineRule="auto"/>
        <w:rPr>
          <w:sz w:val="20"/>
          <w:szCs w:val="20"/>
          <w:color w:val="auto"/>
        </w:rPr>
      </w:pPr>
      <w:r>
        <w:rPr>
          <w:rFonts w:ascii="Arial" w:cs="Arial" w:eastAsia="Arial" w:hAnsi="Arial"/>
          <w:sz w:val="18"/>
          <w:szCs w:val="18"/>
          <w:b w:val="1"/>
          <w:bCs w:val="1"/>
          <w:color w:val="auto"/>
        </w:rPr>
        <w:t>For the Three Months Ended October 1, 2023 and October 2, 2022</w:t>
      </w:r>
    </w:p>
    <w:p>
      <w:pPr>
        <w:ind w:left="5140"/>
        <w:spacing w:after="0" w:line="20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9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July 2, 2023</w:t>
            </w: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166,939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54,614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1,301,247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4,171,010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(1,777,984)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(221,041)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3,694,785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518,577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518,577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Dividends (including dividend equivalents):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Common Stock, $1.192 per share</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(178,978)</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Class B Common Stock, $1.083 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Conversion of Class B Common Stock into Common</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6"/>
              </w:rPr>
              <w:t>Exercise of stock options and incentive-based transactions</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Repurchase of common stock (including excise tax)</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October 1, 2023</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166,939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1,321,533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4,451,463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(1,776,262)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3,967,640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24"/>
                <w:szCs w:val="24"/>
                <w:color w:val="auto"/>
              </w:rPr>
            </w:pPr>
          </w:p>
        </w:tc>
        <w:tc>
          <w:tcPr>
            <w:tcW w:w="9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 2022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1,258,091</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3,208,598</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(1,528,121)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(268,381)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2,891,740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399,487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(27,669)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Common Stock, $1.036 per share</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(152,144)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(152,144)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20"/>
              <w:spacing w:after="0"/>
              <w:rPr>
                <w:sz w:val="20"/>
                <w:szCs w:val="20"/>
                <w:color w:val="auto"/>
              </w:rPr>
            </w:pPr>
            <w:r>
              <w:rPr>
                <w:rFonts w:ascii="Arial" w:cs="Arial" w:eastAsia="Arial" w:hAnsi="Arial"/>
                <w:sz w:val="14"/>
                <w:szCs w:val="14"/>
                <w:color w:val="auto"/>
              </w:rPr>
              <w:t>Class B Common Stock, $0.942 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(54,743)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18,132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w w:val="95"/>
              </w:rPr>
              <w:t>Exercise of stock options and incentive-based transactions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2, 2022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1,280,462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3,401,198</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(1,524,083)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283210</wp:posOffset>
            </wp:positionV>
            <wp:extent cx="1968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50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19"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03" w:lineRule="auto"/>
        <w:rPr>
          <w:sz w:val="20"/>
          <w:szCs w:val="20"/>
          <w:color w:val="auto"/>
        </w:rPr>
      </w:pPr>
      <w:r>
        <w:rPr>
          <w:rFonts w:ascii="Arial" w:cs="Arial" w:eastAsia="Arial" w:hAnsi="Arial"/>
          <w:sz w:val="18"/>
          <w:szCs w:val="18"/>
          <w:b w:val="1"/>
          <w:bCs w:val="1"/>
          <w:color w:val="auto"/>
        </w:rPr>
        <w:t>For the Nine Months Ended October 1, 2023 and October 2, 2022</w:t>
      </w:r>
    </w:p>
    <w:p>
      <w:pPr>
        <w:ind w:left="5140"/>
        <w:spacing w:after="0" w:line="20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(Loss) Income</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1,296,572</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3,589,781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(1,556,029)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(252,333)</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3,299,544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1,512,745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1,512,745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Stock, $3.264 per share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(484,314)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(484,314)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180"/>
              <w:spacing w:after="0"/>
              <w:rPr>
                <w:sz w:val="20"/>
                <w:szCs w:val="20"/>
                <w:color w:val="auto"/>
              </w:rPr>
            </w:pPr>
            <w:r>
              <w:rPr>
                <w:rFonts w:ascii="Arial" w:cs="Arial" w:eastAsia="Arial" w:hAnsi="Arial"/>
                <w:sz w:val="14"/>
                <w:szCs w:val="14"/>
                <w:color w:val="auto"/>
              </w:rPr>
              <w:t>Class B Common Stock, $2.967 per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(166,749)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(166,749)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Conversion of Class B Common Stock into Common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(3,500)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56,644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56,644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6"/>
              </w:rPr>
              <w:t>Exercise of stock options and incentive-based transactions</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(31,683)</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21,858</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(9,825)</w:t>
            </w: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 (including excise tax)</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(242,091)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(242,091)</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1, 2023</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166,939</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54,614</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1,321,533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4,451,463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(1,776,262)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(250,647)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3,967,640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104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95"/>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160,939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60,614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1,260,331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2,719,936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(1,195,376)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(249,215)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2,757,229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1,248,521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1,248,521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(46,835)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Common Stock, $2.838 per share</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(414,869)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(414,869)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20"/>
              <w:spacing w:after="0"/>
              <w:rPr>
                <w:sz w:val="20"/>
                <w:szCs w:val="20"/>
                <w:color w:val="auto"/>
              </w:rPr>
            </w:pPr>
            <w:r>
              <w:rPr>
                <w:rFonts w:ascii="Arial" w:cs="Arial" w:eastAsia="Arial" w:hAnsi="Arial"/>
                <w:sz w:val="14"/>
                <w:szCs w:val="14"/>
                <w:color w:val="auto"/>
              </w:rPr>
              <w:t>Class B Common Stock, $2.58 per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(152,390)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(152,390)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35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Conversion of Class B Common Stock into Common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50,592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50,592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Exercise of stock options and incentive-based transactions</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(30,461)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26,564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(355,271)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(355,271)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2, 2022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1,280,462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3,401,198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(1,524,083)</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(296,050)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591820</wp:posOffset>
            </wp:positionV>
            <wp:extent cx="1968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0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results for the quarter ended October 1, 2023 may not be indicative of the results that may be expected for the year ending December 31, 2023 because of seasonal effects on our business. These financial statements should be read in conjunction with our Annual Report on Form 10-K for the year ended December 31, 2022 (our “2022 Annual Report on Form 10-K”), which provides a more complete understanding of our accounting policies, financial position, operating results and other matters.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September 2022, the FASB issued ASU No. 2022-04, </w:t>
      </w:r>
      <w:r>
        <w:rPr>
          <w:rFonts w:ascii="Arial" w:cs="Arial" w:eastAsia="Arial" w:hAnsi="Arial"/>
          <w:sz w:val="18"/>
          <w:szCs w:val="18"/>
          <w:i w:val="1"/>
          <w:iCs w:val="1"/>
          <w:color w:val="auto"/>
        </w:rPr>
        <w:t>Liabilities—Supplier Finance Programs (Subtopic 405-50):</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Disclosure of Supplier Finance Program Obligations</w:t>
      </w:r>
      <w:r>
        <w:rPr>
          <w:rFonts w:ascii="Arial" w:cs="Arial" w:eastAsia="Arial" w:hAnsi="Arial"/>
          <w:sz w:val="17"/>
          <w:szCs w:val="17"/>
          <w:color w:val="auto"/>
        </w:rPr>
        <w:t>. This ASU requires a buyer in a supplier finance program to disclose qualitative and quantitative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will be adopted in the fourth quarter of 2023. As a result of the adoption of this new standard, we made the required disclosures in the consolidated financial statements.</w:t>
      </w:r>
    </w:p>
    <w:p>
      <w:pPr>
        <w:spacing w:after="0" w:line="1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This ASU requires an acquirer to recognize and measure contract assets and contract liabilities acquired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combination in accordance with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As a result, we adopted the provisions of this ASU in the first quarter of 2023. This new standard was not applicable to the May 2023 acquisition (as discussed in </w:t>
      </w:r>
      <w:r>
        <w:rPr>
          <w:rFonts w:ascii="Arial" w:cs="Arial" w:eastAsia="Arial" w:hAnsi="Arial"/>
          <w:sz w:val="16"/>
          <w:szCs w:val="16"/>
          <w:u w:val="single" w:color="auto"/>
          <w:color w:val="0000FF"/>
        </w:rPr>
        <w:t>Note 2</w:t>
      </w:r>
      <w:r>
        <w:rPr>
          <w:rFonts w:ascii="Arial" w:cs="Arial" w:eastAsia="Arial" w:hAnsi="Arial"/>
          <w:sz w:val="16"/>
          <w:szCs w:val="16"/>
          <w:color w:val="auto"/>
        </w:rPr>
        <w:t>); however, will be applied in relevant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508000</wp:posOffset>
            </wp:positionV>
            <wp:extent cx="1968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2023, the FASB issued ASU No. 2023-02, </w:t>
      </w:r>
      <w:r>
        <w:rPr>
          <w:rFonts w:ascii="Arial" w:cs="Arial" w:eastAsia="Arial" w:hAnsi="Arial"/>
          <w:sz w:val="16"/>
          <w:szCs w:val="16"/>
          <w:i w:val="1"/>
          <w:iCs w:val="1"/>
          <w:color w:val="auto"/>
        </w:rPr>
        <w:t>Investments - Equity Method and Joint Ventures (Topic 323): Accounting for Investments in tax credit</w:t>
      </w:r>
    </w:p>
    <w:p>
      <w:pPr>
        <w:spacing w:after="0" w:line="46" w:lineRule="exact"/>
        <w:rPr>
          <w:sz w:val="20"/>
          <w:szCs w:val="20"/>
          <w:color w:val="auto"/>
        </w:rPr>
      </w:pPr>
    </w:p>
    <w:p>
      <w:pPr>
        <w:ind w:right="420"/>
        <w:spacing w:after="0" w:line="292" w:lineRule="auto"/>
        <w:rPr>
          <w:sz w:val="20"/>
          <w:szCs w:val="20"/>
          <w:color w:val="auto"/>
        </w:rPr>
      </w:pPr>
      <w:r>
        <w:rPr>
          <w:rFonts w:ascii="Arial" w:cs="Arial" w:eastAsia="Arial" w:hAnsi="Arial"/>
          <w:sz w:val="16"/>
          <w:szCs w:val="16"/>
          <w:i w:val="1"/>
          <w:iCs w:val="1"/>
          <w:color w:val="auto"/>
        </w:rPr>
        <w:t xml:space="preserve">structures using the proportional amortization method. </w:t>
      </w:r>
      <w:r>
        <w:rPr>
          <w:rFonts w:ascii="Arial" w:cs="Arial" w:eastAsia="Arial" w:hAnsi="Arial"/>
          <w:sz w:val="16"/>
          <w:szCs w:val="16"/>
          <w:color w:val="auto"/>
        </w:rPr>
        <w:t>This ASU allows entities to elect the proportional amortization method for all tax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regardless of how the tax credits are received as long as certain criteria are met. This ASU may be applied in a modified retrospective or retrospective basis and an entity must evaluate the investments in which it still expects to receive tax credits or other income tax benefits as of the beginning of the earliest period presented. ASU 2023-02 is effective for annual periods beginning after December 15, 2023 and interim periods within those annual periods. We are currently evaluating the impact of the new standard on our consolidated financial statements and related disclosures.</w:t>
      </w:r>
    </w:p>
    <w:p>
      <w:pPr>
        <w:spacing w:after="0" w:line="1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Capacity</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Arial" w:cs="Arial" w:eastAsia="Arial" w:hAnsi="Arial"/>
          <w:sz w:val="18"/>
          <w:szCs w:val="18"/>
          <w:i w:val="1"/>
          <w:iCs w:val="1"/>
          <w:color w:val="auto"/>
        </w:rPr>
        <w:t xml:space="preserve">SkinnyPop </w:t>
      </w:r>
      <w:r>
        <w:rPr>
          <w:rFonts w:ascii="Arial" w:cs="Arial" w:eastAsia="Arial" w:hAnsi="Arial"/>
          <w:sz w:val="18"/>
          <w:szCs w:val="18"/>
          <w:color w:val="auto"/>
        </w:rPr>
        <w:t>brand. The initial cash consideration paid for Weaver totaled $165,818 and consisted of cash on hand and short-term borrowings. Acquisition-related costs for the Weaver acquisition were immaterial.</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acquisition has been accounted for as a business combination and, accordingly, Weaver has been included within the North America Salty Snacks segment from the date of acquisition. The preliminary purchase consideration was allocated to assets acquired and liabilities assumed based on their respective fair values and consisted of $85,231 to goodwill, $79,136 to property, plant and equipment, net and $1,451 to other net assets acquired. We are in the process of evaluating additional information necessary to finalize the valuation of assets acquired and liabilities assumed as of the acquisition date including, but not limited to, post-closing adjustments. The final fair value determination is not expected to result in material adjustments to our preliminary purchase price allocation, including goodwill. We expect to finalize the purchase price allocation by the end of 2023.</w:t>
      </w:r>
    </w:p>
    <w:p>
      <w:pPr>
        <w:spacing w:after="0" w:line="1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The goodwill derived from this acquisition is deductible for tax purposes and reflects the value of leveraging our supply chain capabilities to accelerate growth and access to our portfolio of salty snacks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Pretzels Inc.</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cash consideration paid for Pretzels totaled $304,334 and consisted of cash on hand and short-term borrowings. Acquisition-related costs for the Pretzels acquisition were immaterial.</w:t>
      </w:r>
    </w:p>
    <w:p>
      <w:pPr>
        <w:spacing w:after="0" w:line="11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166,191</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26,100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30,835</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100,716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primarily operating lease ROU assets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111,787</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 acquired</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primarily operating lease liabilities</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(109,355)</w:t>
            </w:r>
          </w:p>
        </w:tc>
      </w:tr>
      <w:tr>
        <w:trPr>
          <w:trHeight w:val="248"/>
        </w:trPr>
        <w:tc>
          <w:tcPr>
            <w:tcW w:w="9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304,334</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purchase price allocation presented above has been finalized as of the third quarter of 2022. The measurement period adjustments to the initial allocation were immaterial and based on more detailed information obtained about the specific assets acquired and liabilities assumed, specifically, post-closing adjustments to the working capital acquired including certain holdbacks.</w:t>
      </w:r>
    </w:p>
    <w:p>
      <w:pPr>
        <w:spacing w:after="0" w:line="13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A portion of goodwill derived from this acquisition is deductible for tax purposes and reflects the value of leveraging our brand building expertise, supply chain capabilities and retail relationships to accelerate growth and access to the portfolio of Pretzels’ products.</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Dot's Pretzels, LLC</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Arial" w:cs="Arial" w:eastAsia="Arial" w:hAnsi="Arial"/>
          <w:sz w:val="16"/>
          <w:szCs w:val="16"/>
          <w:i w:val="1"/>
          <w:iCs w:val="1"/>
          <w:color w:val="auto"/>
        </w:rPr>
        <w:t>Dot’s Homestyle Pretzels</w:t>
      </w:r>
      <w:r>
        <w:rPr>
          <w:rFonts w:ascii="Arial" w:cs="Arial" w:eastAsia="Arial" w:hAnsi="Arial"/>
          <w:sz w:val="16"/>
          <w:szCs w:val="16"/>
          <w:color w:val="auto"/>
        </w:rPr>
        <w:t xml:space="preserve"> snacks as its primary product. Dot’s is the fastest-growing scale brand in the pretzel category and complements Hershey’s snacks portfolio. The cash consideration paid for Dot’s totaled $891,169 and consisted of cash on hand and short-term borrowings. Acquisition-related costs for the Dot’s acquisition were immaterial.</w:t>
      </w:r>
    </w:p>
    <w:p>
      <w:pPr>
        <w:spacing w:after="0" w:line="10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284,427</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543,100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51,121</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40,266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(29,946)</w:t>
            </w:r>
          </w:p>
        </w:tc>
      </w:tr>
      <w:tr>
        <w:trPr>
          <w:trHeight w:val="248"/>
        </w:trPr>
        <w:tc>
          <w:tcPr>
            <w:tcW w:w="9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891,169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purchase price allocation presented above has been finalized as of the third quarter of 2022. The measurement period adjustments to the initial allocation were immaterial and based on more detailed information obtained about the specific assets acquired and liabilities assumed, specifically, the refinement of certain assumptions in the value of customer relationships based on an analysis of historical customer-specific data and post-closing adjustments to the working capital acquired including certain holdbacks.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deductible for tax purposes and reflects the value of leveraging our brand building expertise, supply chain capabilities and retail relationships to accelerate growth and access to the portfolio of Dot’s products.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intangible assets include trademarks valued at $336,600 and customer relationships valued at $206,500. Trademarks were assigned an estimated useful life of 33 years and customer relationships were assigned an estimated useful life of 18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nine months ended October 1, 2023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North America</w:t>
            </w: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North America Salty</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2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Confectionery</w:t>
            </w:r>
          </w:p>
        </w:tc>
        <w:tc>
          <w:tcPr>
            <w:tcW w:w="360" w:type="dxa"/>
            <w:vAlign w:val="bottom"/>
          </w:tcPr>
          <w:p>
            <w:pPr>
              <w:spacing w:after="0"/>
              <w:rPr>
                <w:sz w:val="21"/>
                <w:szCs w:val="21"/>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rPr>
              <w:t>Snacks</w:t>
            </w:r>
          </w:p>
        </w:tc>
        <w:tc>
          <w:tcPr>
            <w:tcW w:w="240" w:type="dxa"/>
            <w:vAlign w:val="bottom"/>
          </w:tcPr>
          <w:p>
            <w:pPr>
              <w:spacing w:after="0"/>
              <w:rPr>
                <w:sz w:val="21"/>
                <w:szCs w:val="21"/>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International</w:t>
            </w:r>
          </w:p>
        </w:tc>
        <w:tc>
          <w:tcPr>
            <w:tcW w:w="400" w:type="dxa"/>
            <w:vAlign w:val="bottom"/>
          </w:tcPr>
          <w:p>
            <w:pPr>
              <w:spacing w:after="0"/>
              <w:rPr>
                <w:sz w:val="21"/>
                <w:szCs w:val="21"/>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23"/>
        </w:trPr>
        <w:tc>
          <w:tcPr>
            <w:tcW w:w="36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2,018,430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2,606,956</w:t>
            </w:r>
          </w:p>
        </w:tc>
      </w:tr>
      <w:tr>
        <w:trPr>
          <w:trHeight w:val="189"/>
        </w:trPr>
        <w:tc>
          <w:tcPr>
            <w:tcW w:w="36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 xml:space="preserve">Acquired during the period (see </w:t>
            </w:r>
            <w:r>
              <w:rPr>
                <w:rFonts w:ascii="Arial" w:cs="Arial" w:eastAsia="Arial" w:hAnsi="Arial"/>
                <w:sz w:val="18"/>
                <w:szCs w:val="18"/>
                <w:color w:val="0000FF"/>
              </w:rPr>
              <w:t>Note 2</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7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85,231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85,231</w:t>
            </w:r>
          </w:p>
        </w:tc>
      </w:tr>
      <w:tr>
        <w:trPr>
          <w:trHeight w:val="21"/>
        </w:trPr>
        <w:tc>
          <w:tcPr>
            <w:tcW w:w="23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3"/>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Balance at October 1, 2023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2,018,276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657,002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17,904</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2,693,182</w:t>
            </w:r>
          </w:p>
        </w:tc>
      </w:tr>
      <w:tr>
        <w:trPr>
          <w:trHeight w:val="20"/>
        </w:trPr>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gridSpan w:val="9"/>
          </w:tcPr>
          <w:p>
            <w:pPr>
              <w:spacing w:after="0"/>
              <w:rPr>
                <w:sz w:val="20"/>
                <w:szCs w:val="20"/>
                <w:color w:val="auto"/>
              </w:rPr>
            </w:pPr>
            <w:r>
              <w:rPr>
                <w:rFonts w:ascii="Arial" w:cs="Arial" w:eastAsia="Arial" w:hAnsi="Arial"/>
                <w:sz w:val="18"/>
                <w:szCs w:val="18"/>
                <w:color w:val="auto"/>
                <w:w w:val="95"/>
              </w:rPr>
              <w:t>The following table provides the gross carrying amount and accumulated amortization for each major class of intangible asset: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gridSpan w:val="5"/>
          </w:tcPr>
          <w:p>
            <w:pPr>
              <w:ind w:left="860"/>
              <w:spacing w:after="0"/>
              <w:rPr>
                <w:sz w:val="20"/>
                <w:szCs w:val="20"/>
                <w:color w:val="auto"/>
              </w:rPr>
            </w:pPr>
            <w:r>
              <w:rPr>
                <w:rFonts w:ascii="Arial" w:cs="Arial" w:eastAsia="Arial" w:hAnsi="Arial"/>
                <w:sz w:val="18"/>
                <w:szCs w:val="18"/>
                <w:b w:val="1"/>
                <w:bCs w:val="1"/>
                <w:color w:val="auto"/>
              </w:rPr>
              <w:t>October 1, 2023</w:t>
            </w:r>
          </w:p>
        </w:tc>
        <w:tc>
          <w:tcPr>
            <w:tcW w:w="140" w:type="dxa"/>
            <w:vAlign w:val="bottom"/>
          </w:tcPr>
          <w:p>
            <w:pPr>
              <w:spacing w:after="0"/>
              <w:rPr>
                <w:sz w:val="22"/>
                <w:szCs w:val="22"/>
                <w:color w:val="auto"/>
              </w:rPr>
            </w:pPr>
          </w:p>
        </w:tc>
        <w:tc>
          <w:tcPr>
            <w:tcW w:w="30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 2022</w:t>
            </w:r>
          </w:p>
        </w:tc>
      </w:tr>
      <w:tr>
        <w:trPr>
          <w:trHeight w:val="169"/>
        </w:trPr>
        <w:tc>
          <w:tcPr>
            <w:tcW w:w="4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3"/>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3"/>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5"/>
              </w:rPr>
              <w:t>Accumulated</w:t>
            </w:r>
          </w:p>
        </w:tc>
      </w:tr>
      <w:tr>
        <w:trPr>
          <w:trHeight w:val="239"/>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Amortization</w:t>
            </w: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r>
      <w:tr>
        <w:trPr>
          <w:trHeight w:val="21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1,701,863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(227,276)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1,701,932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(190,045)</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(93,495)</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Patents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(291,593)</w:t>
            </w:r>
          </w:p>
        </w:tc>
      </w:tr>
      <w:tr>
        <w:trPr>
          <w:trHeight w:val="270"/>
        </w:trPr>
        <w:tc>
          <w:tcPr>
            <w:tcW w:w="4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Total amortization expense for the three months ended October 1, 2023 and October 2, 2022 was $19,882 and $19,909, respectively. Total amortization expense for the nine months ended October 1, 2023 and October 2, 2022 was $59,620 and $59,827,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$1.35 billion unsecured revolving credit facility with the option to increase borrowings by an additional $500 million with the consent of the lenders. The credit facility is scheduled to expire on April 26, 2028; however, we may extend the termination date for up to two additional one-year periods upon notice to the administrative agent.</w:t>
      </w:r>
    </w:p>
    <w:p>
      <w:pPr>
        <w:spacing w:after="0" w:line="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agreements governing the credit facility contain certain financial and other covenants, customary representations, warranties and events of default. As of October 1, 2023, we were in compliance with all covenants pertaining to the credit facility, and we had no significant compensating balance agreements that legally restricted access to these funds. For more information, refer to the Consolidated Financial Statements included in our 2022 Annual Report on Form 10-K.</w:t>
      </w:r>
    </w:p>
    <w:p>
      <w:pPr>
        <w:spacing w:after="0" w:line="29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ind w:left="220"/>
              <w:spacing w:after="0"/>
              <w:rPr>
                <w:sz w:val="20"/>
                <w:szCs w:val="20"/>
                <w:color w:val="auto"/>
              </w:rPr>
            </w:pPr>
            <w:r>
              <w:rPr>
                <w:rFonts w:ascii="Arial" w:cs="Arial" w:eastAsia="Arial" w:hAnsi="Arial"/>
                <w:sz w:val="16"/>
                <w:szCs w:val="16"/>
                <w:b w:val="1"/>
                <w:bCs w:val="1"/>
                <w:color w:val="auto"/>
              </w:rPr>
              <w:t>October 1, 2023</w:t>
            </w:r>
          </w:p>
        </w:tc>
        <w:tc>
          <w:tcPr>
            <w:tcW w:w="28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181,988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135,555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commercial paper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637,892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558,235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693,790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interest rate on outstanding commercial paper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4" w:lineRule="exact"/>
              <w:rPr>
                <w:sz w:val="20"/>
                <w:szCs w:val="20"/>
                <w:color w:val="auto"/>
              </w:rPr>
            </w:pPr>
            <w:r>
              <w:rPr>
                <w:rFonts w:ascii="Arial" w:cs="Arial" w:eastAsia="Arial" w:hAnsi="Arial"/>
                <w:sz w:val="18"/>
                <w:szCs w:val="18"/>
                <w:color w:val="auto"/>
              </w:rPr>
              <w:t>5.4 %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right"/>
              <w:spacing w:after="0" w:line="204"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gridSpan w:val="6"/>
          </w:tcPr>
          <w:p>
            <w:pPr>
              <w:spacing w:after="0"/>
              <w:rPr>
                <w:sz w:val="20"/>
                <w:szCs w:val="20"/>
                <w:color w:val="auto"/>
              </w:rPr>
            </w:pPr>
            <w:r>
              <w:rPr>
                <w:rFonts w:ascii="Arial" w:cs="Arial" w:eastAsia="Arial" w:hAnsi="Arial"/>
                <w:sz w:val="16"/>
                <w:szCs w:val="16"/>
                <w:b w:val="1"/>
                <w:bCs w:val="1"/>
                <w:color w:val="auto"/>
              </w:rPr>
              <w:t>Debt Type and Rate</w:t>
            </w:r>
          </w:p>
        </w:tc>
        <w:tc>
          <w:tcPr>
            <w:tcW w:w="2520" w:type="dxa"/>
            <w:vAlign w:val="bottom"/>
            <w:gridSpan w:val="3"/>
          </w:tcPr>
          <w:p>
            <w:pPr>
              <w:jc w:val="right"/>
              <w:ind w:right="990"/>
              <w:spacing w:after="0"/>
              <w:rPr>
                <w:sz w:val="20"/>
                <w:szCs w:val="20"/>
                <w:color w:val="auto"/>
              </w:rPr>
            </w:pPr>
            <w:r>
              <w:rPr>
                <w:rFonts w:ascii="Arial" w:cs="Arial" w:eastAsia="Arial" w:hAnsi="Arial"/>
                <w:sz w:val="16"/>
                <w:szCs w:val="16"/>
                <w:b w:val="1"/>
                <w:bCs w:val="1"/>
                <w:color w:val="auto"/>
              </w:rPr>
              <w:t>Maturity Date</w:t>
            </w: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October 1, 2023</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2022</w:t>
            </w: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(1)</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1, 2023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 (1)</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91"/>
              </w:rPr>
              <w:t>May 15, 2023</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1"/>
              </w:rPr>
              <w:t>November 15, 2024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June 1, 2025</w:t>
            </w:r>
          </w:p>
        </w:tc>
        <w:tc>
          <w:tcPr>
            <w:tcW w:w="1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1"/>
              </w:rPr>
              <w:t>August 21, 2025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91"/>
              </w:rPr>
              <w:t>August 15, 2026</w:t>
            </w:r>
          </w:p>
        </w:tc>
        <w:tc>
          <w:tcPr>
            <w:tcW w:w="1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52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1"/>
              </w:rPr>
              <w:t>August 15, 2027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4.250%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92"/>
              </w:rPr>
              <w:t>May 4, 2028</w:t>
            </w:r>
          </w:p>
        </w:tc>
        <w:tc>
          <w:tcPr>
            <w:tcW w:w="176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2.450%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1"/>
              </w:rPr>
              <w:t>November 15, 2029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1.700%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June 1, 2030</w:t>
            </w:r>
          </w:p>
        </w:tc>
        <w:tc>
          <w:tcPr>
            <w:tcW w:w="176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4.500%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 (2)</w:t>
            </w:r>
          </w:p>
        </w:tc>
        <w:tc>
          <w:tcPr>
            <w:tcW w:w="252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2"/>
              </w:rPr>
              <w:t>May 4, 2033</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91"/>
              </w:rPr>
              <w:t>August 15, 2046</w:t>
            </w:r>
          </w:p>
        </w:tc>
        <w:tc>
          <w:tcPr>
            <w:tcW w:w="17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91"/>
              </w:rPr>
              <w:t>November 15, 2049</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52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June 1, 2050</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Finance lease obligations (see </w:t>
            </w:r>
            <w:r>
              <w:rPr>
                <w:rFonts w:ascii="Arial" w:cs="Arial" w:eastAsia="Arial" w:hAnsi="Arial"/>
                <w:sz w:val="18"/>
                <w:szCs w:val="18"/>
                <w:color w:val="0000FF"/>
              </w:rPr>
              <w:t>Note 7</w:t>
            </w:r>
            <w:r>
              <w:rPr>
                <w:rFonts w:ascii="Arial" w:cs="Arial" w:eastAsia="Arial" w:hAnsi="Arial"/>
                <w:sz w:val="18"/>
                <w:szCs w:val="18"/>
                <w:color w:val="auto"/>
              </w:rPr>
              <w:t>)</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72,696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73,479</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Net impact of interest rate swaps, debt issuance costs and</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(22,457)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(19,563)</w:t>
            </w: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4,097,555</w:t>
            </w: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753,578</w:t>
            </w: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3,343,977</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80" w:hanging="25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May 2023, we repaid $250,000 of 2.625% Notes and $500,000 of 3.375% Notes due upon their maturity.</w:t>
      </w:r>
    </w:p>
    <w:p>
      <w:pPr>
        <w:spacing w:after="0" w:line="63" w:lineRule="exact"/>
        <w:rPr>
          <w:rFonts w:ascii="Arial" w:cs="Arial" w:eastAsia="Arial" w:hAnsi="Arial"/>
          <w:sz w:val="18"/>
          <w:szCs w:val="18"/>
          <w:color w:val="auto"/>
        </w:rPr>
      </w:pPr>
    </w:p>
    <w:p>
      <w:pPr>
        <w:ind w:left="20" w:right="100" w:firstLine="8"/>
        <w:spacing w:after="0" w:line="263"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second quarter of 2023, we issued $350,000 of 4.250% Notes due in May 2028 and $400,000 of 4.500% Notes due in May 2033 (the “2023 Notes”). Proceeds from the issuance of the 2023 Notes, net of discounts and issuance costs, totaled $744,092. The 2023 Notes were issued under a shelf registration on Form S-3 filed in May 2021 that registered an indeterminate amount of debt securities.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interest expense consists of the following:</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gridSpan w:val="5"/>
          </w:tcPr>
          <w:p>
            <w:pPr>
              <w:ind w:left="10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90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October 1, 2023</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October 2, 2022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October 1, 2023</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October 2, 2022</w:t>
            </w:r>
          </w:p>
        </w:tc>
      </w:tr>
      <w:tr>
        <w:trPr>
          <w:trHeight w:val="22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8"/>
              </w:rPr>
              <w:t>45,776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109,526</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4"/>
              </w:rPr>
              <w:t>(3,932)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8"/>
              </w:rPr>
              <w:t>41,844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103,371</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4"/>
              </w:rPr>
              <w:t>(2,089)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8"/>
              </w:rPr>
              <w:t>39,755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101,970</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805815</wp:posOffset>
            </wp:positionV>
            <wp:extent cx="1968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$155,320 as of October 1, 2023 and $243,009 as of December 31, 2022.</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Arial" w:cs="Arial" w:eastAsia="Arial" w:hAnsi="Arial"/>
          <w:sz w:val="18"/>
          <w:szCs w:val="18"/>
          <w:u w:val="single" w:color="auto"/>
          <w:color w:val="0000FF"/>
        </w:rPr>
        <w:t>Note 13</w:t>
      </w:r>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$76,824 at October 1, 2023 and $59,448 at December 31, 2022.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$19,172 at October 1, 2023 and $1,843 at December 31, 2022. The change in fair value on these instruments is recorded directly in cost of sales or selling, marketing and administrative expense, depending on the nature of the underlying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October 1, 2023 and December 31, 2022 was $23,641 and $18,803,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October 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740"/>
              <w:spacing w:after="0"/>
              <w:rPr>
                <w:sz w:val="20"/>
                <w:szCs w:val="20"/>
                <w:color w:val="auto"/>
              </w:rPr>
            </w:pPr>
            <w:r>
              <w:rPr>
                <w:rFonts w:ascii="Arial" w:cs="Arial" w:eastAsia="Arial" w:hAnsi="Arial"/>
                <w:sz w:val="18"/>
                <w:szCs w:val="18"/>
                <w:b w:val="1"/>
                <w:bCs w:val="1"/>
                <w:color w:val="auto"/>
              </w:rPr>
              <w:t>October 1, 2023</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right="40" w:hanging="330"/>
        <w:spacing w:after="0" w:line="277" w:lineRule="auto"/>
        <w:tabs>
          <w:tab w:leader="none" w:pos="494"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8" w:lineRule="exact"/>
        <w:rPr>
          <w:rFonts w:ascii="Arial" w:cs="Arial" w:eastAsia="Arial" w:hAnsi="Arial"/>
          <w:sz w:val="18"/>
          <w:szCs w:val="18"/>
          <w:color w:val="auto"/>
        </w:rPr>
      </w:pPr>
    </w:p>
    <w:p>
      <w:pPr>
        <w:ind w:left="500" w:right="20" w:hanging="330"/>
        <w:spacing w:after="0" w:line="257" w:lineRule="auto"/>
        <w:tabs>
          <w:tab w:leader="none" w:pos="49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October 1, 2023, amounts reflected on a net basis in liabilities were assets of $36,052 and liabilities of $36,023, which are associated with cash transfers receivable or payable on commodities futures contracts reflecting the change in quoted market prices on the last trading day for the period. The comparable amounts reflected on a net basis in liabilities at December 31, 2022 were assets of $25,308 and liabilities of $25,296. At October 1, 2023 and December 31, 2022, the remaining amount reflected in assets and liabilities related to the fair value of other non-exchange traded derivative instruments,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October 1, 2023 and October 2, 2022 was as follows: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w w:val="99"/>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w w:val="92"/>
              </w:rPr>
              <w:t>Gains (losses) recognized in income</w:t>
            </w: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87"/>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8"/>
              </w:rPr>
              <w:t>Gains (losses) reclassified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60"/>
              <w:spacing w:after="0" w:line="162" w:lineRule="exact"/>
              <w:rPr>
                <w:sz w:val="20"/>
                <w:szCs w:val="20"/>
                <w:color w:val="auto"/>
              </w:rPr>
            </w:pPr>
            <w:r>
              <w:rPr>
                <w:rFonts w:ascii="Arial" w:cs="Arial" w:eastAsia="Arial" w:hAnsi="Arial"/>
                <w:sz w:val="16"/>
                <w:szCs w:val="16"/>
                <w:b w:val="1"/>
                <w:bCs w:val="1"/>
                <w:color w:val="auto"/>
                <w:w w:val="95"/>
              </w:rPr>
              <w:t>accumulated OCI (“AOCI”) into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1"/>
              </w:rPr>
              <w:t>income (b)</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 futures and options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Deferred compensation derivatives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24"/>
                <w:szCs w:val="24"/>
                <w:color w:val="auto"/>
              </w:rPr>
            </w:pPr>
          </w:p>
        </w:tc>
        <w:tc>
          <w:tcPr>
            <w:tcW w:w="3940" w:type="dxa"/>
            <w:vAlign w:val="bottom"/>
            <w:gridSpan w:val="9"/>
          </w:tcPr>
          <w:p>
            <w:pPr>
              <w:jc w:val="right"/>
              <w:ind w:right="150"/>
              <w:spacing w:after="0"/>
              <w:rPr>
                <w:sz w:val="20"/>
                <w:szCs w:val="20"/>
                <w:color w:val="auto"/>
              </w:rPr>
            </w:pPr>
            <w:r>
              <w:rPr>
                <w:rFonts w:ascii="Arial" w:cs="Arial" w:eastAsia="Arial" w:hAnsi="Arial"/>
                <w:sz w:val="16"/>
                <w:szCs w:val="16"/>
                <w:color w:val="auto"/>
                <w:w w:val="93"/>
              </w:rPr>
              <w:t>The Hershey Company | Q3 2023 Form 10-Q | Page 15</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9"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The effect of derivative instruments on the Consolidated Statements of Income for the nine months ended October 1, 2023 and October 2, 2022 was as follows:</w:t>
      </w: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w w:val="96"/>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58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w w:val="91"/>
              </w:rPr>
              <w:t>Gains (losses) recognized in income</w:t>
            </w: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87"/>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8"/>
              </w:rPr>
              <w:t>Gains (losses) reclassified from</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Arial" w:cs="Arial" w:eastAsia="Arial" w:hAnsi="Arial"/>
                <w:sz w:val="16"/>
                <w:szCs w:val="16"/>
                <w:b w:val="1"/>
                <w:bCs w:val="1"/>
                <w:color w:val="auto"/>
                <w:w w:val="95"/>
              </w:rPr>
              <w:t>accumulated OCI (“AOCI”) into</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91"/>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1"/>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340" w:hanging="332"/>
        <w:spacing w:after="0" w:line="263"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00" w:hanging="332"/>
        <w:spacing w:after="0" w:line="342" w:lineRule="auto"/>
        <w:tabs>
          <w:tab w:leader="none" w:pos="334"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$17,930 as of October 1, 2023. This amount is primarily associated with interest rate swap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08"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40"/>
        <w:spacing w:after="0" w:line="23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October 1, 2023 and December 31, 2022:</w:t>
      </w: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Assets /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88"/>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October 1, 2023:</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5,561</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r>
      <w:tr>
        <w:trPr>
          <w:trHeight w:val="47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4,167</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bl>
    <w:p>
      <w:pPr>
        <w:spacing w:after="0" w:line="67" w:lineRule="exact"/>
        <w:rPr>
          <w:sz w:val="20"/>
          <w:szCs w:val="20"/>
          <w:color w:val="auto"/>
        </w:rPr>
      </w:pPr>
    </w:p>
    <w:p>
      <w:pPr>
        <w:ind w:left="660" w:right="20" w:hanging="328"/>
        <w:spacing w:after="0" w:line="286"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7"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October 1, 2023 and December 31, 2022 because of the relatively short maturity of these instruments.</w:t>
      </w:r>
    </w:p>
    <w:p>
      <w:pPr>
        <w:spacing w:after="0" w:line="10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5"/>
          </w:tcPr>
          <w:p>
            <w:pPr>
              <w:ind w:left="132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362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3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October 1, 2023</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October 1, 2023</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753,578</w:t>
            </w: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3,499,711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4,086,087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3,343,977</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4,097,555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358140</wp:posOffset>
            </wp:positionV>
            <wp:extent cx="1968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connection with the acquisition of Weaver in May 2023,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we used valuation techniques to determine fair value, with the primary technique being the cost approach to value personal property, which uses significant unobservable inputs, or Level 3 inputs, as defined by the fair value hierarchy. Additionally, in connection with the acquisitions of Pretzels and Dot’s in December 2021 and subsequent measurement period adjustments through the third quarter of 2022,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October 1, 2023 and October 2,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2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October 1, 2023</w:t>
            </w:r>
          </w:p>
        </w:tc>
        <w:tc>
          <w:tcPr>
            <w:tcW w:w="320" w:type="dxa"/>
            <w:vAlign w:val="bottom"/>
          </w:tcPr>
          <w:p>
            <w:pPr>
              <w:spacing w:after="0"/>
              <w:rPr>
                <w:sz w:val="18"/>
                <w:szCs w:val="18"/>
                <w:color w:val="auto"/>
              </w:rPr>
            </w:pPr>
          </w:p>
        </w:tc>
        <w:tc>
          <w:tcPr>
            <w:tcW w:w="1780" w:type="dxa"/>
            <w:vAlign w:val="bottom"/>
          </w:tcPr>
          <w:p>
            <w:pPr>
              <w:jc w:val="right"/>
              <w:ind w:right="412"/>
              <w:spacing w:after="0"/>
              <w:rPr>
                <w:sz w:val="20"/>
                <w:szCs w:val="20"/>
                <w:color w:val="auto"/>
              </w:rPr>
            </w:pPr>
            <w:r>
              <w:rPr>
                <w:rFonts w:ascii="Arial" w:cs="Arial" w:eastAsia="Arial" w:hAnsi="Arial"/>
                <w:sz w:val="16"/>
                <w:szCs w:val="16"/>
                <w:b w:val="1"/>
                <w:bCs w:val="1"/>
                <w:color w:val="auto"/>
              </w:rPr>
              <w:t>October 2, 2022</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nine months ended October 1, 2023 and October 2, 2022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21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October 1, 2023</w:t>
            </w:r>
          </w:p>
        </w:tc>
        <w:tc>
          <w:tcPr>
            <w:tcW w:w="260" w:type="dxa"/>
            <w:vAlign w:val="bottom"/>
          </w:tcPr>
          <w:p>
            <w:pPr>
              <w:spacing w:after="0"/>
              <w:rPr>
                <w:sz w:val="18"/>
                <w:szCs w:val="18"/>
                <w:color w:val="auto"/>
              </w:rPr>
            </w:pPr>
          </w:p>
        </w:tc>
        <w:tc>
          <w:tcPr>
            <w:tcW w:w="1680" w:type="dxa"/>
            <w:vAlign w:val="bottom"/>
          </w:tcPr>
          <w:p>
            <w:pPr>
              <w:jc w:val="right"/>
              <w:ind w:right="332"/>
              <w:spacing w:after="0"/>
              <w:rPr>
                <w:sz w:val="20"/>
                <w:szCs w:val="20"/>
                <w:color w:val="auto"/>
              </w:rPr>
            </w:pPr>
            <w:r>
              <w:rPr>
                <w:rFonts w:ascii="Arial" w:cs="Arial" w:eastAsia="Arial" w:hAnsi="Arial"/>
                <w:sz w:val="16"/>
                <w:szCs w:val="16"/>
                <w:b w:val="1"/>
                <w:bCs w:val="1"/>
                <w:color w:val="auto"/>
              </w:rPr>
              <w:t>October 2, 2022</w:t>
            </w:r>
          </w:p>
        </w:tc>
      </w:tr>
      <w:tr>
        <w:trPr>
          <w:trHeight w:val="226"/>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37,309</w:t>
            </w: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80" w:hanging="310"/>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right="2280" w:firstLine="170"/>
        <w:spacing w:after="0" w:line="30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w w:val="92"/>
              </w:rPr>
              <w:t>October 1, 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86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70"/>
        </w:trPr>
        <w:tc>
          <w:tcPr>
            <w:tcW w:w="70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60" w:type="dxa"/>
            <w:vAlign w:val="bottom"/>
          </w:tcPr>
          <w:p>
            <w:pPr>
              <w:jc w:val="right"/>
              <w:spacing w:after="0"/>
              <w:rPr>
                <w:sz w:val="20"/>
                <w:szCs w:val="20"/>
                <w:color w:val="auto"/>
              </w:rPr>
            </w:pPr>
            <w:r>
              <w:rPr>
                <w:rFonts w:ascii="Arial" w:cs="Arial" w:eastAsia="Arial" w:hAnsi="Arial"/>
                <w:sz w:val="18"/>
                <w:szCs w:val="18"/>
                <w:color w:val="auto"/>
                <w:w w:val="91"/>
              </w:rPr>
              <w:t>3.5 %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50" w:lineRule="exact"/>
        <w:rPr>
          <w:sz w:val="20"/>
          <w:szCs w:val="20"/>
          <w:color w:val="auto"/>
        </w:rPr>
      </w:pPr>
    </w:p>
    <w:p>
      <w:pPr>
        <w:ind w:left="20"/>
        <w:spacing w:after="0"/>
        <w:tabs>
          <w:tab w:leader="none" w:pos="3540" w:val="left"/>
          <w:tab w:leader="none" w:pos="7680" w:val="left"/>
          <w:tab w:leader="none" w:pos="9600" w:val="left"/>
        </w:tabs>
        <w:rPr>
          <w:sz w:val="20"/>
          <w:szCs w:val="20"/>
          <w:color w:val="auto"/>
        </w:rPr>
      </w:pPr>
      <w:r>
        <w:rPr>
          <w:rFonts w:ascii="Arial" w:cs="Arial" w:eastAsia="Arial" w:hAnsi="Arial"/>
          <w:sz w:val="16"/>
          <w:szCs w:val="16"/>
          <w:b w:val="1"/>
          <w:bCs w:val="1"/>
          <w:color w:val="auto"/>
        </w:rPr>
        <w:t>Leases</w:t>
      </w:r>
      <w:r>
        <w:rPr>
          <w:sz w:val="20"/>
          <w:szCs w:val="20"/>
          <w:color w:val="auto"/>
        </w:rPr>
        <w:tab/>
      </w:r>
      <w:r>
        <w:rPr>
          <w:rFonts w:ascii="Arial" w:cs="Arial" w:eastAsia="Arial" w:hAnsi="Arial"/>
          <w:sz w:val="16"/>
          <w:szCs w:val="16"/>
          <w:b w:val="1"/>
          <w:bCs w:val="1"/>
          <w:color w:val="auto"/>
        </w:rPr>
        <w:t>Classification</w:t>
      </w:r>
      <w:r>
        <w:rPr>
          <w:sz w:val="20"/>
          <w:szCs w:val="20"/>
          <w:color w:val="auto"/>
        </w:rPr>
        <w:tab/>
      </w:r>
      <w:r>
        <w:rPr>
          <w:rFonts w:ascii="Arial" w:cs="Arial" w:eastAsia="Arial" w:hAnsi="Arial"/>
          <w:sz w:val="16"/>
          <w:szCs w:val="16"/>
          <w:b w:val="1"/>
          <w:bCs w:val="1"/>
          <w:color w:val="auto"/>
        </w:rPr>
        <w:t>October 1, 2023</w:t>
      </w:r>
      <w:r>
        <w:rPr>
          <w:sz w:val="20"/>
          <w:szCs w:val="20"/>
          <w:color w:val="auto"/>
        </w:rPr>
        <w:tab/>
      </w: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315,524</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326,472</w:t>
            </w:r>
          </w:p>
        </w:tc>
      </w:tr>
      <w:tr>
        <w:trPr>
          <w:trHeight w:val="499"/>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86,129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86,703</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(14,543)</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67,559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72,160</w:t>
            </w:r>
          </w:p>
        </w:tc>
      </w:tr>
      <w:tr>
        <w:trPr>
          <w:trHeight w:val="269"/>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383,083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398,632</w:t>
            </w:r>
          </w:p>
        </w:tc>
      </w:tr>
      <w:tr>
        <w:trPr>
          <w:trHeight w:val="21"/>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31,787</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4,285</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283,967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294,849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68,037</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69,194</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390,983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400,115</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October 1, 2023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leases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13,617</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44,184</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52,699</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37,271</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26,212</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30,469</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29,718</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267,948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142,022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409,970</w:t>
            </w:r>
          </w:p>
        </w:tc>
      </w:tr>
      <w:tr>
        <w:trPr>
          <w:trHeight w:val="22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406,114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167,630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573,744</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182,761</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318,287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390,983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2023</w:t>
            </w:r>
          </w:p>
        </w:tc>
        <w:tc>
          <w:tcPr>
            <w:tcW w:w="280" w:type="dxa"/>
            <w:vAlign w:val="bottom"/>
          </w:tcPr>
          <w:p>
            <w:pPr>
              <w:spacing w:after="0"/>
              <w:rPr>
                <w:sz w:val="18"/>
                <w:szCs w:val="18"/>
                <w:color w:val="auto"/>
              </w:rPr>
            </w:pPr>
          </w:p>
        </w:tc>
        <w:tc>
          <w:tcPr>
            <w:tcW w:w="1700" w:type="dxa"/>
            <w:vAlign w:val="bottom"/>
          </w:tcPr>
          <w:p>
            <w:pPr>
              <w:jc w:val="right"/>
              <w:ind w:right="352"/>
              <w:spacing w:after="0"/>
              <w:rPr>
                <w:sz w:val="20"/>
                <w:szCs w:val="20"/>
                <w:color w:val="auto"/>
              </w:rPr>
            </w:pPr>
            <w:r>
              <w:rPr>
                <w:rFonts w:ascii="Arial" w:cs="Arial" w:eastAsia="Arial" w:hAnsi="Arial"/>
                <w:sz w:val="16"/>
                <w:szCs w:val="16"/>
                <w:b w:val="1"/>
                <w:bCs w:val="1"/>
                <w:color w:val="auto"/>
              </w:rPr>
              <w:t>October 2, 2022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7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8"/>
              </w:rPr>
              <w:t>Operating cash flows from operating leases</w:t>
            </w:r>
          </w:p>
        </w:tc>
        <w:tc>
          <w:tcPr>
            <w:tcW w:w="3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33,872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34,528</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3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3,336</w:t>
            </w: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0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7500" w:type="dxa"/>
            <w:vAlign w:val="bottom"/>
            <w:gridSpan w:val="4"/>
          </w:tcPr>
          <w:p>
            <w:pPr>
              <w:spacing w:after="0"/>
              <w:rPr>
                <w:sz w:val="20"/>
                <w:szCs w:val="20"/>
                <w:color w:val="auto"/>
              </w:rPr>
            </w:pPr>
            <w:r>
              <w:rPr>
                <w:rFonts w:ascii="Arial" w:cs="Arial" w:eastAsia="Arial" w:hAnsi="Arial"/>
                <w:sz w:val="18"/>
                <w:szCs w:val="18"/>
                <w:color w:val="auto"/>
              </w:rPr>
              <w:t>ROU assets obtained in exchange for lease liabilities: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r>
      <w:tr>
        <w:trPr>
          <w:trHeight w:val="230"/>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4,192</w:t>
            </w:r>
          </w:p>
        </w:tc>
      </w:tr>
      <w:tr>
        <w:trPr>
          <w:trHeight w:val="769"/>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96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The Hershey Company | Q3 2023 Form 10-Q | Page 20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Arial" w:cs="Arial" w:eastAsia="Arial" w:hAnsi="Arial"/>
          <w:sz w:val="18"/>
          <w:szCs w:val="18"/>
          <w:u w:val="single" w:color="auto"/>
          <w:color w:val="0000FF"/>
        </w:rPr>
        <w:t>Note 17</w:t>
      </w:r>
      <w:r>
        <w:rPr>
          <w:rFonts w:ascii="Arial" w:cs="Arial" w:eastAsia="Arial" w:hAnsi="Arial"/>
          <w:sz w:val="18"/>
          <w:szCs w:val="18"/>
          <w:color w:val="auto"/>
        </w:rPr>
        <w:t>).</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$126,325 and $133,029 as of October 1, 2023 and December 31, 2022,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84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3"/>
              </w:rPr>
              <w:t>October 2, 2022</w:t>
            </w:r>
          </w:p>
        </w:tc>
      </w:t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(Benefits) costs associated with business realignment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Costs recorded by program during the three and nine months ended October 1, 2023 and October 2, 2022 related to these activities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84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3"/>
              </w:rPr>
              <w:t>October 2, 2022</w:t>
            </w: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Severance and employee benefit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Amounts classified as liabilities qualifying as exit and disposal costs primarily represent employee-related and certain third-party service provider charges, however, such amounts at October 1, 2023 are not 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171"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322580</wp:posOffset>
            </wp:positionV>
            <wp:extent cx="1968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International Optimization Program was originally expected to total pre-tax costs of $50,000 to $75,000, with cash costs in the range of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 This program was completed in 2023.</w:t>
      </w:r>
    </w:p>
    <w:p>
      <w:pPr>
        <w:spacing w:after="0" w:line="13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For the nine months ended October 1, 2023 and October 2, 2022, we recognized total costs associated with the International Optimization Program of $3,440 and $2,373, respectively. These charges predominantly included third-party charges in support of our initiative to transform our China operating model, as well as severance and employee benefit costs. Since inception, we have incurred pre-tax charges to execute the program totaling $53,799.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majority of our taxable income is generated in the United States and taxed at the United States statutory rate of 21%. The effective tax rates for the nine months ended October 1, 2023 and October 2, 2022 were 18.3% and 19.7%, respectively. Relative to the statutory rate, the 2023 effective tax rate was primarily impacted by investment tax credits and employee share-based payments partially offset by state taxes and tax reserves.</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$24,628 within the next 12 months because of the expiration of statutes of limitations and settlements of tax audits.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Inflation Reduction Act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For the nine months ended October 1, 2023, the tax-related provisions of the IRA did not have a material impact on our consolidated financial statements, including our annual effective tax rate, or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October 1, 2023 and October 2, 2022 were as follows:</w:t>
      </w:r>
    </w:p>
    <w:p>
      <w:pPr>
        <w:spacing w:after="0" w:line="145" w:lineRule="exact"/>
        <w:rPr>
          <w:sz w:val="20"/>
          <w:szCs w:val="20"/>
          <w:color w:val="auto"/>
        </w:rPr>
      </w:pPr>
    </w:p>
    <w:p>
      <w:pPr>
        <w:jc w:val="right"/>
        <w:ind w:right="1080"/>
        <w:spacing w:after="0"/>
        <w:tabs>
          <w:tab w:leader="none" w:pos="100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20320</wp:posOffset>
            </wp:positionV>
            <wp:extent cx="40976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jc w:val="center"/>
        <w:ind w:left="50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20320</wp:posOffset>
            </wp:positionV>
            <wp:extent cx="2005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6" w:lineRule="exact"/>
        <w:rPr>
          <w:sz w:val="20"/>
          <w:szCs w:val="20"/>
          <w:color w:val="auto"/>
        </w:rPr>
      </w:pPr>
    </w:p>
    <w:p>
      <w:pPr>
        <w:ind w:left="5000"/>
        <w:spacing w:after="0"/>
        <w:tabs>
          <w:tab w:leader="none" w:pos="6620" w:val="left"/>
        </w:tabs>
        <w:rPr>
          <w:sz w:val="20"/>
          <w:szCs w:val="20"/>
          <w:color w:val="auto"/>
        </w:rPr>
      </w:pPr>
      <w:r>
        <w:rPr>
          <w:rFonts w:ascii="Arial" w:cs="Arial" w:eastAsia="Arial" w:hAnsi="Arial"/>
          <w:sz w:val="16"/>
          <w:szCs w:val="16"/>
          <w:b w:val="1"/>
          <w:bCs w:val="1"/>
          <w:color w:val="auto"/>
        </w:rPr>
        <w:t>October 1, 2023</w:t>
      </w:r>
      <w:r>
        <w:rPr>
          <w:sz w:val="20"/>
          <w:szCs w:val="20"/>
          <w:color w:val="auto"/>
        </w:rPr>
        <w:tab/>
      </w:r>
      <w:r>
        <w:rPr>
          <w:rFonts w:ascii="Arial" w:cs="Arial" w:eastAsia="Arial" w:hAnsi="Arial"/>
          <w:sz w:val="14"/>
          <w:szCs w:val="14"/>
          <w:b w:val="1"/>
          <w:bCs w:val="1"/>
          <w:color w:val="auto"/>
        </w:rPr>
        <w:t>October 2, 2022</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20320</wp:posOffset>
            </wp:positionV>
            <wp:extent cx="20231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b w:val="1"/>
          <w:bCs w:val="1"/>
          <w:color w:val="auto"/>
        </w:rPr>
        <w:t>October 1, 2023</w:t>
      </w:r>
      <w:r>
        <w:rPr>
          <w:sz w:val="20"/>
          <w:szCs w:val="20"/>
          <w:color w:val="auto"/>
        </w:rPr>
        <w:tab/>
      </w:r>
      <w:r>
        <w:rPr>
          <w:rFonts w:ascii="Arial" w:cs="Arial" w:eastAsia="Arial" w:hAnsi="Arial"/>
          <w:sz w:val="14"/>
          <w:szCs w:val="14"/>
          <w:b w:val="1"/>
          <w:bCs w:val="1"/>
          <w:color w:val="auto"/>
        </w:rPr>
        <w:t>October 2, 2022</w:t>
      </w:r>
    </w:p>
    <w:p>
      <w:pPr>
        <w:spacing w:after="0" w:line="26" w:lineRule="exact"/>
        <w:rPr>
          <w:sz w:val="20"/>
          <w:szCs w:val="20"/>
          <w:color w:val="auto"/>
        </w:rPr>
      </w:pPr>
    </w:p>
    <w:p>
      <w:pPr>
        <w:sectPr>
          <w:pgSz w:w="11900" w:h="16838" w:orient="portrait"/>
          <w:cols w:equalWidth="0" w:num="2">
            <w:col w:w="7740" w:space="540"/>
            <w:col w:w="2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4,028</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made contributions of $987 and $5,314 to the pension plans and other benefits plans, respectively, during the third quarter of 2023. In the third quarter of 2022, we made contributions of $824 and $1,484 to our pension plans and other benefit plans, respectively. The contributions in 2023 and 2022 also included benefit payments from our non-qualified pension plans and post-retirement benefit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nine months ended October 1, 2023 and October 2, 2022 were as follows:</w:t>
      </w:r>
    </w:p>
    <w:p>
      <w:pPr>
        <w:spacing w:after="0" w:line="334" w:lineRule="exact"/>
        <w:rPr>
          <w:sz w:val="20"/>
          <w:szCs w:val="20"/>
          <w:color w:val="auto"/>
        </w:rPr>
      </w:pPr>
    </w:p>
    <w:p>
      <w:pPr>
        <w:ind w:left="5800"/>
        <w:spacing w:after="0"/>
        <w:tabs>
          <w:tab w:leader="none" w:pos="912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20320</wp:posOffset>
            </wp:positionV>
            <wp:extent cx="40976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46" w:lineRule="exact"/>
        <w:rPr>
          <w:sz w:val="20"/>
          <w:szCs w:val="20"/>
          <w:color w:val="auto"/>
        </w:rPr>
      </w:pPr>
    </w:p>
    <w:p>
      <w:pPr>
        <w:jc w:val="center"/>
        <w:ind w:left="498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20320</wp:posOffset>
            </wp:positionV>
            <wp:extent cx="20059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6" w:lineRule="exact"/>
        <w:rPr>
          <w:sz w:val="20"/>
          <w:szCs w:val="20"/>
          <w:color w:val="auto"/>
        </w:rPr>
      </w:pPr>
    </w:p>
    <w:p>
      <w:pPr>
        <w:ind w:left="5000"/>
        <w:spacing w:after="0"/>
        <w:tabs>
          <w:tab w:leader="none" w:pos="6620" w:val="left"/>
        </w:tabs>
        <w:rPr>
          <w:sz w:val="20"/>
          <w:szCs w:val="20"/>
          <w:color w:val="auto"/>
        </w:rPr>
      </w:pPr>
      <w:r>
        <w:rPr>
          <w:rFonts w:ascii="Arial" w:cs="Arial" w:eastAsia="Arial" w:hAnsi="Arial"/>
          <w:sz w:val="16"/>
          <w:szCs w:val="16"/>
          <w:b w:val="1"/>
          <w:bCs w:val="1"/>
          <w:color w:val="auto"/>
        </w:rPr>
        <w:t>October 1, 2023</w:t>
      </w:r>
      <w:r>
        <w:rPr>
          <w:sz w:val="20"/>
          <w:szCs w:val="20"/>
          <w:color w:val="auto"/>
        </w:rPr>
        <w:tab/>
      </w:r>
      <w:r>
        <w:rPr>
          <w:rFonts w:ascii="Arial" w:cs="Arial" w:eastAsia="Arial" w:hAnsi="Arial"/>
          <w:sz w:val="14"/>
          <w:szCs w:val="14"/>
          <w:b w:val="1"/>
          <w:bCs w:val="1"/>
          <w:color w:val="auto"/>
        </w:rPr>
        <w:t>October 2, 2022</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20320</wp:posOffset>
            </wp:positionV>
            <wp:extent cx="20231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b w:val="1"/>
          <w:bCs w:val="1"/>
          <w:color w:val="auto"/>
        </w:rPr>
        <w:t>October 1, 2023</w:t>
      </w:r>
      <w:r>
        <w:rPr>
          <w:sz w:val="20"/>
          <w:szCs w:val="20"/>
          <w:color w:val="auto"/>
        </w:rPr>
        <w:tab/>
      </w:r>
      <w:r>
        <w:rPr>
          <w:rFonts w:ascii="Arial" w:cs="Arial" w:eastAsia="Arial" w:hAnsi="Arial"/>
          <w:sz w:val="14"/>
          <w:szCs w:val="14"/>
          <w:b w:val="1"/>
          <w:bCs w:val="1"/>
          <w:color w:val="auto"/>
        </w:rPr>
        <w:t>October 2, 2022</w:t>
      </w:r>
    </w:p>
    <w:p>
      <w:pPr>
        <w:spacing w:after="0" w:line="26" w:lineRule="exact"/>
        <w:rPr>
          <w:sz w:val="20"/>
          <w:szCs w:val="20"/>
          <w:color w:val="auto"/>
        </w:rPr>
      </w:pPr>
    </w:p>
    <w:p>
      <w:pPr>
        <w:sectPr>
          <w:pgSz w:w="11900" w:h="16838" w:orient="portrait"/>
          <w:cols w:equalWidth="0" w:num="2">
            <w:col w:w="7740" w:space="540"/>
            <w:col w:w="2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13,639</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made contributions of $4,849 and $16,224 to the pension plans and other benefits plans, respectively, during the first nine months of 2023. In the first nine months of 2022, we made contributions of $4,580 and $12,059 to our pension plans and other benefit plans, respectively. The contributions in 2023 and 2022 also included benefit payments from our non-qualified pension plans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Arial" w:cs="Arial" w:eastAsia="Arial" w:hAnsi="Arial"/>
          <w:sz w:val="18"/>
          <w:szCs w:val="18"/>
          <w:u w:val="single" w:color="auto"/>
          <w:color w:val="0000FF"/>
        </w:rPr>
        <w:t>Note 17</w:t>
      </w:r>
      <w:r>
        <w:rPr>
          <w:rFonts w:ascii="Arial" w:cs="Arial" w:eastAsia="Arial" w:hAnsi="Arial"/>
          <w:sz w:val="18"/>
          <w:szCs w:val="18"/>
          <w:color w:val="auto"/>
        </w:rPr>
        <w: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nine months of 2023, we recognized pension settlement charges in our hourly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third quarter 2023 settlements, the related plan assets and liabilities were remeasured using a discount rate as of the remeasurement date that was 53 basis points higher than the rate as of December 31, 2022 and an expected rate of return on plan assets of 6.3%, which was consistent with the rate as of December 31,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Annuitization of Other Post Employment Benefits</w:t>
      </w:r>
    </w:p>
    <w:p>
      <w:pPr>
        <w:spacing w:after="0" w:line="16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On August 21, 2023, the Hershey Employee Benefits Committee approved the purchase of an irrevocable group annuity contract with an insurance company for eligible retirees of The Hershey Company Retiree Medical and Life Insurance Plan to cover their medical benefits. On August 31, 2023, we paid $88,689 for the irrevocable group annuity contract. As a result of this transaction, we remeasured the projected benefit obligation and recognized a $926 non-cash pre-tax settlement charge during the quarter ended October 1,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9"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5"/>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700" w:type="dxa"/>
            <w:vAlign w:val="bottom"/>
            <w:gridSpan w:val="4"/>
          </w:tcPr>
          <w:p>
            <w:pPr>
              <w:jc w:val="right"/>
              <w:ind w:right="121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October 1, 2023</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October 2, 2022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October 1, 2023</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October 2, 2022</w:t>
            </w: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Related income tax benefit</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9,925</w:t>
            </w:r>
          </w:p>
        </w:tc>
      </w:tr>
    </w:tbl>
    <w:p>
      <w:pPr>
        <w:spacing w:after="0" w:line="24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SM&amp;A expense. As of October 1, 2023, total stock-based compensation expense related to non-vested awards not yet recognized was $94,733 and the weighted-average period over which this amount is expected to be recognized was approximately 1.9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October 1, 2023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8"/>
                <w:szCs w:val="18"/>
                <w:b w:val="1"/>
                <w:bCs w:val="1"/>
                <w:color w:val="auto"/>
              </w:rPr>
              <w:t>Weighted-Average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w w:val="99"/>
              </w:rPr>
              <w:t>Exercise Price (per</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976,634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5,215</w:t>
            </w:r>
          </w:p>
        </w:tc>
        <w:tc>
          <w:tcPr>
            <w:tcW w:w="1760" w:type="dxa"/>
            <w:vAlign w:val="bottom"/>
          </w:tcPr>
          <w:p>
            <w:pPr>
              <w:jc w:val="right"/>
              <w:spacing w:after="0"/>
              <w:rPr>
                <w:sz w:val="20"/>
                <w:szCs w:val="20"/>
                <w:color w:val="auto"/>
              </w:rPr>
            </w:pPr>
            <w:r>
              <w:rPr>
                <w:rFonts w:ascii="Arial" w:cs="Arial" w:eastAsia="Arial" w:hAnsi="Arial"/>
                <w:sz w:val="18"/>
                <w:szCs w:val="18"/>
                <w:color w:val="auto"/>
              </w:rPr>
              <w:t>$240.90</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(238,117)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Outstanding as of October 1, 2023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743,732</w:t>
            </w:r>
          </w:p>
        </w:tc>
        <w:tc>
          <w:tcPr>
            <w:tcW w:w="1760" w:type="dxa"/>
            <w:vAlign w:val="bottom"/>
          </w:tcPr>
          <w:p>
            <w:pPr>
              <w:jc w:val="right"/>
              <w:spacing w:after="0"/>
              <w:rPr>
                <w:sz w:val="20"/>
                <w:szCs w:val="20"/>
                <w:color w:val="auto"/>
              </w:rPr>
            </w:pPr>
            <w:r>
              <w:rPr>
                <w:rFonts w:ascii="Arial" w:cs="Arial" w:eastAsia="Arial" w:hAnsi="Arial"/>
                <w:sz w:val="18"/>
                <w:szCs w:val="18"/>
                <w:color w:val="auto"/>
              </w:rPr>
              <w:t>$105.70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3.5 years</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70,417</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October 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717,677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The weighted-average fair value of options granted was $57.65 and $37.28 per share for the periods ended October 1, 2023 and October 2, 2022, respectively. The fair value was estimated on the date of grant using a Black-Scholes option-pricing model and the following weighted-average assumptions:</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w w:val="92"/>
              </w:rPr>
              <w:t>October 1, 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October 2, 2022</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20.9 %</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$34,060 and $36,362 for the periods ended October 1, 2023 and October 2,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296545</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nine months ended October 1, 2023 and October 2, 2022 can range from 0% to 250% of the targeted amounts.</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nine months ended October 1, 2023 and October 2, 2022, we awarded RSUs to certain executive officers and other key employees under the EICP. We also awarded RSUs to non-employee directors.</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 line method. The compensation expenses associated with non-employee director RSUs is recognized ratably over the vesting period,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October 1,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1,141,679</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293,256</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$249.46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43,898</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(429,751)</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$172.42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as of October 1, 2023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1,027,737</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4"/>
          </w:tcPr>
          <w:p>
            <w:pPr>
              <w:jc w:val="right"/>
              <w:ind w:right="165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6"/>
                <w:szCs w:val="16"/>
                <w:b w:val="1"/>
                <w:bCs w:val="1"/>
                <w:color w:val="auto"/>
              </w:rPr>
              <w:t>October 1, 2023</w:t>
            </w:r>
          </w:p>
        </w:tc>
        <w:tc>
          <w:tcPr>
            <w:tcW w:w="380" w:type="dxa"/>
            <w:vAlign w:val="bottom"/>
          </w:tcPr>
          <w:p>
            <w:pPr>
              <w:spacing w:after="0"/>
              <w:rPr>
                <w:sz w:val="18"/>
                <w:szCs w:val="18"/>
                <w:color w:val="auto"/>
              </w:rPr>
            </w:pPr>
          </w:p>
        </w:tc>
        <w:tc>
          <w:tcPr>
            <w:tcW w:w="2000" w:type="dxa"/>
            <w:vAlign w:val="bottom"/>
          </w:tcPr>
          <w:p>
            <w:pPr>
              <w:jc w:val="right"/>
              <w:ind w:right="552"/>
              <w:spacing w:after="0"/>
              <w:rPr>
                <w:sz w:val="20"/>
                <w:szCs w:val="20"/>
                <w:color w:val="auto"/>
              </w:rPr>
            </w:pPr>
            <w:r>
              <w:rPr>
                <w:rFonts w:ascii="Arial" w:cs="Arial" w:eastAsia="Arial" w:hAnsi="Arial"/>
                <w:sz w:val="16"/>
                <w:szCs w:val="16"/>
                <w:b w:val="1"/>
                <w:bCs w:val="1"/>
                <w:color w:val="auto"/>
              </w:rPr>
              <w:t>October 2, 2022</w:t>
            </w:r>
          </w:p>
        </w:tc>
        <w:tc>
          <w:tcPr>
            <w:tcW w:w="0" w:type="dxa"/>
            <w:vAlign w:val="bottom"/>
          </w:tcPr>
          <w:p>
            <w:pPr>
              <w:spacing w:after="0"/>
              <w:rPr>
                <w:sz w:val="1"/>
                <w:szCs w:val="1"/>
                <w:color w:val="auto"/>
              </w:rPr>
            </w:pPr>
          </w:p>
        </w:tc>
      </w:tr>
      <w:tr>
        <w:trPr>
          <w:trHeight w:val="22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38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293,256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305,109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249.46</w:t>
            </w:r>
          </w:p>
        </w:tc>
        <w:tc>
          <w:tcPr>
            <w:tcW w:w="120" w:type="dxa"/>
            <w:vAlign w:val="bottom"/>
          </w:tcPr>
          <w:p>
            <w:pPr>
              <w:spacing w:after="0"/>
              <w:rPr>
                <w:sz w:val="20"/>
                <w:szCs w:val="20"/>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211.29</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3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$103,600 and $103,081 for the periods ended October 1, 2023 and October 2, 2022, respectively.</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261,654 units as of October 1, 2023.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571500</wp:posOffset>
            </wp:positionV>
            <wp:extent cx="1968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81"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The Company reports its operations through three reportable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06" w:lineRule="exact"/>
        <w:rPr>
          <w:sz w:val="20"/>
          <w:szCs w:val="20"/>
          <w:color w:val="auto"/>
        </w:rPr>
      </w:pPr>
    </w:p>
    <w:p>
      <w:pPr>
        <w:ind w:left="660" w:right="100" w:hanging="328"/>
        <w:spacing w:after="0" w:line="280" w:lineRule="auto"/>
        <w:tabs>
          <w:tab w:leader="none" w:pos="655"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North America Confectionery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is responsible for our traditional chocolate and non-chocolate confectionery market position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14" w:lineRule="exact"/>
        <w:rPr>
          <w:rFonts w:ascii="Arial" w:cs="Arial" w:eastAsia="Arial" w:hAnsi="Arial"/>
          <w:sz w:val="16"/>
          <w:szCs w:val="16"/>
          <w:b w:val="1"/>
          <w:bCs w:val="1"/>
          <w:i w:val="1"/>
          <w:iCs w:val="1"/>
          <w:color w:val="auto"/>
        </w:rPr>
      </w:pPr>
    </w:p>
    <w:p>
      <w:pPr>
        <w:ind w:left="660" w:right="580" w:hanging="328"/>
        <w:spacing w:after="0" w:line="282"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Salty Snacks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salty snacking products in the United States. This includes ready-to-eat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popcorn, baked and trans fat free snacks, pretzels and other snacks.</w:t>
      </w:r>
    </w:p>
    <w:p>
      <w:pPr>
        <w:spacing w:after="0" w:line="107" w:lineRule="exact"/>
        <w:rPr>
          <w:rFonts w:ascii="Arial" w:cs="Arial" w:eastAsia="Arial" w:hAnsi="Arial"/>
          <w:sz w:val="18"/>
          <w:szCs w:val="18"/>
          <w:b w:val="1"/>
          <w:bCs w:val="1"/>
          <w:i w:val="1"/>
          <w:iCs w:val="1"/>
          <w:color w:val="auto"/>
        </w:rPr>
      </w:pPr>
    </w:p>
    <w:p>
      <w:pPr>
        <w:ind w:left="660" w:right="140" w:hanging="328"/>
        <w:spacing w:after="0" w:line="261"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is a combination of all other operating segments that are not individually material, including those geographic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5</w:t>
      </w:r>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October 2, 2022</w:t>
            </w:r>
          </w:p>
        </w:tc>
      </w:tr>
      <w:tr>
        <w:trPr>
          <w:trHeight w:val="212"/>
        </w:trPr>
        <w:tc>
          <w:tcPr>
            <w:tcW w:w="4900" w:type="dxa"/>
            <w:vAlign w:val="bottom"/>
            <w:tcBorders>
              <w:top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gridSpan w:val="7"/>
          </w:tcPr>
          <w:p>
            <w:pPr>
              <w:ind w:left="180"/>
              <w:spacing w:after="0"/>
              <w:rPr>
                <w:sz w:val="20"/>
                <w:szCs w:val="20"/>
                <w:color w:val="auto"/>
              </w:rPr>
            </w:pPr>
            <w:r>
              <w:rPr>
                <w:rFonts w:ascii="Arial" w:cs="Arial" w:eastAsia="Arial" w:hAnsi="Arial"/>
                <w:sz w:val="18"/>
                <w:szCs w:val="18"/>
                <w:color w:val="auto"/>
              </w:rPr>
              <w:t>North America Confectionery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2,457,647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2,235,550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6,902,891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6,361,695</w:t>
            </w:r>
          </w:p>
        </w:tc>
      </w:tr>
      <w:tr>
        <w:trPr>
          <w:trHeight w:val="229"/>
        </w:trPr>
        <w:tc>
          <w:tcPr>
            <w:tcW w:w="49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757,443</w:t>
            </w:r>
          </w:p>
        </w:tc>
      </w:tr>
      <w:tr>
        <w:trPr>
          <w:trHeight w:val="230"/>
        </w:trPr>
        <w:tc>
          <w:tcPr>
            <w:tcW w:w="4900" w:type="dxa"/>
            <w:vAlign w:val="bottom"/>
            <w:tcBorders>
              <w:bottom w:val="single" w:sz="8" w:color="CCEEFF"/>
            </w:tcBorders>
            <w:gridSpan w:val="7"/>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647,818</w:t>
            </w:r>
          </w:p>
        </w:tc>
      </w:tr>
      <w:tr>
        <w:trPr>
          <w:trHeight w:val="248"/>
        </w:trPr>
        <w:tc>
          <w:tcPr>
            <w:tcW w:w="49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7,766,956</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900" w:type="dxa"/>
            <w:vAlign w:val="bottom"/>
            <w:gridSpan w:val="7"/>
          </w:tcPr>
          <w:p>
            <w:pPr>
              <w:ind w:left="180"/>
              <w:spacing w:after="0"/>
              <w:rPr>
                <w:sz w:val="20"/>
                <w:szCs w:val="20"/>
                <w:color w:val="auto"/>
              </w:rPr>
            </w:pPr>
            <w:r>
              <w:rPr>
                <w:rFonts w:ascii="Arial" w:cs="Arial" w:eastAsia="Arial" w:hAnsi="Arial"/>
                <w:sz w:val="18"/>
                <w:szCs w:val="18"/>
                <w:color w:val="auto"/>
              </w:rPr>
              <w:t>North America Confectionery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847,469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706,815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2,392,397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2,107,564</w:t>
            </w:r>
          </w:p>
        </w:tc>
      </w:tr>
      <w:tr>
        <w:trPr>
          <w:trHeight w:val="230"/>
        </w:trPr>
        <w:tc>
          <w:tcPr>
            <w:tcW w:w="49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103,250</w:t>
            </w:r>
          </w:p>
        </w:tc>
      </w:tr>
      <w:tr>
        <w:trPr>
          <w:trHeight w:val="229"/>
        </w:trPr>
        <w:tc>
          <w:tcPr>
            <w:tcW w:w="4900" w:type="dxa"/>
            <w:vAlign w:val="bottom"/>
            <w:tcBorders>
              <w:bottom w:val="single" w:sz="8" w:color="CCEEFF"/>
            </w:tcBorders>
            <w:gridSpan w:val="7"/>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108,058</w:t>
            </w:r>
          </w:p>
        </w:tc>
      </w:tr>
      <w:tr>
        <w:trPr>
          <w:trHeight w:val="223"/>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2,318,872</w:t>
            </w:r>
          </w:p>
        </w:tc>
      </w:tr>
      <w:tr>
        <w:trPr>
          <w:trHeight w:val="229"/>
        </w:trPr>
        <w:tc>
          <w:tcPr>
            <w:tcW w:w="4900" w:type="dxa"/>
            <w:vAlign w:val="bottom"/>
            <w:gridSpan w:val="7"/>
          </w:tcPr>
          <w:p>
            <w:pPr>
              <w:ind w:left="20"/>
              <w:spacing w:after="0"/>
              <w:rPr>
                <w:sz w:val="20"/>
                <w:szCs w:val="20"/>
                <w:color w:val="auto"/>
              </w:rPr>
            </w:pPr>
            <w:r>
              <w:rPr>
                <w:rFonts w:ascii="Arial" w:cs="Arial" w:eastAsia="Arial" w:hAnsi="Arial"/>
                <w:sz w:val="18"/>
                <w:szCs w:val="18"/>
                <w:color w:val="auto"/>
              </w:rPr>
              <w:t>Unallocated corporate expense (1)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518,834</w:t>
            </w:r>
          </w:p>
        </w:tc>
      </w:tr>
      <w:tr>
        <w:trPr>
          <w:trHeight w:val="230"/>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9"/>
              </w:rPr>
              <w:t>Unallocated mark-to-market losses on commodity 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63,524</w:t>
            </w:r>
          </w:p>
        </w:tc>
      </w:tr>
      <w:tr>
        <w:trPr>
          <w:trHeight w:val="175"/>
        </w:trPr>
        <w:tc>
          <w:tcPr>
            <w:tcW w:w="4900" w:type="dxa"/>
            <w:vAlign w:val="bottom"/>
            <w:gridSpan w:val="7"/>
          </w:tcPr>
          <w:p>
            <w:pPr>
              <w:ind w:left="20"/>
              <w:spacing w:after="0" w:line="176" w:lineRule="exact"/>
              <w:rPr>
                <w:sz w:val="20"/>
                <w:szCs w:val="20"/>
                <w:color w:val="auto"/>
              </w:rPr>
            </w:pPr>
            <w:r>
              <w:rPr>
                <w:rFonts w:ascii="Arial" w:cs="Arial" w:eastAsia="Arial" w:hAnsi="Arial"/>
                <w:sz w:val="18"/>
                <w:szCs w:val="18"/>
                <w:color w:val="auto"/>
                <w:w w:val="96"/>
              </w:rPr>
              <w:t>(Benefits) costs associated with business realignment activities</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9"/>
        </w:trPr>
        <w:tc>
          <w:tcPr>
            <w:tcW w:w="4900" w:type="dxa"/>
            <w:vAlign w:val="bottom"/>
            <w:gridSpan w:val="7"/>
          </w:tcPr>
          <w:p>
            <w:pPr>
              <w:ind w:left="20"/>
              <w:spacing w:after="0" w:line="169" w:lineRule="exact"/>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color w:val="0000FF"/>
              </w:rPr>
              <w:t>Note 9</w:t>
            </w: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(426)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3,440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color w:val="auto"/>
              </w:rPr>
              <w:t>2,373</w:t>
            </w:r>
          </w:p>
        </w:tc>
      </w:tr>
      <w:tr>
        <w:trPr>
          <w:trHeight w:val="34"/>
        </w:trPr>
        <w:tc>
          <w:tcPr>
            <w:tcW w:w="360" w:type="dxa"/>
            <w:vAlign w:val="bottom"/>
            <w:tcBorders>
              <w:bottom w:val="single" w:sz="8" w:color="CCEEFF"/>
            </w:tcBorders>
          </w:tcPr>
          <w:p>
            <w:pPr>
              <w:spacing w:after="0"/>
              <w:rPr>
                <w:sz w:val="2"/>
                <w:szCs w:val="2"/>
                <w:color w:val="auto"/>
              </w:rPr>
            </w:pPr>
          </w:p>
        </w:tc>
        <w:tc>
          <w:tcPr>
            <w:tcW w:w="480" w:type="dxa"/>
            <w:vAlign w:val="bottom"/>
            <w:tcBorders>
              <w:top w:val="single" w:sz="8" w:color="0000FF"/>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1,734,141</w:t>
            </w:r>
          </w:p>
        </w:tc>
      </w:tr>
      <w:tr>
        <w:trPr>
          <w:trHeight w:val="189"/>
        </w:trPr>
        <w:tc>
          <w:tcPr>
            <w:tcW w:w="490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 xml:space="preserve">Interest expense, net (see </w:t>
            </w:r>
            <w:r>
              <w:rPr>
                <w:rFonts w:ascii="Arial" w:cs="Arial" w:eastAsia="Arial" w:hAnsi="Arial"/>
                <w:sz w:val="18"/>
                <w:szCs w:val="18"/>
                <w:color w:val="0000FF"/>
              </w:rPr>
              <w:t>Note 4</w:t>
            </w: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39,755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35,378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114,101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101,970</w:t>
            </w:r>
          </w:p>
        </w:tc>
      </w:tr>
      <w:tr>
        <w:trPr>
          <w:trHeight w:val="21"/>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9"/>
        </w:trPr>
        <w:tc>
          <w:tcPr>
            <w:tcW w:w="4900" w:type="dxa"/>
            <w:vAlign w:val="bottom"/>
            <w:gridSpan w:val="7"/>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Other (income) expense, net (see </w:t>
            </w:r>
            <w:r>
              <w:rPr>
                <w:rFonts w:ascii="Arial" w:cs="Arial" w:eastAsia="Arial" w:hAnsi="Arial"/>
                <w:sz w:val="18"/>
                <w:szCs w:val="18"/>
                <w:color w:val="0000FF"/>
              </w:rPr>
              <w:t>Note 17</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78,222</w:t>
            </w:r>
          </w:p>
        </w:tc>
      </w:tr>
      <w:tr>
        <w:trPr>
          <w:trHeight w:val="223"/>
        </w:trPr>
        <w:tc>
          <w:tcPr>
            <w:tcW w:w="244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0000FF"/>
            </w:tcBorders>
          </w:tcPr>
          <w:p>
            <w:pPr>
              <w:spacing w:after="0"/>
              <w:rPr>
                <w:sz w:val="19"/>
                <w:szCs w:val="19"/>
                <w:color w:val="auto"/>
              </w:rPr>
            </w:pPr>
          </w:p>
        </w:tc>
        <w:tc>
          <w:tcPr>
            <w:tcW w:w="18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653,413</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473,085</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1,852,189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1,553,949</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right="160" w:hanging="332"/>
        <w:spacing w:after="0" w:line="259"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October 2, 2022</w:t>
            </w:r>
          </w:p>
        </w:tc>
        <w:tc>
          <w:tcPr>
            <w:tcW w:w="0" w:type="dxa"/>
            <w:vAlign w:val="bottom"/>
          </w:tcPr>
          <w:p>
            <w:pPr>
              <w:spacing w:after="0"/>
              <w:rPr>
                <w:sz w:val="1"/>
                <w:szCs w:val="1"/>
                <w:color w:val="auto"/>
              </w:rPr>
            </w:pPr>
          </w:p>
        </w:tc>
      </w:tr>
      <w:tr>
        <w:trPr>
          <w:trHeight w:val="158"/>
        </w:trPr>
        <w:tc>
          <w:tcPr>
            <w:tcW w:w="49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Net (gains) losses on mark-to-market valuation of commodity</w:t>
            </w: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positions recognized in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2"/>
              </w:rPr>
              <w:t>(28,027)</w:t>
            </w: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Net gains on commodity derivative positions reclassified from</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to segment income</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87"/>
              </w:rPr>
              <w:t>91,551</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Net losses on mark-to-market valuation of commodity derivative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50,065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center"/>
              <w:ind w:left="632"/>
              <w:spacing w:after="0"/>
              <w:rPr>
                <w:sz w:val="20"/>
                <w:szCs w:val="20"/>
                <w:color w:val="auto"/>
              </w:rPr>
            </w:pPr>
            <w:r>
              <w:rPr>
                <w:rFonts w:ascii="Arial" w:cs="Arial" w:eastAsia="Arial" w:hAnsi="Arial"/>
                <w:sz w:val="18"/>
                <w:szCs w:val="18"/>
                <w:color w:val="auto"/>
                <w:w w:val="87"/>
              </w:rPr>
              <w:t>63,524</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positions recognized in unallocated derivative (gains) losses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As of October 1, 2023, the cumulative amount of mark-to-market gains on commodity derivatives that have been recognized in our consolidated cost of sales and not yet allocated to reportable segments was $3,515. Based on our forecasts of the timing of the recognition of the underlying hedged items, we expect to reclassify net pre-tax gains on commodity derivatives of $1,502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455295</wp:posOffset>
            </wp:positionV>
            <wp:extent cx="1968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5"/>
              </w:rPr>
              <w:t>October 2, 2022</w:t>
            </w: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Confectionery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170,025</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North America Salty Snacks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51,106</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17,510</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40,441</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net sales disaggregated by geographical region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80" w:type="dxa"/>
            <w:vAlign w:val="bottom"/>
            <w:gridSpan w:val="6"/>
          </w:tcPr>
          <w:p>
            <w:pPr>
              <w:jc w:val="right"/>
              <w:ind w:right="7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October 2, 2022</w:t>
            </w: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2,683,348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2,392,590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7,459,710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6,793,283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 countries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center"/>
              <w:ind w:left="392"/>
              <w:spacing w:after="0"/>
              <w:rPr>
                <w:sz w:val="20"/>
                <w:szCs w:val="20"/>
                <w:color w:val="auto"/>
              </w:rPr>
            </w:pPr>
            <w:r>
              <w:rPr>
                <w:rFonts w:ascii="Arial" w:cs="Arial" w:eastAsia="Arial" w:hAnsi="Arial"/>
                <w:sz w:val="18"/>
                <w:szCs w:val="18"/>
                <w:color w:val="auto"/>
                <w:w w:val="89"/>
              </w:rPr>
              <w:t>1,048,171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973,673</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3,029,987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2,728,153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8"/>
                <w:szCs w:val="18"/>
                <w:color w:val="auto"/>
                <w:w w:val="89"/>
              </w:rPr>
              <w:t>8,507,881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7,766,956</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14. TREASURY STOCK ACTIVITY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00" w:type="dxa"/>
            <w:vAlign w:val="bottom"/>
          </w:tcPr>
          <w:p>
            <w:pPr>
              <w:spacing w:after="0"/>
              <w:rPr>
                <w:sz w:val="20"/>
                <w:szCs w:val="20"/>
                <w:color w:val="auto"/>
              </w:rPr>
            </w:pPr>
            <w:r>
              <w:rPr>
                <w:rFonts w:ascii="Arial" w:cs="Arial" w:eastAsia="Arial" w:hAnsi="Arial"/>
                <w:sz w:val="18"/>
                <w:szCs w:val="18"/>
                <w:color w:val="auto"/>
              </w:rPr>
              <w:t>A summary of our treasury stock activity is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1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1"/>
              </w:rPr>
              <w:t>Nine Months Ended October 1, 2023</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00" w:type="dxa"/>
            <w:vAlign w:val="bottom"/>
            <w:gridSpan w:val="5"/>
          </w:tcPr>
          <w:p>
            <w:pPr>
              <w:ind w:left="76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b w:val="1"/>
                <w:bCs w:val="1"/>
                <w:color w:val="auto"/>
              </w:rPr>
              <w:t>Dollars</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471"/>
              <w:spacing w:after="0"/>
              <w:rPr>
                <w:sz w:val="20"/>
                <w:szCs w:val="20"/>
                <w:color w:val="auto"/>
              </w:rPr>
            </w:pPr>
            <w:r>
              <w:rPr>
                <w:rFonts w:ascii="Arial" w:cs="Arial" w:eastAsia="Arial" w:hAnsi="Arial"/>
                <w:sz w:val="16"/>
                <w:szCs w:val="16"/>
                <w:b w:val="1"/>
                <w:bCs w:val="1"/>
                <w:color w:val="auto"/>
                <w:w w:val="94"/>
              </w:rPr>
              <w:t>In thousands</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Milton Hershey School Trust repurchase</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for stock options and incentive compensation</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(525,299)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(21,858)</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share repurchases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218,052</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Excise tax associated with net share repurchases (1)</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220,233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560" w:hanging="330"/>
        <w:spacing w:after="0" w:line="277"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corresponding liability for excise tax associated with net share repurchases is classified on our Consolidated Balance Sheets within accrued liabilities.</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$239,910.</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July 2018, our Board of Directors approved a $500 million share repurchase authorization to repurchase shares of our Common Stock. In May 2021, our Board of Directors approved an additional $500 million share repurchase authorization. As a result of the February 2023 Stock Purchase Agreement with Hershey Trust Company, as trustee for the School Trust, the July 2018 share repurchase authorization was completed and as of October 1, 2023, approximately $370 million remains available for repurchases under our May 2021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586740</wp:posOffset>
            </wp:positionV>
            <wp:extent cx="1968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480060</wp:posOffset>
            </wp:positionV>
            <wp:extent cx="1968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In May 2023, 2,500,000 shares of Class B Common Stock were converted to Common Stock by Hershey Trust Company, as trustee for the School Trust.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70"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October 1, 2023</w:t>
            </w:r>
          </w:p>
        </w:tc>
        <w:tc>
          <w:tcPr>
            <w:tcW w:w="3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October 2, 2022</w:t>
            </w: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54,743</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50,852</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105,595</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389,658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128,919</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293,892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105,595</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128,919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105,595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128,655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105,344</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58,114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earnings per share calculations for the three months ended October 1, 2023 and October 2, 2022 excluded 8 and 4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331470</wp:posOffset>
            </wp:positionV>
            <wp:extent cx="1968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360"/>
              <w:spacing w:after="0"/>
              <w:rPr>
                <w:sz w:val="20"/>
                <w:szCs w:val="20"/>
                <w:color w:val="auto"/>
              </w:rPr>
            </w:pPr>
            <w:r>
              <w:rPr>
                <w:rFonts w:ascii="Arial" w:cs="Arial" w:eastAsia="Arial" w:hAnsi="Arial"/>
                <w:sz w:val="16"/>
                <w:szCs w:val="16"/>
                <w:b w:val="1"/>
                <w:bCs w:val="1"/>
                <w:color w:val="auto"/>
              </w:rPr>
              <w:t>October 1, 2023</w:t>
            </w:r>
          </w:p>
        </w:tc>
        <w:tc>
          <w:tcPr>
            <w:tcW w:w="240" w:type="dxa"/>
            <w:vAlign w:val="bottom"/>
          </w:tcPr>
          <w:p>
            <w:pPr>
              <w:spacing w:after="0"/>
              <w:rPr>
                <w:sz w:val="18"/>
                <w:szCs w:val="18"/>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October 2, 2022</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152,390</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644,062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498,070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182,462</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334,852</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59,058</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1,128,579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384,166</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913,669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334,852</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384,166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334,852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1,512,745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383,235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1,248,521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333,898</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59,058</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59,058</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earnings per share calculations for the nine months ended October 1, 2023 and October 2, 2022 excluded 12 and 4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256"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02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1, 2023</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3"/>
              </w:rPr>
              <w:t>October 2, 2022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1, 2023</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5"/>
              </w:rPr>
              <w:t>October 2, 2022</w:t>
            </w:r>
          </w:p>
        </w:tc>
      </w:tr>
      <w:tr>
        <w:trPr>
          <w:trHeight w:val="171"/>
        </w:trPr>
        <w:tc>
          <w:tcPr>
            <w:tcW w:w="4760" w:type="dxa"/>
            <w:vAlign w:val="bottom"/>
            <w:tcBorders>
              <w:top w:val="single" w:sz="8" w:color="CCEEFF"/>
            </w:tcBorders>
            <w:gridSpan w:val="5"/>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Write-down of equity investments in partnerships qualifying for</w:t>
            </w: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190"/>
        </w:trPr>
        <w:tc>
          <w:tcPr>
            <w:tcW w:w="4760" w:type="dxa"/>
            <w:vAlign w:val="bottom"/>
            <w:gridSpan w:val="5"/>
            <w:shd w:val="clear" w:color="auto" w:fill="CCEEFF"/>
          </w:tcPr>
          <w:p>
            <w:pPr>
              <w:ind w:left="20"/>
              <w:spacing w:after="0" w:line="190" w:lineRule="exact"/>
              <w:rPr>
                <w:sz w:val="20"/>
                <w:szCs w:val="20"/>
                <w:color w:val="auto"/>
              </w:rPr>
            </w:pPr>
            <w:r>
              <w:rPr>
                <w:rFonts w:ascii="Arial" w:cs="Arial" w:eastAsia="Arial" w:hAnsi="Arial"/>
                <w:sz w:val="18"/>
                <w:szCs w:val="18"/>
                <w:color w:val="auto"/>
              </w:rPr>
              <w:t xml:space="preserve">historic and renewable energy tax credits (see </w:t>
            </w:r>
            <w:r>
              <w:rPr>
                <w:rFonts w:ascii="Arial" w:cs="Arial" w:eastAsia="Arial" w:hAnsi="Arial"/>
                <w:sz w:val="18"/>
                <w:szCs w:val="18"/>
                <w:color w:val="0000FF"/>
              </w:rPr>
              <w:t>Note 8</w:t>
            </w:r>
            <w:r>
              <w:rPr>
                <w:rFonts w:ascii="Arial" w:cs="Arial" w:eastAsia="Arial" w:hAnsi="Arial"/>
                <w:sz w:val="18"/>
                <w:szCs w:val="18"/>
                <w:color w:val="auto"/>
              </w:rPr>
              <w:t>)</w:t>
            </w: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38,058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43,314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115,418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70,754</w:t>
            </w:r>
          </w:p>
        </w:tc>
      </w:tr>
      <w:tr>
        <w:trPr>
          <w:trHeight w:val="21"/>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76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1"/>
              </w:rPr>
              <w:t>Non-service cost components of net periodic benefit cost relating</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0"/>
        </w:trPr>
        <w:tc>
          <w:tcPr>
            <w:tcW w:w="4760" w:type="dxa"/>
            <w:vAlign w:val="bottom"/>
            <w:gridSpan w:val="5"/>
          </w:tcPr>
          <w:p>
            <w:pPr>
              <w:ind w:left="20"/>
              <w:spacing w:after="0" w:line="190" w:lineRule="exact"/>
              <w:rPr>
                <w:sz w:val="20"/>
                <w:szCs w:val="20"/>
                <w:color w:val="auto"/>
              </w:rPr>
            </w:pPr>
            <w:r>
              <w:rPr>
                <w:rFonts w:ascii="Arial" w:cs="Arial" w:eastAsia="Arial" w:hAnsi="Arial"/>
                <w:sz w:val="18"/>
                <w:szCs w:val="18"/>
                <w:color w:val="auto"/>
                <w:w w:val="92"/>
              </w:rPr>
              <w:t xml:space="preserve">to pension and other post-retirement benefit plans (see </w:t>
            </w:r>
            <w:r>
              <w:rPr>
                <w:rFonts w:ascii="Arial" w:cs="Arial" w:eastAsia="Arial" w:hAnsi="Arial"/>
                <w:sz w:val="18"/>
                <w:szCs w:val="18"/>
                <w:color w:val="0000FF"/>
                <w:w w:val="92"/>
              </w:rPr>
              <w:t>Note 11</w:t>
            </w:r>
            <w:r>
              <w:rPr>
                <w:rFonts w:ascii="Arial" w:cs="Arial" w:eastAsia="Arial" w:hAnsi="Arial"/>
                <w:sz w:val="18"/>
                <w:szCs w:val="18"/>
                <w:color w:val="auto"/>
                <w:w w:val="92"/>
              </w:rPr>
              <w:t>)</w:t>
            </w:r>
          </w:p>
        </w:tc>
        <w:tc>
          <w:tcPr>
            <w:tcW w:w="160" w:type="dxa"/>
            <w:vAlign w:val="bottom"/>
          </w:tcPr>
          <w:p>
            <w:pPr>
              <w:spacing w:after="0"/>
              <w:rPr>
                <w:sz w:val="16"/>
                <w:szCs w:val="16"/>
                <w:color w:val="auto"/>
              </w:rPr>
            </w:pPr>
          </w:p>
        </w:tc>
        <w:tc>
          <w:tcPr>
            <w:tcW w:w="1380" w:type="dxa"/>
            <w:vAlign w:val="bottom"/>
          </w:tcPr>
          <w:p>
            <w:pPr>
              <w:jc w:val="right"/>
              <w:spacing w:after="0" w:line="190" w:lineRule="exact"/>
              <w:rPr>
                <w:sz w:val="20"/>
                <w:szCs w:val="20"/>
                <w:color w:val="auto"/>
              </w:rPr>
            </w:pPr>
            <w:r>
              <w:rPr>
                <w:rFonts w:ascii="Arial" w:cs="Arial" w:eastAsia="Arial" w:hAnsi="Arial"/>
                <w:sz w:val="18"/>
                <w:szCs w:val="18"/>
                <w:color w:val="auto"/>
              </w:rPr>
              <w:t>4,952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4,895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line="190" w:lineRule="exact"/>
              <w:rPr>
                <w:sz w:val="20"/>
                <w:szCs w:val="20"/>
                <w:color w:val="auto"/>
              </w:rPr>
            </w:pPr>
            <w:r>
              <w:rPr>
                <w:rFonts w:ascii="Arial" w:cs="Arial" w:eastAsia="Arial" w:hAnsi="Arial"/>
                <w:sz w:val="18"/>
                <w:szCs w:val="18"/>
                <w:color w:val="auto"/>
              </w:rPr>
              <w:t>15,824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line="190" w:lineRule="exact"/>
              <w:rPr>
                <w:sz w:val="20"/>
                <w:szCs w:val="20"/>
                <w:color w:val="auto"/>
              </w:rPr>
            </w:pPr>
            <w:r>
              <w:rPr>
                <w:rFonts w:ascii="Arial" w:cs="Arial" w:eastAsia="Arial" w:hAnsi="Arial"/>
                <w:sz w:val="18"/>
                <w:szCs w:val="18"/>
                <w:color w:val="auto"/>
              </w:rPr>
              <w:t>7,462</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78,222</w:t>
            </w: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Hershey Trust Company, as trustee for the trust established by Milton S. and Catherine S. Hershey that has as its sole beneficiary for the School Trust, maintains voting control over The Hershey Company.</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any given year, we may engage in certain transactions with Hershey Trust Company, Milton Hershey School, the Milton Hershey School Trust and companies owned by and/or affiliated with any of the foregoing. Most transactions with these related parties are immaterial and do not require disclosure, but certain transactions are more significant in nature and have been deemed material for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 summary of material related party transactions with Hershey Trust Company and/or its affiliates for the nine months ended October 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 2022 is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February 2023 and February 2022, the Company entered into Stock Purchase Agreements with Hershey Trust Company, as trustee for the School Trust, pursuant to which the Company purchased shares of its Common Stock from the School Trust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and Donation of Property, Plant and Equipment</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May 2022, the Company entered into a Purchase and Sale Agreement (the “Purchase Agreement”) with Hershey Trust Company, as trustee for the School Trust, pursuant to which the Company agreed to sell certain real and personal property consisting of approximately six acres of land located in Hershey, Pennsylvania, together with portions of a building located on the land. Additionally, in June 2022, the Company entered into a Donation Agreement with Hershey Trust Company, as trustee for The M.S. Hershey Foundation, pursuant to which the Company agreed to donate a portion of the building concurrently with the closing of the Purchase Agreement. The sale and donation transactions closed in June 2022. Total proceeds from the sale were approximately $6,300 (net of transaction and closing costs), resulting in a loss of $13,568, which was recorded in the SM&amp;A expense caption within the Consolidated Statements of Income. The fair values of the disposed assets were supported by a proposed sales price submitted by a third-party buyer received prior to executing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259715</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19. SUPPLEMENTAL BALANCE SHEET INFORMATION</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Arial" w:cs="Arial" w:eastAsia="Arial" w:hAnsi="Arial"/>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7"/>
        </w:trPr>
        <w:tc>
          <w:tcPr>
            <w:tcW w:w="6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October 1, 2023</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2022</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Raw materials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469,455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372,612</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Goods in process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137,298</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855,217</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at First In First Out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1,365,127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 to Last In First Out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(192,008)</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1,173,119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Prepaid expenses and other:</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133,265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143,888</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128,307</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prepaid expenses and other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6"/>
        </w:trPr>
        <w:tc>
          <w:tcPr>
            <w:tcW w:w="6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155,963</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1,618,136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1,545,053</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3,592,251</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416,220</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gross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5,709,487</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(2,939,785)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2,769,702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Pension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53,495</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software, net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320,034</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315,524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326,472</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unconsolidated affiliates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133,029</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Arial" w:cs="Arial" w:eastAsia="Arial" w:hAnsi="Arial"/>
          <w:sz w:val="18"/>
          <w:szCs w:val="18"/>
          <w:b w:val="1"/>
          <w:bCs w:val="1"/>
          <w:color w:val="auto"/>
        </w:rPr>
        <w:t>October 1, 2023</w:t>
      </w:r>
      <w:r>
        <w:rPr>
          <w:sz w:val="20"/>
          <w:szCs w:val="20"/>
          <w:color w:val="auto"/>
        </w:rPr>
        <w:tab/>
      </w: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Pension and post-retirement benefit plans, net of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 hedges, net of tax</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675,389</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636,472</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149,533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105,293</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260,094</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228,793</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1,085,016</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970,558</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245,975</w:t>
            </w:r>
          </w:p>
        </w:tc>
        <w:tc>
          <w:tcPr>
            <w:tcW w:w="1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293,865</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384,872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337,024</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31,787</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303,759</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169,842</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968,926</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832,518</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77,995</w:t>
            </w:r>
          </w:p>
        </w:tc>
        <w:tc>
          <w:tcPr>
            <w:tcW w:w="1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147,174</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27,515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27,696</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283,967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294,849</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252,324</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250,023</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641,801</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719,742</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(101,489)</w:t>
            </w:r>
          </w:p>
        </w:tc>
        <w:tc>
          <w:tcPr>
            <w:tcW w:w="1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(110,364)</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(131,993)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(118,254)</w:t>
            </w:r>
          </w:p>
        </w:tc>
      </w:tr>
      <w:tr>
        <w:trPr>
          <w:trHeight w:val="230"/>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(23,715)</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(252,333)</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-3316605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-1036320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540385</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380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37" w:name="page38"/>
    <w:bookmarkEnd w:id="37"/>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2022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Overview</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Trends Affecting Our Business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Consolidated Results of Operations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Segment Results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Liquidity and Capital Resources</w:t>
      </w:r>
    </w:p>
    <w:p>
      <w:pPr>
        <w:spacing w:after="0" w:line="63" w:lineRule="exact"/>
        <w:rPr>
          <w:rFonts w:ascii="Arial" w:cs="Arial" w:eastAsia="Arial" w:hAnsi="Arial"/>
          <w:sz w:val="18"/>
          <w:szCs w:val="18"/>
          <w:color w:val="auto"/>
        </w:rPr>
      </w:pPr>
    </w:p>
    <w:p>
      <w:pPr>
        <w:ind w:left="900" w:hanging="56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100 brand names in approximately 80 countries worldwide.</w:t>
      </w:r>
    </w:p>
    <w:p>
      <w:pPr>
        <w:spacing w:after="0" w:line="9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5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Arial" w:cs="Arial" w:eastAsia="Arial" w:hAnsi="Arial"/>
          <w:sz w:val="18"/>
          <w:szCs w:val="18"/>
          <w:i w:val="1"/>
          <w:iCs w:val="1"/>
          <w:color w:val="auto"/>
        </w:rPr>
        <w:t xml:space="preserve">SkinnyPop </w:t>
      </w:r>
      <w:r>
        <w:rPr>
          <w:rFonts w:ascii="Arial" w:cs="Arial" w:eastAsia="Arial" w:hAnsi="Arial"/>
          <w:sz w:val="18"/>
          <w:szCs w:val="18"/>
          <w:color w:val="auto"/>
        </w:rPr>
        <w:t>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270510</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During the first nine months of 2023, the rate of inflation has slowed and consumer behaviors have shifted, as negative macroeconomic conditions and future outlook, including fears of a pending recession, have negatively impacted consumer behaviors. Net sales and net income increased during the nine months ended October 1, 2023; however, this was primarily driven by price realization and minimal volume increases. Additionally, we continued to experience corresponding incremental costs and gross margin pressures during the nine months ended October 1, 2023 (see </w:t>
      </w:r>
      <w:r>
        <w:rPr>
          <w:rFonts w:ascii="Arial" w:cs="Arial" w:eastAsia="Arial" w:hAnsi="Arial"/>
          <w:sz w:val="18"/>
          <w:szCs w:val="18"/>
          <w:u w:val="single" w:color="auto"/>
          <w:color w:val="0000FF"/>
        </w:rPr>
        <w:t>Results of Operations</w:t>
      </w:r>
      <w:r>
        <w:rPr>
          <w:rFonts w:ascii="Arial" w:cs="Arial" w:eastAsia="Arial" w:hAnsi="Arial"/>
          <w:sz w:val="18"/>
          <w:szCs w:val="18"/>
          <w:color w:val="auto"/>
        </w:rPr>
        <w:t xml:space="preserve"> included in this MD&amp;A).</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certain geopolitical events, specifically the conflict between Russia and Ukraine, have increased global economic and political uncertainty. For the nine months ended October 1, 2023,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October 1, 2023,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Arial" w:cs="Arial" w:eastAsia="Arial" w:hAnsi="Arial"/>
          <w:sz w:val="18"/>
          <w:szCs w:val="18"/>
          <w:u w:val="single" w:color="auto"/>
          <w:color w:val="0000FF"/>
        </w:rPr>
        <w:t>Liquidity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Capital Resources</w:t>
      </w:r>
      <w:r>
        <w:rPr>
          <w:rFonts w:ascii="Arial" w:cs="Arial" w:eastAsia="Arial" w:hAnsi="Arial"/>
          <w:sz w:val="18"/>
          <w:szCs w:val="18"/>
          <w:color w:val="0000FF"/>
        </w:rPr>
        <w:t xml:space="preserve"> </w:t>
      </w:r>
      <w:r>
        <w:rPr>
          <w:rFonts w:ascii="Arial" w:cs="Arial" w:eastAsia="Arial" w:hAnsi="Arial"/>
          <w:sz w:val="18"/>
          <w:szCs w:val="18"/>
          <w:color w:val="000000"/>
        </w:rPr>
        <w:t>included in this MD&amp;A).</w:t>
      </w:r>
    </w:p>
    <w:p>
      <w:pPr>
        <w:spacing w:after="0" w:line="21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Based on the length and severity of fluctuating levels of inflation, the likelihood of a potential recession, changes in consumer shopping and consumption behavior, and changes in geopolitical events, including the ongoing conflict between Russia and Ukraine and the recent conflict in the Gaza Strip, we may experience increasing supply chain costs, higher inflation and other impacts to our business.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245745</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October 1, 2023</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2"/>
                <w:szCs w:val="12"/>
                <w:color w:val="auto"/>
              </w:rPr>
            </w:pPr>
          </w:p>
        </w:tc>
        <w:tc>
          <w:tcPr>
            <w:tcW w:w="1240" w:type="dxa"/>
            <w:vAlign w:val="bottom"/>
            <w:gridSpan w:val="2"/>
          </w:tcPr>
          <w:p>
            <w:pPr>
              <w:ind w:left="300"/>
              <w:spacing w:after="0" w:line="148" w:lineRule="exact"/>
              <w:rPr>
                <w:sz w:val="20"/>
                <w:szCs w:val="20"/>
                <w:color w:val="auto"/>
              </w:rPr>
            </w:pPr>
            <w:r>
              <w:rPr>
                <w:rFonts w:ascii="Arial" w:cs="Arial" w:eastAsia="Arial" w:hAnsi="Arial"/>
                <w:sz w:val="16"/>
                <w:szCs w:val="16"/>
                <w:b w:val="1"/>
                <w:bCs w:val="1"/>
                <w:color w:val="auto"/>
              </w:rPr>
              <w:t>Percent</w:t>
            </w:r>
          </w:p>
        </w:tc>
        <w:tc>
          <w:tcPr>
            <w:tcW w:w="13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October 1, 2023</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2"/>
                <w:szCs w:val="12"/>
                <w:color w:val="auto"/>
              </w:rPr>
            </w:pPr>
          </w:p>
        </w:tc>
        <w:tc>
          <w:tcPr>
            <w:tcW w:w="1140" w:type="dxa"/>
            <w:vAlign w:val="bottom"/>
          </w:tcPr>
          <w:p>
            <w:pPr>
              <w:jc w:val="right"/>
              <w:ind w:right="219"/>
              <w:spacing w:after="0" w:line="148"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3"/>
        </w:trPr>
        <w:tc>
          <w:tcPr>
            <w:tcW w:w="3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30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130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0"/>
        </w:trPr>
        <w:tc>
          <w:tcPr>
            <w:tcW w:w="366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2,728.2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8,507.9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1,669.7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1,619.7</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4,633.2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4,413.0</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3,874.7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3,354.0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7"/>
        </w:trPr>
        <w:tc>
          <w:tcPr>
            <w:tcW w:w="366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300" w:type="dxa"/>
            <w:vAlign w:val="bottom"/>
          </w:tcPr>
          <w:p>
            <w:pPr>
              <w:spacing w:after="0"/>
              <w:rPr>
                <w:sz w:val="17"/>
                <w:szCs w:val="17"/>
                <w:color w:val="auto"/>
              </w:rPr>
            </w:pPr>
          </w:p>
        </w:tc>
        <w:tc>
          <w:tcPr>
            <w:tcW w:w="900" w:type="dxa"/>
            <w:vAlign w:val="bottom"/>
          </w:tcPr>
          <w:p>
            <w:pPr>
              <w:jc w:val="center"/>
              <w:ind w:left="299"/>
              <w:spacing w:after="0"/>
              <w:rPr>
                <w:sz w:val="20"/>
                <w:szCs w:val="20"/>
                <w:color w:val="auto"/>
              </w:rPr>
            </w:pPr>
            <w:r>
              <w:rPr>
                <w:rFonts w:ascii="Arial" w:cs="Arial" w:eastAsia="Arial" w:hAnsi="Arial"/>
                <w:sz w:val="16"/>
                <w:szCs w:val="16"/>
                <w:i w:val="1"/>
                <w:iCs w:val="1"/>
                <w:color w:val="auto"/>
                <w:w w:val="96"/>
              </w:rPr>
              <w:t>44.9 %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center"/>
              <w:ind w:left="259"/>
              <w:spacing w:after="0"/>
              <w:rPr>
                <w:sz w:val="20"/>
                <w:szCs w:val="20"/>
                <w:color w:val="auto"/>
              </w:rPr>
            </w:pPr>
            <w:r>
              <w:rPr>
                <w:rFonts w:ascii="Arial" w:cs="Arial" w:eastAsia="Arial" w:hAnsi="Arial"/>
                <w:sz w:val="16"/>
                <w:szCs w:val="16"/>
                <w:i w:val="1"/>
                <w:iCs w:val="1"/>
                <w:color w:val="auto"/>
                <w:w w:val="96"/>
              </w:rPr>
              <w:t>40.6 %</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center"/>
              <w:ind w:left="299"/>
              <w:spacing w:after="0"/>
              <w:rPr>
                <w:sz w:val="20"/>
                <w:szCs w:val="20"/>
                <w:color w:val="auto"/>
              </w:rPr>
            </w:pPr>
            <w:r>
              <w:rPr>
                <w:rFonts w:ascii="Arial" w:cs="Arial" w:eastAsia="Arial" w:hAnsi="Arial"/>
                <w:sz w:val="16"/>
                <w:szCs w:val="16"/>
                <w:i w:val="1"/>
                <w:iCs w:val="1"/>
                <w:color w:val="auto"/>
                <w:w w:val="96"/>
              </w:rPr>
              <w:t>45.5 %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center"/>
              <w:ind w:left="279"/>
              <w:spacing w:after="0"/>
              <w:rPr>
                <w:sz w:val="20"/>
                <w:szCs w:val="20"/>
                <w:color w:val="auto"/>
              </w:rPr>
            </w:pPr>
            <w:r>
              <w:rPr>
                <w:rFonts w:ascii="Arial" w:cs="Arial" w:eastAsia="Arial" w:hAnsi="Arial"/>
                <w:sz w:val="16"/>
                <w:szCs w:val="16"/>
                <w:i w:val="1"/>
                <w:iCs w:val="1"/>
                <w:color w:val="auto"/>
                <w:w w:val="92"/>
              </w:rPr>
              <w:t>43.2 %</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60"/>
              <w:spacing w:after="0" w:line="169" w:lineRule="exact"/>
              <w:rPr>
                <w:sz w:val="20"/>
                <w:szCs w:val="20"/>
                <w:color w:val="auto"/>
              </w:rPr>
            </w:pPr>
            <w:r>
              <w:rPr>
                <w:rFonts w:ascii="Arial" w:cs="Arial" w:eastAsia="Arial" w:hAnsi="Arial"/>
                <w:sz w:val="16"/>
                <w:szCs w:val="16"/>
                <w:color w:val="auto"/>
              </w:rPr>
              <w:t>Selling, marketing &amp; administrative (“SM&amp;A”)</w:t>
            </w:r>
          </w:p>
        </w:tc>
        <w:tc>
          <w:tcPr>
            <w:tcW w:w="3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624.4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551.9</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1,777.8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1,619.6</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expenses</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6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300" w:type="dxa"/>
            <w:vAlign w:val="bottom"/>
          </w:tcPr>
          <w:p>
            <w:pPr>
              <w:spacing w:after="0"/>
              <w:rPr>
                <w:sz w:val="17"/>
                <w:szCs w:val="17"/>
                <w:color w:val="auto"/>
              </w:rPr>
            </w:pPr>
          </w:p>
        </w:tc>
        <w:tc>
          <w:tcPr>
            <w:tcW w:w="900" w:type="dxa"/>
            <w:vAlign w:val="bottom"/>
          </w:tcPr>
          <w:p>
            <w:pPr>
              <w:jc w:val="center"/>
              <w:ind w:left="299"/>
              <w:spacing w:after="0"/>
              <w:rPr>
                <w:sz w:val="20"/>
                <w:szCs w:val="20"/>
                <w:color w:val="auto"/>
              </w:rPr>
            </w:pPr>
            <w:r>
              <w:rPr>
                <w:rFonts w:ascii="Arial" w:cs="Arial" w:eastAsia="Arial" w:hAnsi="Arial"/>
                <w:sz w:val="16"/>
                <w:szCs w:val="16"/>
                <w:i w:val="1"/>
                <w:iCs w:val="1"/>
                <w:color w:val="auto"/>
                <w:w w:val="96"/>
              </w:rPr>
              <w:t>20.6 %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center"/>
              <w:ind w:left="259"/>
              <w:spacing w:after="0"/>
              <w:rPr>
                <w:sz w:val="20"/>
                <w:szCs w:val="20"/>
                <w:color w:val="auto"/>
              </w:rPr>
            </w:pPr>
            <w:r>
              <w:rPr>
                <w:rFonts w:ascii="Arial" w:cs="Arial" w:eastAsia="Arial" w:hAnsi="Arial"/>
                <w:sz w:val="16"/>
                <w:szCs w:val="16"/>
                <w:i w:val="1"/>
                <w:iCs w:val="1"/>
                <w:color w:val="auto"/>
                <w:w w:val="96"/>
              </w:rPr>
              <w:t>20.2 %</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center"/>
              <w:ind w:left="299"/>
              <w:spacing w:after="0"/>
              <w:rPr>
                <w:sz w:val="20"/>
                <w:szCs w:val="20"/>
                <w:color w:val="auto"/>
              </w:rPr>
            </w:pPr>
            <w:r>
              <w:rPr>
                <w:rFonts w:ascii="Arial" w:cs="Arial" w:eastAsia="Arial" w:hAnsi="Arial"/>
                <w:sz w:val="16"/>
                <w:szCs w:val="16"/>
                <w:i w:val="1"/>
                <w:iCs w:val="1"/>
                <w:color w:val="auto"/>
                <w:w w:val="96"/>
              </w:rPr>
              <w:t>20.9 %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center"/>
              <w:ind w:left="279"/>
              <w:spacing w:after="0"/>
              <w:rPr>
                <w:sz w:val="20"/>
                <w:szCs w:val="20"/>
                <w:color w:val="auto"/>
              </w:rPr>
            </w:pPr>
            <w:r>
              <w:rPr>
                <w:rFonts w:ascii="Arial" w:cs="Arial" w:eastAsia="Arial" w:hAnsi="Arial"/>
                <w:sz w:val="16"/>
                <w:szCs w:val="16"/>
                <w:i w:val="1"/>
                <w:iCs w:val="1"/>
                <w:color w:val="auto"/>
                <w:w w:val="92"/>
              </w:rPr>
              <w:t>20.9 %</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Business realignment activities</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556.6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2,096.5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1,734.1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99"/>
              <w:spacing w:after="0"/>
              <w:rPr>
                <w:sz w:val="20"/>
                <w:szCs w:val="20"/>
                <w:color w:val="auto"/>
              </w:rPr>
            </w:pPr>
            <w:r>
              <w:rPr>
                <w:rFonts w:ascii="Arial" w:cs="Arial" w:eastAsia="Arial" w:hAnsi="Arial"/>
                <w:sz w:val="16"/>
                <w:szCs w:val="16"/>
                <w:i w:val="1"/>
                <w:iCs w:val="1"/>
                <w:color w:val="auto"/>
                <w:w w:val="96"/>
              </w:rPr>
              <w:t>24.3 %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59"/>
              <w:spacing w:after="0"/>
              <w:rPr>
                <w:sz w:val="20"/>
                <w:szCs w:val="20"/>
                <w:color w:val="auto"/>
              </w:rPr>
            </w:pPr>
            <w:r>
              <w:rPr>
                <w:rFonts w:ascii="Arial" w:cs="Arial" w:eastAsia="Arial" w:hAnsi="Arial"/>
                <w:sz w:val="16"/>
                <w:szCs w:val="16"/>
                <w:i w:val="1"/>
                <w:iCs w:val="1"/>
                <w:color w:val="auto"/>
                <w:w w:val="96"/>
              </w:rPr>
              <w:t>20.4 %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99"/>
              <w:spacing w:after="0"/>
              <w:rPr>
                <w:sz w:val="20"/>
                <w:szCs w:val="20"/>
                <w:color w:val="auto"/>
              </w:rPr>
            </w:pPr>
            <w:r>
              <w:rPr>
                <w:rFonts w:ascii="Arial" w:cs="Arial" w:eastAsia="Arial" w:hAnsi="Arial"/>
                <w:sz w:val="16"/>
                <w:szCs w:val="16"/>
                <w:i w:val="1"/>
                <w:iCs w:val="1"/>
                <w:color w:val="auto"/>
                <w:w w:val="96"/>
              </w:rPr>
              <w:t>24.6 %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79"/>
              <w:spacing w:after="0"/>
              <w:rPr>
                <w:sz w:val="20"/>
                <w:szCs w:val="20"/>
                <w:color w:val="auto"/>
              </w:rPr>
            </w:pPr>
            <w:r>
              <w:rPr>
                <w:rFonts w:ascii="Arial" w:cs="Arial" w:eastAsia="Arial" w:hAnsi="Arial"/>
                <w:sz w:val="16"/>
                <w:szCs w:val="16"/>
                <w:i w:val="1"/>
                <w:iCs w:val="1"/>
                <w:color w:val="auto"/>
                <w:w w:val="92"/>
              </w:rPr>
              <w:t>22.3 %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102.0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73.6</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83.2 %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305.4</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15.6%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18.3%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19.7%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1,512.7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1,248.5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per share—diluted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89"/>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color w:val="auto"/>
                <w:w w:val="96"/>
              </w:rPr>
              <w:t>1.94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7.36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6.04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Results of Operations - Third Quarter 2023 vs. Third Quarter 2022</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ind w:left="40" w:right="140"/>
        <w:spacing w:after="0" w:line="291" w:lineRule="auto"/>
        <w:rPr>
          <w:sz w:val="20"/>
          <w:szCs w:val="20"/>
          <w:color w:val="auto"/>
        </w:rPr>
      </w:pPr>
      <w:r>
        <w:rPr>
          <w:rFonts w:ascii="Arial" w:cs="Arial" w:eastAsia="Arial" w:hAnsi="Arial"/>
          <w:sz w:val="16"/>
          <w:szCs w:val="16"/>
          <w:color w:val="auto"/>
        </w:rPr>
        <w:t>Net sales increased 11.1% in the third quarter of 2023 compared to the same period of 2022. The net sales increase reflects a favorable price realization of 9.8% driven by higher list prices primarily within our North America Confectionery and North America Salty Snacks segments and a volume increase of</w:t>
      </w:r>
    </w:p>
    <w:p>
      <w:pPr>
        <w:ind w:left="40" w:right="160"/>
        <w:spacing w:after="0" w:line="260" w:lineRule="auto"/>
        <w:rPr>
          <w:sz w:val="20"/>
          <w:szCs w:val="20"/>
          <w:color w:val="auto"/>
        </w:rPr>
      </w:pPr>
      <w:r>
        <w:rPr>
          <w:rFonts w:ascii="Arial" w:cs="Arial" w:eastAsia="Arial" w:hAnsi="Arial"/>
          <w:sz w:val="18"/>
          <w:szCs w:val="18"/>
          <w:color w:val="auto"/>
        </w:rPr>
        <w:t>0.9% driven primarily by an increase in everyday core North America Salty Snacks brands, partially offset by decreases in everyday core U.S. brands and International brands. Foreign currency exchange rates resulted in a 0.4% impact.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300"/>
        <w:spacing w:after="0" w:line="259" w:lineRule="auto"/>
        <w:rPr>
          <w:sz w:val="20"/>
          <w:szCs w:val="20"/>
          <w:color w:val="auto"/>
        </w:rPr>
      </w:pPr>
      <w:r>
        <w:rPr>
          <w:rFonts w:ascii="Arial" w:cs="Arial" w:eastAsia="Arial" w:hAnsi="Arial"/>
          <w:sz w:val="18"/>
          <w:szCs w:val="18"/>
          <w:color w:val="auto"/>
        </w:rPr>
        <w:t>For the third quarter of 2023, our total U.S. retail takeaway increased 2.4% in the expanded multi-outlet combined plus convenience store channels (IRI MULO + C-Stores), which includes candy, mint, gum, salty snacks and grocery items. Our U.S. candy, mint and gum (“CMG”) consumer takeaway increased 2.5% and experienced a CMG market share decline of approximately 120 basis points. Our Salty consumer takeaway was flat for the third quarter of 2023 and experienced a Salty market share decline of 16 basis points.</w:t>
      </w:r>
    </w:p>
    <w:p>
      <w:pPr>
        <w:spacing w:after="0" w:line="133" w:lineRule="exact"/>
        <w:rPr>
          <w:sz w:val="20"/>
          <w:szCs w:val="20"/>
          <w:color w:val="auto"/>
        </w:rPr>
      </w:pPr>
    </w:p>
    <w:p>
      <w:pPr>
        <w:ind w:left="40" w:right="140"/>
        <w:spacing w:after="0" w:line="301" w:lineRule="auto"/>
        <w:rPr>
          <w:sz w:val="20"/>
          <w:szCs w:val="20"/>
          <w:color w:val="auto"/>
        </w:rPr>
      </w:pPr>
      <w:r>
        <w:rPr>
          <w:rFonts w:ascii="Arial" w:cs="Arial" w:eastAsia="Arial" w:hAnsi="Arial"/>
          <w:sz w:val="16"/>
          <w:szCs w:val="16"/>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left="40" w:right="100"/>
        <w:spacing w:after="0" w:line="277" w:lineRule="auto"/>
        <w:rPr>
          <w:sz w:val="20"/>
          <w:szCs w:val="20"/>
          <w:color w:val="auto"/>
        </w:rPr>
      </w:pPr>
      <w:r>
        <w:rPr>
          <w:rFonts w:ascii="Arial" w:cs="Arial" w:eastAsia="Arial" w:hAnsi="Arial"/>
          <w:sz w:val="18"/>
          <w:szCs w:val="18"/>
          <w:color w:val="auto"/>
        </w:rPr>
        <w:t>Cost of sales increased 3.1% in the third quarter of 2023 compared to the same period of 2022. The increase was driven by higher sales volume and higher supply chain costs, including higher logistics and labor costs. The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254635</wp:posOffset>
            </wp:positionV>
            <wp:extent cx="1968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339725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5" w:right="33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was partially offset by $31.1 million of favorable mark-to-market activity on our commodity derivative instruments intended to economically hedge future years’ commodity purchases, favorable price realization and supply chain productivity.</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Gross margin increased by 430 basis points in the third quarter of 2023 compared to the same period of 2022. The increase was driven by favorable year-over-year mark-to-market impact from commodity derivative instruments and favorable price realization These increases were offset by higher logistics and labor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9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SM&amp;A expenses increased $72.5 million, or 13.1%, in the third quarter of 2023 compared to the same period of 2022. Total advertising and related consumer marketing expenses increased 20.0% driven primarily by North America Confectionery and North America Salty Snacks. SM&amp;A expenses, excluding advertising and related consumer marketing, increased approximately 9.9% in the third quarter of 2023 driven by higher compensation costs and investments in capabilities and technology across segments.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Operating profit was $735.9 million in the third quarter of 2023 compared to $556.6 million in the same period of 2022 predominantly due to higher gross profit, partially offset by higher SM&amp;A expenses, as noted above. Operating profit margin increased to 24.3% in 2023 from 20.4% in 2022 driven by the same factors noted above that resulted in higher gross margin for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interest expense was $4.4 million higher in the third quarter of 2023 compared to the same period of 2022. The increase was primarily due to higher rates on long-term debt balances in 2023 versus 2022, specifically related to the $350 million 4.25% Notes and $400 million 4.50% Notes issued in May 2023. The increase was partially offset by higher interest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Other (income) expense, net was $42.7 million in the third quarter of 2023 versus net expense of $48.1 million in the third quarter of 2022. The decrease in net expense was primarily due to lower write-downs on equity investments qualifying for tax credits in 2023 versus the third quarter of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effective income tax rate was 20.6% for the third quarter of 2023 compared with 15.6% for the third quarter of 2022. Relative to the 21% statutory rate, the 2023 effective tax rate was impacted by investment tax credits, partially offset by state taxes and tax reserves. Relative to the 21% statutory rate, the 2022 effective tax rate was impacted by investment tax credits, partially offset by state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increased $119.1 million, or 29.8%, while EPS-diluted increased $0.58, or 29.9%, in the third quarter of 2023 compared to the same period of 2022. The increase in both net income and EPS-diluted was driven primarily by higher gross profit and lower other income and expenses, partially offset by higher SM&amp;A expenses and higher income taxes. Our 2023 EPS-diluted also benefited from lower weighted-average shares outstanding as a result of share repurchases pursuant to our Board-approved repurchase programs.</w:t>
      </w:r>
    </w:p>
    <w:p>
      <w:pPr>
        <w:spacing w:after="0" w:line="223" w:lineRule="exact"/>
        <w:rPr>
          <w:sz w:val="20"/>
          <w:szCs w:val="20"/>
          <w:color w:val="auto"/>
        </w:rPr>
      </w:pPr>
    </w:p>
    <w:p>
      <w:pPr>
        <w:ind w:right="5500"/>
        <w:spacing w:after="0" w:line="393" w:lineRule="auto"/>
        <w:rPr>
          <w:sz w:val="20"/>
          <w:szCs w:val="20"/>
          <w:color w:val="auto"/>
        </w:rPr>
      </w:pPr>
      <w:r>
        <w:rPr>
          <w:rFonts w:ascii="Arial" w:cs="Arial" w:eastAsia="Arial" w:hAnsi="Arial"/>
          <w:sz w:val="18"/>
          <w:szCs w:val="18"/>
          <w:b w:val="1"/>
          <w:bCs w:val="1"/>
          <w:u w:val="single" w:color="auto"/>
          <w:color w:val="auto"/>
        </w:rPr>
        <w:t xml:space="preserve">Results of Operations - First Nine Months 2023 vs. First Nine Months 2022 </w:t>
      </w:r>
      <w:r>
        <w:rPr>
          <w:rFonts w:ascii="Arial" w:cs="Arial" w:eastAsia="Arial" w:hAnsi="Arial"/>
          <w:sz w:val="18"/>
          <w:szCs w:val="18"/>
          <w:b w:val="1"/>
          <w:bCs w:val="1"/>
          <w:color w:val="auto"/>
        </w:rPr>
        <w:t>Net Sales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sales increased 9.5% in the first nine months of 2023 compared to the same period of 2022, reflecting a favorable price realization of 9.1% primarily due to higher list prices across our reportable segments and a volume increase of 0.4% driven by increases in everyday core brands within the North America Salty Snacks and International segments, partially offset by a decrease in everyday core U.S. brands. There was no impact from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140"/>
        <w:spacing w:after="0" w:line="259" w:lineRule="auto"/>
        <w:rPr>
          <w:sz w:val="20"/>
          <w:szCs w:val="20"/>
          <w:color w:val="auto"/>
        </w:rPr>
      </w:pPr>
      <w:r>
        <w:rPr>
          <w:rFonts w:ascii="Arial" w:cs="Arial" w:eastAsia="Arial" w:hAnsi="Arial"/>
          <w:sz w:val="18"/>
          <w:szCs w:val="18"/>
          <w:color w:val="auto"/>
        </w:rPr>
        <w:t>For the first nine months of 2023, our total U.S. retail takeaway increased 7.5% in the expanded multi-outlet combined plus convenience store channels (IRI MULO + C-Stores), which includes candy, mint, gum, salty snacks and grocery items. Our U.S. CMG consumer takeaway increased 7.2% and experienced a CMG market share decline of 96 basis points. Our Salty consumer takeaway increased 10.7% and experienced a Salty market share decline of 1 basis point.</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left="40" w:right="380"/>
        <w:spacing w:after="0" w:line="259" w:lineRule="auto"/>
        <w:rPr>
          <w:sz w:val="20"/>
          <w:szCs w:val="20"/>
          <w:color w:val="auto"/>
        </w:rPr>
      </w:pPr>
      <w:r>
        <w:rPr>
          <w:rFonts w:ascii="Arial" w:cs="Arial" w:eastAsia="Arial" w:hAnsi="Arial"/>
          <w:sz w:val="18"/>
          <w:szCs w:val="18"/>
          <w:color w:val="auto"/>
        </w:rPr>
        <w:t>Cost of sales increased 5.0% in the first nine months of 2023 compared to the same period of 2022. The increase was driven by an incremental $28.0 million of unfavorable mark-to-market activity on our commodity derivative instruments intended to economically hedge future years’ commodity purchases, higher sales volume and higher supply chain costs, including higher logistics and labor costs. The increase was partially offset by favorable price realization and supply chain productivity.</w:t>
      </w:r>
    </w:p>
    <w:p>
      <w:pPr>
        <w:spacing w:after="0" w:line="52" w:lineRule="exact"/>
        <w:rPr>
          <w:sz w:val="20"/>
          <w:szCs w:val="20"/>
          <w:color w:val="auto"/>
        </w:rPr>
      </w:pPr>
    </w:p>
    <w:p>
      <w:pPr>
        <w:jc w:val="both"/>
        <w:ind w:left="40" w:right="80"/>
        <w:spacing w:after="0" w:line="286" w:lineRule="auto"/>
        <w:rPr>
          <w:sz w:val="20"/>
          <w:szCs w:val="20"/>
          <w:color w:val="auto"/>
        </w:rPr>
      </w:pPr>
      <w:r>
        <w:rPr>
          <w:rFonts w:ascii="Arial" w:cs="Arial" w:eastAsia="Arial" w:hAnsi="Arial"/>
          <w:sz w:val="17"/>
          <w:szCs w:val="17"/>
          <w:color w:val="auto"/>
        </w:rPr>
        <w:t>Gross margin increased by 230 basis points in the first nine months of 2023 compared to the same period of 2022. The increases were driven by favorable price realization and volume increases. The increase was partially offset by unfavorable year-over-year mark-to-market impact from commodity derivative instruments, higher supply chain inflation costs, including higher logistics and labor costs and unfavorable product mix.</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SM&amp;A Expenses</w:t>
      </w:r>
    </w:p>
    <w:p>
      <w:pPr>
        <w:spacing w:after="0" w:line="108" w:lineRule="exact"/>
        <w:rPr>
          <w:sz w:val="20"/>
          <w:szCs w:val="20"/>
          <w:color w:val="auto"/>
        </w:rPr>
      </w:pPr>
    </w:p>
    <w:p>
      <w:pPr>
        <w:ind w:left="40"/>
        <w:spacing w:after="0" w:line="279" w:lineRule="auto"/>
        <w:rPr>
          <w:sz w:val="20"/>
          <w:szCs w:val="20"/>
          <w:color w:val="auto"/>
        </w:rPr>
      </w:pPr>
      <w:r>
        <w:rPr>
          <w:rFonts w:ascii="Arial" w:cs="Arial" w:eastAsia="Arial" w:hAnsi="Arial"/>
          <w:sz w:val="17"/>
          <w:szCs w:val="17"/>
          <w:color w:val="auto"/>
        </w:rPr>
        <w:t>SM&amp;A expenses increased $158.1 million, or 9.8%, in the first nine months of 2023 compared to the same period of 2022. Total advertising and related consumer marketing expenses increased 14.5% driven by increases across reportable segments, primarily North America Confectionery and North America Salty Snacks. SM&amp;A expenses, excluding advertising and related consumer marketing, increased approximately 7.6% in the first nine months of 2023 driven by an increase in compensation costs, investments in capabilities and technology and broad-based marketplace inflation.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08" w:lineRule="exact"/>
        <w:rPr>
          <w:sz w:val="20"/>
          <w:szCs w:val="20"/>
          <w:color w:val="auto"/>
        </w:rPr>
      </w:pPr>
    </w:p>
    <w:p>
      <w:pPr>
        <w:ind w:left="40"/>
        <w:spacing w:after="0" w:line="259" w:lineRule="auto"/>
        <w:rPr>
          <w:sz w:val="20"/>
          <w:szCs w:val="20"/>
          <w:color w:val="auto"/>
        </w:rPr>
      </w:pPr>
      <w:r>
        <w:rPr>
          <w:rFonts w:ascii="Arial" w:cs="Arial" w:eastAsia="Arial" w:hAnsi="Arial"/>
          <w:sz w:val="18"/>
          <w:szCs w:val="18"/>
          <w:color w:val="auto"/>
        </w:rPr>
        <w:t xml:space="preserve">We periodically undertake business realignment activities designed to increase our efficiency and focus our business in support of our key growth strategies. During the first nine months of 2023, we recorded business realignment costs of $0.4 million versus $0.3 million in the first nine months of 2022 related to the International Optimization Program. Costs associated with business realignment activities are classified in our Consolidated Statements of Income as described in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Unaudited Consolidated Financial Statements.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jc w:val="both"/>
        <w:ind w:left="40" w:right="120"/>
        <w:spacing w:after="0" w:line="263" w:lineRule="auto"/>
        <w:rPr>
          <w:sz w:val="20"/>
          <w:szCs w:val="20"/>
          <w:color w:val="auto"/>
        </w:rPr>
      </w:pPr>
      <w:r>
        <w:rPr>
          <w:rFonts w:ascii="Arial" w:cs="Arial" w:eastAsia="Arial" w:hAnsi="Arial"/>
          <w:sz w:val="18"/>
          <w:szCs w:val="18"/>
          <w:color w:val="auto"/>
        </w:rPr>
        <w:t>Operating profit increased 20.9% in the first nine months of 2023 compared to the same period of 2022 predominantly due to higher gross profit, partially offset by higher SM&amp;A expenses, as noted above. Operating profit margin was 24.6% in 2023 and 22.3% in 2022 driven by the same factors noted above that resulted in higher gross margin for the period.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jc w:val="both"/>
        <w:ind w:left="40" w:right="260"/>
        <w:spacing w:after="0" w:line="259" w:lineRule="auto"/>
        <w:rPr>
          <w:sz w:val="20"/>
          <w:szCs w:val="20"/>
          <w:color w:val="auto"/>
        </w:rPr>
      </w:pPr>
      <w:r>
        <w:rPr>
          <w:rFonts w:ascii="Arial" w:cs="Arial" w:eastAsia="Arial" w:hAnsi="Arial"/>
          <w:sz w:val="18"/>
          <w:szCs w:val="18"/>
          <w:color w:val="auto"/>
        </w:rPr>
        <w:t>Net interest expense was $12.1 million higher in the first nine months of 2023 compared to the same period of 2022. The increase was primarily due to higher rates on short-term debt balances in 2023 versus 2022, specifically related to outstanding commercial paper borrowings and higher rates on long-term debt balances in 2023 versus 2022, specifically related to the $350 million 4.25% and $400 million 4.50% Notes issued in May 2023. The increase was partially offset by higher interest income in 2023 compared to 2022.</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left="40" w:right="260"/>
        <w:spacing w:after="0" w:line="286" w:lineRule="auto"/>
        <w:rPr>
          <w:sz w:val="20"/>
          <w:szCs w:val="20"/>
          <w:color w:val="auto"/>
        </w:rPr>
      </w:pPr>
      <w:r>
        <w:rPr>
          <w:rFonts w:ascii="Arial" w:cs="Arial" w:eastAsia="Arial" w:hAnsi="Arial"/>
          <w:sz w:val="17"/>
          <w:szCs w:val="17"/>
          <w:color w:val="auto"/>
        </w:rPr>
        <w:t>Other (income) expense, net was $130.2 million in the first nine months of 2023 versus expense of $78.2 million in the first nine months of 2022. The increase in net expense was primarily due to higher write-downs on equity investments qualifying for tax credits in 2023 versus the first quarter of 2022 and higher interest and amortization costs due to higher discount rates for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516890</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330835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42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10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effective income tax rate was 18.3% for the first nine months of 2023 compared with 19.7% for the first nine months of 2022. Relative to the 21% statutory rate, the 2023 effective tax rate was impacted by investment tax credits and employee share-based payments partially offset by state taxes and tax reserves. Relative to the 21% statutory rate, the 2022 effective tax rate was impacted by investment tax credits, partially offset by state taxes.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increased $264.2 million, or 21.2%, while EPS-diluted increased $1.32, or 21.9%, in the first nine months of 2023 compared to the same period of 2022. The increase in both net income and EPS-diluted was driven by higher gross profit, partially offset by higher SM&amp;A expenses, higher income taxes and higher other income and expenses. Our 2023 EPS-diluted also benefited from lower weighted-average shares outstanding as a result of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84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3"/>
              </w:rPr>
              <w:t>October 2, 2022</w:t>
            </w:r>
          </w:p>
        </w:tc>
        <w:tc>
          <w:tcPr>
            <w:tcW w:w="0" w:type="dxa"/>
            <w:vAlign w:val="bottom"/>
          </w:tcPr>
          <w:p>
            <w:pPr>
              <w:spacing w:after="0"/>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2,457.6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2,235.6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6,361.7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2,392.4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mark-to-market losses on commodity derivatives (2)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(Benefits) costs associated with business realignment activities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60" w:hanging="332"/>
        <w:spacing w:after="0" w:line="295"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8" w:lineRule="exact"/>
        <w:rPr>
          <w:rFonts w:ascii="Arial" w:cs="Arial" w:eastAsia="Arial" w:hAnsi="Arial"/>
          <w:sz w:val="15"/>
          <w:szCs w:val="15"/>
          <w:color w:val="auto"/>
        </w:rPr>
      </w:pPr>
    </w:p>
    <w:p>
      <w:pPr>
        <w:ind w:left="340" w:right="28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Net losses (gains) on mark-to-market valuation of commodity derivative positions recognized in unallocated derivative losses (gains). See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to the Unaudited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 Confectionery</w:t>
      </w:r>
    </w:p>
    <w:p>
      <w:pPr>
        <w:spacing w:after="0" w:line="10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81.1% and 81.9% of our net sales for the three months ended October 1, 2023 and October 2, 2022, respectively,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ind w:left="680"/>
              <w:spacing w:after="0"/>
              <w:rPr>
                <w:sz w:val="20"/>
                <w:szCs w:val="20"/>
                <w:color w:val="auto"/>
              </w:rPr>
            </w:pPr>
            <w:r>
              <w:rPr>
                <w:rFonts w:ascii="Arial" w:cs="Arial" w:eastAsia="Arial" w:hAnsi="Arial"/>
                <w:sz w:val="16"/>
                <w:szCs w:val="16"/>
                <w:b w:val="1"/>
                <w:bCs w:val="1"/>
                <w:color w:val="auto"/>
              </w:rPr>
              <w:t>Nine Months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October 2, 2022</w:t>
            </w:r>
          </w:p>
        </w:tc>
        <w:tc>
          <w:tcPr>
            <w:tcW w:w="10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 Change</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17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2,235.6</w:t>
            </w:r>
          </w:p>
        </w:tc>
        <w:tc>
          <w:tcPr>
            <w:tcW w:w="1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9.9 %  $</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6,902.9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6,361.7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847.5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2,392.4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2,107.6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31.6 %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34.7 %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2023 vs. Third Quarter 2022</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of our North America Confectionery segment increased $222.0 million, or 9.9%, in the third quarter of 2023 compared to the same period of 2022, reflecting a favorable price realization of 11.1% primarily due to list price increases on certain products across our portfolio. The increase was partially offset by a volume decrease of 1.0% due to a decrease in everyday core U.S. confection brands, and an unfavorable impact from foreign currency exchange rates of 0.2%.</w:t>
      </w:r>
    </w:p>
    <w:p>
      <w:pPr>
        <w:spacing w:after="0" w:line="11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11.6% during the third</w:t>
      </w:r>
    </w:p>
    <w:p>
      <w:pPr>
        <w:sectPr>
          <w:pgSz w:w="11900" w:h="16861" w:orient="portrait"/>
          <w:cols w:equalWidth="0" w:num="1">
            <w:col w:w="11240"/>
          </w:cols>
          <w:pgMar w:left="320" w:top="1440" w:right="339" w:bottom="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quarter of 2023 compared to the same period of 2022.</w:t>
      </w:r>
    </w:p>
    <w:p>
      <w:pPr>
        <w:spacing w:after="0" w:line="15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North America Confectionery segment income increased $140.7 million, or 19.9%, in the third quarter of 2023 compared to the same period of 2022, primarily due to favorable price realization, partially offset by volume declines, higher supply chain inflation costs, including higher logistics and labor costs, as well as unfavorable product mix.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2023 vs. First Nine Months 2022</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of our North America Confectionery segment increased $541.2 million, or 8.5%, in the first nine months of 2023 compared to the same period of 2022, reflecting a favorable price realization of 9.8% due to list price increases on certain products across our portfolio. The increase was partially offset by a volume decrease of 1.0% primarily driven by a decrease in everyday core U.S. confection brands, and an unfavorable impact from foreign currency exchange rates of 0.3%.</w:t>
      </w:r>
    </w:p>
    <w:p>
      <w:pPr>
        <w:spacing w:after="0" w:line="11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14.3% during the first nine months of 2023 compared to the same period of 2022.</w:t>
      </w:r>
    </w:p>
    <w:p>
      <w:pPr>
        <w:spacing w:after="0" w:line="10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Our North America Confectionery segment income increased $284.8 million or 13.5% in the first nine months of 2023 compared to the same period of 2022, primarily due to favorable price realization, partially offset by volume declines, higher supply chain inflation costs, including higher logistics and labor costs, as well as unfavorable product mix.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 Salty Snacks</w:t>
      </w:r>
    </w:p>
    <w:p>
      <w:pPr>
        <w:spacing w:after="0" w:line="16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North America Salty Snacks segment is responsible for our grocery and snacks market positions, including our salty snacking products. North America Salty Snacks results, which accounted for 11.4% and 10.1% of our net sales for the three months ended October 1, 2023 and October 2, 2022, respectively,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660"/>
              <w:spacing w:after="0"/>
              <w:rPr>
                <w:sz w:val="20"/>
                <w:szCs w:val="20"/>
                <w:color w:val="auto"/>
              </w:rPr>
            </w:pPr>
            <w:r>
              <w:rPr>
                <w:rFonts w:ascii="Arial" w:cs="Arial" w:eastAsia="Arial" w:hAnsi="Arial"/>
                <w:sz w:val="16"/>
                <w:szCs w:val="16"/>
                <w:b w:val="1"/>
                <w:bCs w:val="1"/>
                <w:color w:val="auto"/>
              </w:rPr>
              <w:t>Nine Months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 Change</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3"/>
              </w:rPr>
              <w:t>October 2, 2022</w:t>
            </w:r>
          </w:p>
        </w:tc>
        <w:tc>
          <w:tcPr>
            <w:tcW w:w="80" w:type="dxa"/>
            <w:vAlign w:val="bottom"/>
          </w:tcPr>
          <w:p>
            <w:pPr>
              <w:spacing w:after="0"/>
              <w:rPr>
                <w:sz w:val="18"/>
                <w:szCs w:val="18"/>
                <w:color w:val="auto"/>
              </w:rPr>
            </w:pPr>
          </w:p>
        </w:tc>
        <w:tc>
          <w:tcPr>
            <w:tcW w:w="160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w w:val="97"/>
              </w:rPr>
              <w:t>25.5 %  $</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887.5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757.4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580" w:type="dxa"/>
            <w:vAlign w:val="bottom"/>
          </w:tcPr>
          <w:p>
            <w:pPr>
              <w:ind w:left="1060"/>
              <w:spacing w:after="0"/>
              <w:rPr>
                <w:sz w:val="20"/>
                <w:szCs w:val="20"/>
                <w:color w:val="auto"/>
              </w:rPr>
            </w:pPr>
            <w:r>
              <w:rPr>
                <w:rFonts w:ascii="Arial" w:cs="Arial" w:eastAsia="Arial" w:hAnsi="Arial"/>
                <w:sz w:val="18"/>
                <w:szCs w:val="18"/>
                <w:color w:val="auto"/>
                <w:w w:val="89"/>
              </w:rPr>
              <w:t>29.0 %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13.6 %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2023 vs. Third Quarter 2022</w:t>
      </w:r>
    </w:p>
    <w:p>
      <w:pPr>
        <w:spacing w:after="0" w:line="14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Net sales of our North America Salty Snacks segment increased $70.2 million, or 25.5%, in the third quarter of 2023 compared to the same period of 2022. This reflects a volume increase of 22.2%, primarily due to </w:t>
      </w:r>
      <w:r>
        <w:rPr>
          <w:rFonts w:ascii="Arial" w:cs="Arial" w:eastAsia="Arial" w:hAnsi="Arial"/>
          <w:sz w:val="18"/>
          <w:szCs w:val="18"/>
          <w:i w:val="1"/>
          <w:iCs w:val="1"/>
          <w:color w:val="auto"/>
        </w:rPr>
        <w:t>Dot’s Homestyle Pretzels</w:t>
      </w:r>
      <w:r>
        <w:rPr>
          <w:rFonts w:ascii="Arial" w:cs="Arial" w:eastAsia="Arial" w:hAnsi="Arial"/>
          <w:sz w:val="18"/>
          <w:szCs w:val="18"/>
          <w:color w:val="auto"/>
        </w:rPr>
        <w:t xml:space="preserve"> and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snacks, and a favorable price realization of 3.3%, due to list price increases on certain products across our portfolio, primarily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snacks.</w:t>
      </w:r>
    </w:p>
    <w:p>
      <w:pPr>
        <w:spacing w:after="0" w:line="101"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 xml:space="preserve">Our North America Salty Snacks segment income increased $12.9 million, or 29.0%, in the third quarter of 2023 compared to the same period of 2022, primarily due to volume increases on certain products and favorable price realization, partially offset by increased advertising and related consumer marketing costs and additional supply chain expenses related to the voluntary removal of certain </w:t>
      </w:r>
      <w:r>
        <w:rPr>
          <w:rFonts w:ascii="Arial" w:cs="Arial" w:eastAsia="Arial" w:hAnsi="Arial"/>
          <w:sz w:val="17"/>
          <w:szCs w:val="17"/>
          <w:i w:val="1"/>
          <w:iCs w:val="1"/>
          <w:color w:val="auto"/>
        </w:rPr>
        <w:t>Paqui</w:t>
      </w:r>
      <w:r>
        <w:rPr>
          <w:rFonts w:ascii="Arial" w:cs="Arial" w:eastAsia="Arial" w:hAnsi="Arial"/>
          <w:sz w:val="17"/>
          <w:szCs w:val="17"/>
          <w:color w:val="auto"/>
        </w:rPr>
        <w:t xml:space="preserve"> branded items.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2023 vs. First Nine Months 2022</w:t>
      </w:r>
    </w:p>
    <w:p>
      <w:pPr>
        <w:spacing w:after="0" w:line="13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 xml:space="preserve">Net sales of our North America Salty Snacks segment increased $130.1 million, or 17.2%, in the first nine months of 2023 compared to the same period of 2022, reflecting a volume increase of 10.3%, primarily related to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and </w:t>
      </w:r>
      <w:r>
        <w:rPr>
          <w:rFonts w:ascii="Arial" w:cs="Arial" w:eastAsia="Arial" w:hAnsi="Arial"/>
          <w:sz w:val="17"/>
          <w:szCs w:val="17"/>
          <w:i w:val="1"/>
          <w:iCs w:val="1"/>
          <w:color w:val="auto"/>
        </w:rPr>
        <w:t>Dot’s Homestyle Pretzels</w:t>
      </w:r>
      <w:r>
        <w:rPr>
          <w:rFonts w:ascii="Arial" w:cs="Arial" w:eastAsia="Arial" w:hAnsi="Arial"/>
          <w:sz w:val="17"/>
          <w:szCs w:val="17"/>
          <w:color w:val="auto"/>
        </w:rPr>
        <w:t xml:space="preserve"> snacks, and a favorable price realization of 6.9%, due to list price increases on certain products across our portfolio, primarily </w:t>
      </w:r>
      <w:r>
        <w:rPr>
          <w:rFonts w:ascii="Arial" w:cs="Arial" w:eastAsia="Arial" w:hAnsi="Arial"/>
          <w:sz w:val="17"/>
          <w:szCs w:val="17"/>
          <w:i w:val="1"/>
          <w:iCs w:val="1"/>
          <w:color w:val="auto"/>
        </w:rPr>
        <w:t>Dot’s Homestyle Pretzels</w:t>
      </w:r>
      <w:r>
        <w:rPr>
          <w:rFonts w:ascii="Arial" w:cs="Arial" w:eastAsia="Arial" w:hAnsi="Arial"/>
          <w:sz w:val="17"/>
          <w:szCs w:val="17"/>
          <w:color w:val="auto"/>
        </w:rPr>
        <w:t xml:space="preserve"> and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snacks.</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Our North America Salty Snacks segment income increased $44.7 million, or 43.3%, in the first nine months of 2023 compared to the same period of 2022, due to favorable price realization and volume increases, partially offset by increased advertising and related consumer marketing costs and increased supply chain costs, including incremental supply chain expenses incurred in the third quarter of 2023 related to the voluntary removal of certain </w:t>
      </w:r>
      <w:r>
        <w:rPr>
          <w:rFonts w:ascii="Arial" w:cs="Arial" w:eastAsia="Arial" w:hAnsi="Arial"/>
          <w:sz w:val="18"/>
          <w:szCs w:val="18"/>
          <w:i w:val="1"/>
          <w:iCs w:val="1"/>
          <w:color w:val="auto"/>
        </w:rPr>
        <w:t>Paqui</w:t>
      </w:r>
      <w:r>
        <w:rPr>
          <w:rFonts w:ascii="Arial" w:cs="Arial" w:eastAsia="Arial" w:hAnsi="Arial"/>
          <w:sz w:val="18"/>
          <w:szCs w:val="18"/>
          <w:color w:val="auto"/>
        </w:rPr>
        <w:t xml:space="preserve"> branded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(“AMEA”) and other regions. International results, which accounted for 7.5% and 8.0% of our net sales for the three months ended October 1, 2023 and October 2, 2022, respectively,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660"/>
              <w:spacing w:after="0"/>
              <w:rPr>
                <w:sz w:val="20"/>
                <w:szCs w:val="20"/>
                <w:color w:val="auto"/>
              </w:rPr>
            </w:pPr>
            <w:r>
              <w:rPr>
                <w:rFonts w:ascii="Arial" w:cs="Arial" w:eastAsia="Arial" w:hAnsi="Arial"/>
                <w:sz w:val="16"/>
                <w:szCs w:val="16"/>
                <w:b w:val="1"/>
                <w:bCs w:val="1"/>
                <w:color w:val="auto"/>
              </w:rPr>
              <w:t>Nine Months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2"/>
              </w:rPr>
              <w:t>October 2, 2022</w:t>
            </w:r>
          </w:p>
        </w:tc>
        <w:tc>
          <w:tcPr>
            <w:tcW w:w="12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 Change</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October 1, 2023</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3"/>
              </w:rPr>
              <w:t>October 2, 2022</w:t>
            </w:r>
          </w:p>
        </w:tc>
        <w:tc>
          <w:tcPr>
            <w:tcW w:w="100" w:type="dxa"/>
            <w:vAlign w:val="bottom"/>
          </w:tcPr>
          <w:p>
            <w:pPr>
              <w:spacing w:after="0"/>
              <w:rPr>
                <w:sz w:val="18"/>
                <w:szCs w:val="18"/>
                <w:color w:val="auto"/>
              </w:rPr>
            </w:pPr>
          </w:p>
        </w:tc>
        <w:tc>
          <w:tcPr>
            <w:tcW w:w="160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17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4.4 %  $</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2023 vs. Third Quarter 2022</w:t>
      </w:r>
    </w:p>
    <w:p>
      <w:pPr>
        <w:spacing w:after="0" w:line="1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Net sales of our International segment increased $9.6 million, or 4.4%, in the third quarter of 2023 compared to the same period of 2022, reflecting a favorable impact from foreign currency exchange rates of 5.6%, primarily driven by Mexico and favorable price realization of 4.1%. The increase was partially offset by volume declines of 5.3% across the segment. The net sales increase was primarily driven by Mexico, where net sales increased by 19.0%.</w:t>
      </w:r>
    </w:p>
    <w:p>
      <w:pPr>
        <w:spacing w:after="0" w:line="10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International segment generated income of $31.7 million in the third quarter of 2023 compared to $35.4 million in the third quarter of 2022, driven primarily by volume declines and unfavorable product mix, partially offset by favorable price realization and lower supply chain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2023 vs. First Nine Months 2022</w:t>
      </w:r>
    </w:p>
    <w:p>
      <w:pPr>
        <w:sectPr>
          <w:pgSz w:w="11900" w:h="16838" w:orient="portrait"/>
          <w:cols w:equalWidth="0" w:num="1">
            <w:col w:w="11240"/>
          </w:cols>
          <w:pgMar w:left="320" w:top="125" w:right="339" w:bottom="29"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color w:val="auto"/>
        </w:rPr>
        <w:t>Net sales of our International segment increased $69.7 million, or 10.8%, in the first nine months of 2023 compared to the same period of 2022, reflecting a favorable price realization of 4.2%, volume increases of 3.4%, primarily attributable to marketplace growth across the segment, and a favorable impact from foreign currency exchange rates of 3.2%, primarily driven by Mexico. The net sales increase was primarily driven by Mexico and Brazil and Latin America, where net sales increased by 19.9% and 12.8%, respectively.</w:t>
      </w:r>
    </w:p>
    <w:p>
      <w:pPr>
        <w:spacing w:after="0" w:line="1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International segment generated income of $127.8 million in the first nine months of 2023 compared to $108.1 million in the first nine months of 2022, driven primarily by favorable price realization, volume increases and favorable supply chain costs, partially offset by unfavorable product mix.</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0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1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third quarter of 2023, unallocated corporate expense totaled $199.3 million, as compared to $179.6 million in the third quarter of 2022. The increase was primarily driven by an increase in acquisition and integration related costs, as well as investments in capabilities and technology and higher compensation costs.</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the first nine months of 2023, unallocated corporate expense totaled $563.0 million, as compared to $518.9 million in the first nine months of 2022. The increase was primarily driven by higher acquisition and integration related costs, as well as incremental investments in capabilities and technology and higher compensation costs, partially offset by a loss recognized in the prior year on the sale of non-operating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October 1, 2023, our cash and cash equivalents totaled $471.3 million, an increase of $7.4 million compared to the 2022 year-end balance. We believe we have sufficient liquidity to satisfy our cash needs, including our unsecured revolving credit facility which allows the Company to borrow up to $1.35 billion with the option to increase borrowings by an additional $500 million with the consent of the lenders. Additional details regarding the net uses of cash are outlined in the following discussion.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Approximately 85% of the balance of our cash and cash equivalents at October 1, 2023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98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October 1, 2023</w:t>
            </w:r>
          </w:p>
        </w:tc>
        <w:tc>
          <w:tcPr>
            <w:tcW w:w="320" w:type="dxa"/>
            <w:vAlign w:val="bottom"/>
          </w:tcPr>
          <w:p>
            <w:pPr>
              <w:spacing w:after="0"/>
              <w:rPr>
                <w:sz w:val="18"/>
                <w:szCs w:val="18"/>
                <w:color w:val="auto"/>
              </w:rPr>
            </w:pPr>
          </w:p>
        </w:tc>
        <w:tc>
          <w:tcPr>
            <w:tcW w:w="1800" w:type="dxa"/>
            <w:vAlign w:val="bottom"/>
          </w:tcPr>
          <w:p>
            <w:pPr>
              <w:jc w:val="right"/>
              <w:ind w:right="432"/>
              <w:spacing w:after="0"/>
              <w:rPr>
                <w:sz w:val="20"/>
                <w:szCs w:val="20"/>
                <w:color w:val="auto"/>
              </w:rPr>
            </w:pPr>
            <w:r>
              <w:rPr>
                <w:rFonts w:ascii="Arial" w:cs="Arial" w:eastAsia="Arial" w:hAnsi="Arial"/>
                <w:sz w:val="16"/>
                <w:szCs w:val="16"/>
                <w:b w:val="1"/>
                <w:bCs w:val="1"/>
                <w:color w:val="auto"/>
              </w:rPr>
              <w:t>October 2, 2022</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Pr>
          <w:p>
            <w:pPr>
              <w:ind w:left="980"/>
              <w:spacing w:after="0"/>
              <w:rPr>
                <w:sz w:val="20"/>
                <w:szCs w:val="20"/>
                <w:color w:val="auto"/>
              </w:rPr>
            </w:pPr>
            <w:r>
              <w:rPr>
                <w:rFonts w:ascii="Arial" w:cs="Arial" w:eastAsia="Arial" w:hAnsi="Arial"/>
                <w:sz w:val="18"/>
                <w:szCs w:val="18"/>
                <w:color w:val="auto"/>
              </w:rPr>
              <w:t>1,565.6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1,560.2</w:t>
            </w: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(1,076.0)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020" w:type="dxa"/>
            <w:vAlign w:val="bottom"/>
            <w:gridSpan w:val="3"/>
          </w:tcPr>
          <w:p>
            <w:pPr>
              <w:jc w:val="right"/>
              <w:spacing w:after="0"/>
              <w:rPr>
                <w:sz w:val="20"/>
                <w:szCs w:val="20"/>
                <w:color w:val="auto"/>
              </w:rPr>
            </w:pPr>
            <w:r>
              <w:rPr>
                <w:rFonts w:ascii="Arial" w:cs="Arial" w:eastAsia="Arial" w:hAnsi="Arial"/>
                <w:sz w:val="16"/>
                <w:szCs w:val="16"/>
                <w:color w:val="auto"/>
              </w:rPr>
              <w:t>The Hershey Company | Q3 2023 Form 10-Q | Page 43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generated cash of $1,565.6 million from operating activities in the first nine months of 2023, an increase of $5.4 million compared to $1,560.2 million in the same period of 2022. This increase in net cash provided by operating activities was mainly driven by the following factors:</w:t>
      </w:r>
    </w:p>
    <w:p>
      <w:pPr>
        <w:spacing w:after="0" w:line="70" w:lineRule="exact"/>
        <w:rPr>
          <w:sz w:val="20"/>
          <w:szCs w:val="20"/>
          <w:color w:val="auto"/>
        </w:rPr>
      </w:pPr>
    </w:p>
    <w:p>
      <w:pPr>
        <w:ind w:left="340" w:right="360" w:hanging="332"/>
        <w:spacing w:after="0" w:line="308"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income adjusted for non-cash charges to operations (including depreciation, amortization, stock-based compensation, deferred income taxes, a write-down of equity investments and other charges) resulted in $314.9 million of higher cash flow in 2023 relative to 2022.</w:t>
      </w:r>
    </w:p>
    <w:p>
      <w:pPr>
        <w:spacing w:after="0" w:line="92" w:lineRule="exact"/>
        <w:rPr>
          <w:rFonts w:ascii="Arial" w:cs="Arial" w:eastAsia="Arial" w:hAnsi="Arial"/>
          <w:sz w:val="17"/>
          <w:szCs w:val="17"/>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171" w:lineRule="exact"/>
        <w:rPr>
          <w:rFonts w:ascii="Arial" w:cs="Arial" w:eastAsia="Arial" w:hAnsi="Arial"/>
          <w:sz w:val="18"/>
          <w:szCs w:val="18"/>
          <w:color w:val="auto"/>
        </w:rPr>
      </w:pPr>
    </w:p>
    <w:p>
      <w:pPr>
        <w:ind w:left="980" w:right="160" w:hanging="324"/>
        <w:spacing w:after="0" w:line="259"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aggregate, select net working capital items, specifically, trade accounts receivable, inventory, accounts payable and accrued liabilities, consumed cash of $449.6 million in 2023, compared to $212.6 million in 2022. This $237.4 million fluctuation was mainly driven by an increase in cash used by accounts receivable due to an increase in sales of U.S. seasonal products and the timing of vendor and supplier payments.</w:t>
      </w:r>
    </w:p>
    <w:p>
      <w:pPr>
        <w:spacing w:after="0" w:line="132" w:lineRule="exact"/>
        <w:rPr>
          <w:rFonts w:ascii="Arial" w:cs="Arial" w:eastAsia="Arial" w:hAnsi="Arial"/>
          <w:sz w:val="18"/>
          <w:szCs w:val="18"/>
          <w:color w:val="auto"/>
        </w:rPr>
      </w:pPr>
    </w:p>
    <w:p>
      <w:pPr>
        <w:ind w:left="980" w:right="440" w:hanging="324"/>
        <w:spacing w:after="0" w:line="259"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Timing of income tax payments contributed to an increase in operating cash of $83.2 million in 2023, compared to an increase of $125.0 million in 2022. This $41.7 million fluctuation was primarily due to the variance in actual tax expense for 2023 relative to the timing of quarterly estimated tax payments. We paid cash of $264.5 million for income taxes during 2023 compared to $190.7 million in the same period of 2022.</w:t>
      </w:r>
    </w:p>
    <w:p>
      <w:pPr>
        <w:spacing w:after="0" w:line="132" w:lineRule="exact"/>
        <w:rPr>
          <w:rFonts w:ascii="Arial" w:cs="Arial" w:eastAsia="Arial" w:hAnsi="Arial"/>
          <w:sz w:val="18"/>
          <w:szCs w:val="18"/>
          <w:color w:val="auto"/>
        </w:rPr>
      </w:pPr>
    </w:p>
    <w:p>
      <w:pPr>
        <w:jc w:val="both"/>
        <w:ind w:left="980" w:right="260" w:hanging="324"/>
        <w:spacing w:after="0" w:line="263"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Other assets and liabilities consumed cash of $93.7 million in 2023, compared to $67.8 million in 2022. This $26.0 million fluctuation was primarily due to our purchase of an irrevocable group annuity contract to settle a portion of our post retirement benefit obligation, partially offset by the timing of certain prepaid expenses and other current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used cash of $735.5 million for investing activities in the first nine months of 2023, an increase of $225.5 million compared to $510.0 million in the same period of 2022. This increase in net cash used in investing activities was mainly driven by the following factors:</w:t>
      </w:r>
    </w:p>
    <w:p>
      <w:pPr>
        <w:spacing w:after="0" w:line="116" w:lineRule="exact"/>
        <w:rPr>
          <w:sz w:val="20"/>
          <w:szCs w:val="20"/>
          <w:color w:val="auto"/>
        </w:rPr>
      </w:pPr>
    </w:p>
    <w:p>
      <w:pPr>
        <w:ind w:left="340" w:hanging="332"/>
        <w:spacing w:after="0" w:line="293" w:lineRule="auto"/>
        <w:tabs>
          <w:tab w:leader="none" w:pos="33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Capital spending</w:t>
      </w:r>
      <w:r>
        <w:rPr>
          <w:rFonts w:ascii="Arial" w:cs="Arial" w:eastAsia="Arial" w:hAnsi="Arial"/>
          <w:sz w:val="16"/>
          <w:szCs w:val="16"/>
          <w:color w:val="auto"/>
        </w:rPr>
        <w:t>. Capital expenditures, including capitalized software, primarily to support our ERP system implementation, capacity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and cost savings, were $548.6 million in the first nine months of 2023 compared to $360.0 million in the same period of 2022. Expenditures increased due to progress on capacity expansion projects and our ERP system implementation. We expect 2023 capital expenditures, including capitalized software, to approximate $800 million to $850 million. The increase in our 2023 capital expenditures is largely driven by our key strategic initiatives, including core confection capacity expansion and continued investments in a digital infrastructure including the build and upgrade of a new ERP system across the enterprise. We intend to use our existing cash and internally generated funds to meet our 2023 capital requirements.</w:t>
      </w:r>
    </w:p>
    <w:p>
      <w:pPr>
        <w:spacing w:after="0" w:line="110" w:lineRule="exact"/>
        <w:rPr>
          <w:rFonts w:ascii="Arial" w:cs="Arial" w:eastAsia="Arial" w:hAnsi="Arial"/>
          <w:sz w:val="16"/>
          <w:szCs w:val="16"/>
          <w:i w:val="1"/>
          <w:iCs w:val="1"/>
          <w:color w:val="auto"/>
        </w:rPr>
      </w:pPr>
    </w:p>
    <w:p>
      <w:pPr>
        <w:ind w:left="340" w:right="360" w:hanging="332"/>
        <w:spacing w:after="0" w:line="263"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renewable energy tax credits. We invested approximately $18.1 million in the first nine months of 2023, compared to $159.7 million in the same period of 2022.</w:t>
      </w:r>
    </w:p>
    <w:p>
      <w:pPr>
        <w:spacing w:after="0" w:line="129" w:lineRule="exact"/>
        <w:rPr>
          <w:rFonts w:ascii="Arial" w:cs="Arial" w:eastAsia="Arial" w:hAnsi="Arial"/>
          <w:sz w:val="18"/>
          <w:szCs w:val="18"/>
          <w:color w:val="auto"/>
        </w:rPr>
      </w:pPr>
    </w:p>
    <w:p>
      <w:pPr>
        <w:ind w:left="340" w:right="340" w:hanging="332"/>
        <w:spacing w:after="0" w:line="342"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Business Acquisition</w:t>
      </w:r>
      <w:r>
        <w:rPr>
          <w:rFonts w:ascii="Arial" w:cs="Arial" w:eastAsia="Arial" w:hAnsi="Arial"/>
          <w:sz w:val="16"/>
          <w:szCs w:val="16"/>
          <w:color w:val="auto"/>
        </w:rPr>
        <w:t>. In May 2023, we acquired Weaver for an initial cash purchase price of $165.8 million. Further details regarding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activity is provided in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to the Unaudited Consolidated Financial Statements. In 2022, we had no acquisition activity.</w:t>
      </w:r>
    </w:p>
    <w:p>
      <w:pPr>
        <w:spacing w:after="0" w:line="69"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investing activities</w:t>
      </w:r>
      <w:r>
        <w:rPr>
          <w:rFonts w:ascii="Arial" w:cs="Arial" w:eastAsia="Arial" w:hAnsi="Arial"/>
          <w:sz w:val="18"/>
          <w:szCs w:val="18"/>
          <w:color w:val="auto"/>
        </w:rPr>
        <w:t>. In 2023 and 2022, our other investing activities were minimal.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used cash of $784.4 million for financing activities in the first nine months of 2023, a decrease of $291.6 million compared to $1,076.0 million in the same period of 2022. This decrease in net cash used in financing activities was mainly driven by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ind w:left="332" w:right="420" w:hanging="332"/>
        <w:spacing w:after="0" w:line="287" w:lineRule="auto"/>
        <w:tabs>
          <w:tab w:leader="none" w:pos="327"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nine months of 2023, we generated cash of $126.1 million predominately through the issuance of short-term commercial paper, as well as an increase in short-term foreign bank borrowings. During the</w:t>
      </w:r>
    </w:p>
    <w:p>
      <w:pPr>
        <w:spacing w:after="0" w:line="2" w:lineRule="exact"/>
        <w:rPr>
          <w:rFonts w:ascii="Arial" w:cs="Arial" w:eastAsia="Arial" w:hAnsi="Arial"/>
          <w:sz w:val="16"/>
          <w:szCs w:val="16"/>
          <w:i w:val="1"/>
          <w:iCs w:val="1"/>
          <w:color w:val="auto"/>
        </w:rPr>
      </w:pPr>
    </w:p>
    <w:p>
      <w:pPr>
        <w:ind w:left="332" w:right="18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first nine months of 2022, we used cash of $145.6 million to reduce a portion of our short-term commercial paper borrowings originally used to fund our 2021 acquisitions of Dot’s and Pretzels, partially offset by an increase in short-term foreign bank borrowings.</w:t>
      </w:r>
    </w:p>
    <w:p>
      <w:pPr>
        <w:spacing w:after="0" w:line="131" w:lineRule="exact"/>
        <w:rPr>
          <w:rFonts w:ascii="Arial" w:cs="Arial" w:eastAsia="Arial" w:hAnsi="Arial"/>
          <w:sz w:val="16"/>
          <w:szCs w:val="16"/>
          <w:i w:val="1"/>
          <w:iCs w:val="1"/>
          <w:color w:val="auto"/>
        </w:rPr>
      </w:pPr>
    </w:p>
    <w:p>
      <w:pPr>
        <w:ind w:left="332" w:hanging="332"/>
        <w:spacing w:after="0" w:line="259"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nine months of 2023, we issued $350 million of 4.250% Notes due in May 2028 and $400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4.500% Notes due in May 2033 (the “2023 Notes”). Proceeds from the issuance of the 2023 Notes, net of discounts and issuance costs, totaled $744 million. Additionally, in May 2023 we repaid $250 million of 2.625% Notes and $500 million of 3.375% Notes due upon their maturity. During the first nine months of 2022, long-term debt borrowings and repayments were minimal.</w:t>
      </w:r>
    </w:p>
    <w:p>
      <w:pPr>
        <w:spacing w:after="0" w:line="132" w:lineRule="exact"/>
        <w:rPr>
          <w:rFonts w:ascii="Arial" w:cs="Arial" w:eastAsia="Arial" w:hAnsi="Arial"/>
          <w:sz w:val="18"/>
          <w:szCs w:val="18"/>
          <w:color w:val="auto"/>
        </w:rPr>
      </w:pPr>
    </w:p>
    <w:p>
      <w:pPr>
        <w:jc w:val="both"/>
        <w:ind w:left="332" w:right="160" w:hanging="332"/>
        <w:spacing w:after="0" w:line="263"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$651.3 million during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2023, an increase of $83.3 million compared to $568.0 million in the same period of 2022. Details regarding our 2023 cash dividends paid to stockholders are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5"/>
              </w:rPr>
              <w:t>Quarter Ended</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26"/>
        </w:trPr>
        <w:tc>
          <w:tcPr>
            <w:tcW w:w="476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300" w:type="dxa"/>
            <w:vAlign w:val="bottom"/>
          </w:tcPr>
          <w:p>
            <w:pPr>
              <w:spacing w:after="0"/>
              <w:rPr>
                <w:sz w:val="19"/>
                <w:szCs w:val="19"/>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2, 2023</w:t>
            </w:r>
          </w:p>
        </w:tc>
        <w:tc>
          <w:tcPr>
            <w:tcW w:w="280" w:type="dxa"/>
            <w:vAlign w:val="bottom"/>
          </w:tcPr>
          <w:p>
            <w:pPr>
              <w:spacing w:after="0"/>
              <w:rPr>
                <w:sz w:val="19"/>
                <w:szCs w:val="19"/>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July 2, 2023</w:t>
            </w:r>
          </w:p>
        </w:tc>
        <w:tc>
          <w:tcPr>
            <w:tcW w:w="26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October 1, 2023</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Dividends paid per share – Class B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0.942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0.942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bl>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Declaration date</w:t>
            </w:r>
          </w:p>
        </w:tc>
        <w:tc>
          <w:tcPr>
            <w:tcW w:w="3920" w:type="dxa"/>
            <w:vAlign w:val="bottom"/>
            <w:gridSpan w:val="2"/>
          </w:tcPr>
          <w:p>
            <w:pPr>
              <w:jc w:val="right"/>
              <w:ind w:right="410"/>
              <w:spacing w:after="0"/>
              <w:rPr>
                <w:sz w:val="20"/>
                <w:szCs w:val="20"/>
                <w:color w:val="auto"/>
              </w:rPr>
            </w:pPr>
            <w:r>
              <w:rPr>
                <w:rFonts w:ascii="Arial" w:cs="Arial" w:eastAsia="Arial" w:hAnsi="Arial"/>
                <w:sz w:val="18"/>
                <w:szCs w:val="18"/>
                <w:color w:val="auto"/>
              </w:rPr>
              <w:t>January 31, 2023</w:t>
            </w:r>
          </w:p>
        </w:tc>
        <w:tc>
          <w:tcPr>
            <w:tcW w:w="1860" w:type="dxa"/>
            <w:vAlign w:val="bottom"/>
          </w:tcPr>
          <w:p>
            <w:pPr>
              <w:jc w:val="right"/>
              <w:ind w:right="210"/>
              <w:spacing w:after="0"/>
              <w:rPr>
                <w:sz w:val="20"/>
                <w:szCs w:val="20"/>
                <w:color w:val="auto"/>
              </w:rPr>
            </w:pPr>
            <w:r>
              <w:rPr>
                <w:rFonts w:ascii="Arial" w:cs="Arial" w:eastAsia="Arial" w:hAnsi="Arial"/>
                <w:sz w:val="18"/>
                <w:szCs w:val="18"/>
                <w:color w:val="auto"/>
              </w:rPr>
              <w:t>April 25, 2023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July 27, 2023</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17,</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4"/>
              </w:rPr>
              <w:t>2023</w:t>
            </w: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May 19, 2023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2023</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Payment date</w:t>
            </w:r>
          </w:p>
        </w:tc>
        <w:tc>
          <w:tcPr>
            <w:tcW w:w="3020" w:type="dxa"/>
            <w:vAlign w:val="bottom"/>
          </w:tcPr>
          <w:p>
            <w:pPr>
              <w:jc w:val="right"/>
              <w:spacing w:after="0"/>
              <w:rPr>
                <w:sz w:val="20"/>
                <w:szCs w:val="20"/>
                <w:color w:val="auto"/>
              </w:rPr>
            </w:pPr>
            <w:r>
              <w:rPr>
                <w:rFonts w:ascii="Arial" w:cs="Arial" w:eastAsia="Arial" w:hAnsi="Arial"/>
                <w:sz w:val="18"/>
                <w:szCs w:val="18"/>
                <w:color w:val="auto"/>
              </w:rPr>
              <w:t>March 15,</w:t>
            </w: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2023</w:t>
            </w:r>
          </w:p>
        </w:tc>
        <w:tc>
          <w:tcPr>
            <w:tcW w:w="1860" w:type="dxa"/>
            <w:vAlign w:val="bottom"/>
          </w:tcPr>
          <w:p>
            <w:pPr>
              <w:jc w:val="right"/>
              <w:ind w:right="210"/>
              <w:spacing w:after="0"/>
              <w:rPr>
                <w:sz w:val="20"/>
                <w:szCs w:val="20"/>
                <w:color w:val="auto"/>
              </w:rPr>
            </w:pPr>
            <w:r>
              <w:rPr>
                <w:rFonts w:ascii="Arial" w:cs="Arial" w:eastAsia="Arial" w:hAnsi="Arial"/>
                <w:sz w:val="18"/>
                <w:szCs w:val="18"/>
                <w:color w:val="auto"/>
              </w:rPr>
              <w:t>June 15, 2023</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2023</w:t>
            </w:r>
          </w:p>
        </w:tc>
      </w:tr>
    </w:tbl>
    <w:p>
      <w:pPr>
        <w:spacing w:after="0" w:line="241" w:lineRule="exact"/>
        <w:rPr>
          <w:sz w:val="20"/>
          <w:szCs w:val="20"/>
          <w:color w:val="auto"/>
        </w:rPr>
      </w:pPr>
    </w:p>
    <w:p>
      <w:pPr>
        <w:ind w:left="332" w:right="140" w:hanging="332"/>
        <w:spacing w:after="0" w:line="259" w:lineRule="auto"/>
        <w:tabs>
          <w:tab w:leader="none" w:pos="327"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repurchase shares of Common Stock to offset the dilutive impact of treasury shares issued under our equity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32" w:lineRule="exact"/>
        <w:rPr>
          <w:rFonts w:ascii="Arial" w:cs="Arial" w:eastAsia="Arial" w:hAnsi="Arial"/>
          <w:sz w:val="18"/>
          <w:szCs w:val="18"/>
          <w:i w:val="1"/>
          <w:iCs w:val="1"/>
          <w:color w:val="auto"/>
        </w:rPr>
      </w:pPr>
    </w:p>
    <w:p>
      <w:pPr>
        <w:ind w:left="332" w:right="2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Milton Hershey School Trust at a price equal to $239.91 per share, for a total purchase price of $239.9 million.</w:t>
      </w:r>
    </w:p>
    <w:p>
      <w:pPr>
        <w:spacing w:after="0" w:line="129" w:lineRule="exact"/>
        <w:rPr>
          <w:rFonts w:ascii="Arial" w:cs="Arial" w:eastAsia="Arial" w:hAnsi="Arial"/>
          <w:sz w:val="18"/>
          <w:szCs w:val="18"/>
          <w:i w:val="1"/>
          <w:iCs w:val="1"/>
          <w:color w:val="auto"/>
        </w:rPr>
      </w:pPr>
    </w:p>
    <w:p>
      <w:pPr>
        <w:ind w:left="332" w:right="1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In July 2018, our Board of Directors approved a $500 million share repurchase authorization. In May 2021, our Board of Directors approved an additional $500 million share repurchase authorization. As a result of the February 2023 Stock Purchase Agreement with Hershey Trust Company, as trustee for the School Trust, the July 2018 share repurchase authorization was completed and as of October 1, 2023, approximately $370 million remained available for repurchases under our May 2021 share repurchase authorization. The share repurchase program does not have an expiration date. We expect 2023 share repurchases to be in line with our traditional buyback strategy.</w:t>
      </w:r>
    </w:p>
    <w:p>
      <w:pPr>
        <w:spacing w:after="0" w:line="122" w:lineRule="exact"/>
        <w:rPr>
          <w:rFonts w:ascii="Arial" w:cs="Arial" w:eastAsia="Arial" w:hAnsi="Arial"/>
          <w:sz w:val="18"/>
          <w:szCs w:val="18"/>
          <w:i w:val="1"/>
          <w:iCs w:val="1"/>
          <w:color w:val="auto"/>
        </w:rPr>
      </w:pPr>
    </w:p>
    <w:p>
      <w:pPr>
        <w:ind w:left="332" w:right="100" w:hanging="332"/>
        <w:spacing w:after="0" w:line="279" w:lineRule="auto"/>
        <w:tabs>
          <w:tab w:leader="none" w:pos="327"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Proceeds from exercised stock options and employee tax withholding. </w:t>
      </w:r>
      <w:r>
        <w:rPr>
          <w:rFonts w:ascii="Arial" w:cs="Arial" w:eastAsia="Arial" w:hAnsi="Arial"/>
          <w:sz w:val="17"/>
          <w:szCs w:val="17"/>
          <w:color w:val="auto"/>
        </w:rPr>
        <w:t>During the first nine months of 2023, we received $24.3 million from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exercises of stock options and paid $34.1 million of employee taxes withheld from share-based awards. During the first nine months of 2022, we received $30.8 million from employee exercises of stock options and paid $34.7 million of employee taxes withheld from share-based awards. Variances are driven primarily by the number of shares exercised and the share price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6926580</wp:posOffset>
            </wp:positionH>
            <wp:positionV relativeFrom="paragraph">
              <wp:posOffset>563245</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
        <w:spacing w:after="0"/>
        <w:tabs>
          <w:tab w:leader="none" w:pos="3812"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339725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2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recently adopted and issued accounting standards is included in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to the Unaudited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97" w:lineRule="exact"/>
        <w:rPr>
          <w:sz w:val="20"/>
          <w:szCs w:val="20"/>
          <w:color w:val="auto"/>
        </w:rPr>
      </w:pPr>
    </w:p>
    <w:p>
      <w:pPr>
        <w:ind w:left="660" w:right="24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75"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7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452120</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9" w:name="page50"/>
    <w:bookmarkEnd w:id="49"/>
    <w:p>
      <w:pPr>
        <w:ind w:left="660" w:right="2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including impacts on our business arising from the ongoing conflict between Russia and Ukraine and the recent conflict in the Gaza Strip, could negatively impact our financial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63"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 and</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other matters as discussed in our 2022 Annual Report on Form 10-K, our Quarterly Report on Form 10-Q for the quarterly periods ended April 2, 2023 and July 3, 2023, and this Quarterly Report on Form 10-Q, including Part II, Item 1A, ”Risk Factors.”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total amount of short-term debt, net of cash, amounted to net debt of $348.6 million and net debt of $230.0 million, at October 1, 2023 and</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December 31, 2022, respectively. A hypothetical 100 basis point increase in interest rates applied to this variable-rate short-term debt as of October 1, 2023 would have changed interest expense by approximately $2.3 million for the first nine months of 2023 and $4.5 million for 2022.</w:t>
      </w:r>
    </w:p>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October 1, 2023 and December 31, 2022 by approximately $206 million and $187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$29.0 million as of October 1, 2023 and $18.4 million as of December 31, 2022, generally offset by a reduction in foreign exchange associated with our transactional activities.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open commodity derivative contracts had a notional value of $155.3 million as of October 1, 2023 and $243.0 million as of December 31, 2022. At the end of the third quarter of 2023, the potential change in fair value of commodity derivative instruments, assuming a 10% decrease in the underlying commodity price, would have increased our net unrealized losses by $17.6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0" w:name="page51"/>
    <w:bookmarkEnd w:id="5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October 1, 2023. Based on this evaluation, our Chief Executive Officer and Chief Financial Officer concluded that our disclosure controls and procedures were effective as of October 1,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in the process of a multi-year implementation of a new global enterprise resource planning (“ERP”) system, which replaces our existing operating and financial systems. The ERP system is designed to accurately maintain the Company’s financial records, enhance operational functionality, and provide timely information to the Company’s management team related to the operation of the business. During the third quarter of 2022, we completed the implementation of one operating segment that is included in our International segment. In July 2023, we completed the transition to our new consolidated financial reporting book of record. We updated our internal controls to reflect changes to the financial reporting business processes impacted by the implementation. Other than the implementation of the new consolidated book of record, there have been no changes to the Company’s internal control over financial reporting during the quarter ended October 1, 2023 that have materially affected, or are reasonably likely to materially affect, the Company’s internal control over financial reporting.</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Further, in October 2023, we completed the implementation of our new ERP system in the North America Salty Snacks segment. The final implementation phase will occur in 2024 for the remainder of the business. Both implementations result in changes to our internal controls over financial reporting. As changes occur, we will evaluate quarterly whether such changes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259715</wp:posOffset>
            </wp:positionV>
            <wp:extent cx="1968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legal proceedings is included in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2022 Annual Report on Form 10-K and the information contained in this Quarterly Report on Form 10-Q and our other reports and registration statements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during the three months ended October 1, 2023.</w:t>
      </w:r>
    </w:p>
    <w:p>
      <w:pPr>
        <w:spacing w:after="0" w:line="17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During the three months ended October 1, 2023,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3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May 2021, our Board of Directors approved a $500 million share repurchase authorization. As of October 1, 2023 approximately $370 million remains available for repurchase under the May 2021 share repurchase authorization. The share repurchase program does not have an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580390</wp:posOffset>
            </wp:positionV>
            <wp:extent cx="196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52" w:name="page53"/>
    <w:bookmarkEnd w:id="52"/>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Trading</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following table describes the contracts, instructions or written plans for the purchase or sale of securities adopted by our directors or officers (as defined in Rule 16a-1(f) under the Exchange Act) during the three months ended October 1, 2023,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Date of Adoption of</w:t>
            </w: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2"/>
              </w:rPr>
              <w:t>Duration of 10b5-1</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Number of</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to be Sold or</w:t>
            </w:r>
          </w:p>
        </w:tc>
        <w:tc>
          <w:tcPr>
            <w:tcW w:w="0" w:type="dxa"/>
            <w:vAlign w:val="bottom"/>
          </w:tcPr>
          <w:p>
            <w:pPr>
              <w:spacing w:after="0"/>
              <w:rPr>
                <w:sz w:val="1"/>
                <w:szCs w:val="1"/>
                <w:color w:val="auto"/>
              </w:rPr>
            </w:pPr>
          </w:p>
        </w:tc>
      </w:tr>
      <w:tr>
        <w:trPr>
          <w:trHeight w:val="243"/>
        </w:trPr>
        <w:tc>
          <w:tcPr>
            <w:tcW w:w="5420" w:type="dxa"/>
            <w:vAlign w:val="bottom"/>
            <w:gridSpan w:val="2"/>
          </w:tcPr>
          <w:p>
            <w:pPr>
              <w:ind w:left="2080"/>
              <w:spacing w:after="0"/>
              <w:rPr>
                <w:sz w:val="20"/>
                <w:szCs w:val="20"/>
                <w:color w:val="auto"/>
              </w:rPr>
            </w:pPr>
            <w:r>
              <w:rPr>
                <w:rFonts w:ascii="Arial" w:cs="Arial" w:eastAsia="Arial" w:hAnsi="Arial"/>
                <w:sz w:val="18"/>
                <w:szCs w:val="18"/>
                <w:b w:val="1"/>
                <w:bCs w:val="1"/>
                <w:color w:val="auto"/>
              </w:rPr>
              <w:t>Name and Title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10b5-1 Plan</w:t>
            </w:r>
          </w:p>
        </w:tc>
        <w:tc>
          <w:tcPr>
            <w:tcW w:w="1740" w:type="dxa"/>
            <w:vAlign w:val="bottom"/>
            <w:gridSpan w:val="2"/>
          </w:tcPr>
          <w:p>
            <w:pPr>
              <w:jc w:val="center"/>
              <w:ind w:right="100"/>
              <w:spacing w:after="0" w:line="243" w:lineRule="exact"/>
              <w:rPr>
                <w:sz w:val="20"/>
                <w:szCs w:val="20"/>
                <w:color w:val="auto"/>
              </w:rPr>
            </w:pPr>
            <w:r>
              <w:rPr>
                <w:rFonts w:ascii="Arial" w:cs="Arial" w:eastAsia="Arial" w:hAnsi="Arial"/>
                <w:sz w:val="18"/>
                <w:szCs w:val="18"/>
                <w:b w:val="1"/>
                <w:bCs w:val="1"/>
                <w:color w:val="auto"/>
                <w:w w:val="84"/>
              </w:rPr>
              <w:t>Plan</w:t>
            </w:r>
            <w:r>
              <w:rPr>
                <w:rFonts w:ascii="Arial" w:cs="Arial" w:eastAsia="Arial" w:hAnsi="Arial"/>
                <w:sz w:val="23"/>
                <w:szCs w:val="23"/>
                <w:b w:val="1"/>
                <w:bCs w:val="1"/>
                <w:color w:val="auto"/>
                <w:w w:val="84"/>
                <w:vertAlign w:val="superscript"/>
              </w:rPr>
              <w:t>(1)</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169"/>
        </w:trPr>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Rohit Grover</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8/8/2023</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3/5/2024</w:t>
            </w: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Sell 4,200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Senior Vice President, International</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Charles R. Raup</w:t>
            </w:r>
          </w:p>
        </w:tc>
        <w:tc>
          <w:tcPr>
            <w:tcW w:w="1640" w:type="dxa"/>
            <w:vAlign w:val="bottom"/>
            <w:vMerge w:val="restart"/>
          </w:tcPr>
          <w:p>
            <w:pPr>
              <w:jc w:val="right"/>
              <w:ind w:right="370"/>
              <w:spacing w:after="0"/>
              <w:rPr>
                <w:sz w:val="20"/>
                <w:szCs w:val="20"/>
                <w:color w:val="auto"/>
              </w:rPr>
            </w:pPr>
            <w:r>
              <w:rPr>
                <w:rFonts w:ascii="Arial" w:cs="Arial" w:eastAsia="Arial" w:hAnsi="Arial"/>
                <w:sz w:val="18"/>
                <w:szCs w:val="18"/>
                <w:color w:val="auto"/>
              </w:rPr>
              <w:t>8/25/2023</w:t>
            </w:r>
          </w:p>
        </w:tc>
        <w:tc>
          <w:tcPr>
            <w:tcW w:w="100" w:type="dxa"/>
            <w:vAlign w:val="bottom"/>
          </w:tcPr>
          <w:p>
            <w:pPr>
              <w:spacing w:after="0"/>
              <w:rPr>
                <w:sz w:val="15"/>
                <w:szCs w:val="15"/>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8/23/2024</w:t>
            </w:r>
          </w:p>
        </w:tc>
        <w:tc>
          <w:tcPr>
            <w:tcW w:w="10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7"/>
              </w:rPr>
              <w:t>Sell 8,260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U.S. Confection</w:t>
            </w: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420" w:type="dxa"/>
            <w:vAlign w:val="bottom"/>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80" w:firstLine="8"/>
        <w:spacing w:after="0" w:line="308"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247650</wp:posOffset>
            </wp:positionV>
            <wp:extent cx="1968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5"/>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Arial" w:cs="Arial" w:eastAsia="Arial" w:hAnsi="Arial"/>
                <w:sz w:val="16"/>
                <w:szCs w:val="16"/>
                <w:color w:val="0000FF"/>
                <w:w w:val="89"/>
              </w:rPr>
            </w:pPr>
            <w:hyperlink r:id="rId148">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9"/>
            <w:shd w:val="clear" w:color="auto" w:fill="CCEEFF"/>
          </w:tcPr>
          <w:p>
            <w:pPr>
              <w:spacing w:after="0" w:line="172" w:lineRule="exact"/>
              <w:rPr>
                <w:rFonts w:ascii="Arial" w:cs="Arial" w:eastAsia="Arial" w:hAnsi="Arial"/>
                <w:sz w:val="16"/>
                <w:szCs w:val="16"/>
                <w:color w:val="0000FF"/>
                <w:w w:val="94"/>
              </w:rPr>
            </w:pPr>
            <w:hyperlink r:id="rId148">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8"/>
            <w:shd w:val="clear" w:color="auto" w:fill="CCEEFF"/>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Form 10-Q for the quarter ended April 3, 2005.</w:t>
              </w:r>
            </w:hyperlink>
          </w:p>
        </w:tc>
        <w:tc>
          <w:tcPr>
            <w:tcW w:w="2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Arial" w:cs="Arial" w:eastAsia="Arial" w:hAnsi="Arial"/>
                <w:sz w:val="16"/>
                <w:szCs w:val="16"/>
                <w:color w:val="0000FF"/>
                <w:w w:val="89"/>
              </w:rPr>
            </w:pPr>
            <w:hyperlink r:id="rId149">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rFonts w:ascii="Arial" w:cs="Arial" w:eastAsia="Arial" w:hAnsi="Arial"/>
                <w:sz w:val="16"/>
                <w:szCs w:val="16"/>
                <w:color w:val="0000FF"/>
                <w:w w:val="93"/>
              </w:rPr>
            </w:pPr>
            <w:hyperlink r:id="rId149">
              <w:r>
                <w:rPr>
                  <w:rFonts w:ascii="Arial" w:cs="Arial" w:eastAsia="Arial" w:hAnsi="Arial"/>
                  <w:sz w:val="16"/>
                  <w:szCs w:val="16"/>
                  <w:color w:val="0000FF"/>
                  <w:w w:val="93"/>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Certification of Michele G. Buck, Chief Executive Officer, pursuant to Section 302 of the Sarbanes-Oxley Act of 2002.</w:t>
            </w:r>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Steven E. Voskuil, Chief Financial Officer, pursuant to Section 302 of the Sarbanes-Oxley Act of 2002.</w:t>
            </w:r>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w w:val="96"/>
              </w:rPr>
              <w:t>Certification of Michele G. Buck, Chief Executive Officer, and Steven E. Voskuil, Chief Financial Officer, pursuant to Section 906 of the Sarbanes-</w:t>
            </w:r>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5"/>
            <w:shd w:val="clear" w:color="auto" w:fill="CCEEFF"/>
          </w:tcPr>
          <w:p>
            <w:pPr>
              <w:spacing w:after="0" w:line="142" w:lineRule="exact"/>
              <w:rPr>
                <w:sz w:val="20"/>
                <w:szCs w:val="20"/>
                <w:color w:val="auto"/>
              </w:rPr>
            </w:pPr>
            <w:r>
              <w:rPr>
                <w:rFonts w:ascii="Arial" w:cs="Arial" w:eastAsia="Arial" w:hAnsi="Arial"/>
                <w:sz w:val="16"/>
                <w:szCs w:val="16"/>
                <w:color w:val="0000FF"/>
              </w:rPr>
              <w:t>Oxley Act of 2002.</w:t>
            </w:r>
            <w:r>
              <w:rPr>
                <w:rFonts w:ascii="Arial" w:cs="Arial" w:eastAsia="Arial" w:hAnsi="Arial"/>
                <w:sz w:val="16"/>
                <w:szCs w:val="16"/>
                <w:color w:val="000000"/>
              </w:rPr>
              <w:t>**</w:t>
            </w:r>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6"/>
        </w:trPr>
        <w:tc>
          <w:tcPr>
            <w:tcW w:w="1300" w:type="dxa"/>
            <w:vAlign w:val="bottom"/>
            <w:gridSpan w:val="6"/>
          </w:tcPr>
          <w:p>
            <w:pPr>
              <w:jc w:val="center"/>
              <w:ind w:right="120"/>
              <w:spacing w:after="0" w:line="166" w:lineRule="exact"/>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14"/>
                <w:szCs w:val="14"/>
                <w:color w:val="auto"/>
              </w:rPr>
            </w:pPr>
          </w:p>
        </w:tc>
        <w:tc>
          <w:tcPr>
            <w:tcW w:w="9920" w:type="dxa"/>
            <w:vAlign w:val="bottom"/>
            <w:gridSpan w:val="9"/>
          </w:tcPr>
          <w:p>
            <w:pPr>
              <w:spacing w:after="0" w:line="166" w:lineRule="exact"/>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 the</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Arial" w:cs="Arial" w:eastAsia="Arial" w:hAnsi="Arial"/>
                <w:sz w:val="16"/>
                <w:szCs w:val="16"/>
                <w:color w:val="auto"/>
              </w:rPr>
              <w:t>Inline XBRL document.</w:t>
            </w:r>
          </w:p>
        </w:tc>
      </w:tr>
      <w:tr>
        <w:trPr>
          <w:trHeight w:val="233"/>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2"/>
              </w:rPr>
              <w:t>101.SCH</w:t>
            </w:r>
          </w:p>
        </w:tc>
        <w:tc>
          <w:tcPr>
            <w:tcW w:w="20" w:type="dxa"/>
            <w:vAlign w:val="bottom"/>
            <w:shd w:val="clear" w:color="auto" w:fill="CCEEFF"/>
          </w:tcPr>
          <w:p>
            <w:pPr>
              <w:spacing w:after="0"/>
              <w:rPr>
                <w:sz w:val="20"/>
                <w:szCs w:val="20"/>
                <w:color w:val="auto"/>
              </w:rPr>
            </w:pPr>
          </w:p>
        </w:tc>
        <w:tc>
          <w:tcPr>
            <w:tcW w:w="992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Inline 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19"/>
                <w:szCs w:val="19"/>
                <w:color w:val="auto"/>
              </w:rPr>
            </w:pPr>
          </w:p>
        </w:tc>
        <w:tc>
          <w:tcPr>
            <w:tcW w:w="992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7"/>
              </w:rPr>
              <w:t>101.LAB</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4"/>
              </w:rPr>
              <w:t>101.DEF</w:t>
            </w:r>
          </w:p>
        </w:tc>
        <w:tc>
          <w:tcPr>
            <w:tcW w:w="20" w:type="dxa"/>
            <w:vAlign w:val="bottom"/>
            <w:shd w:val="clear" w:color="auto" w:fill="CCEEFF"/>
          </w:tcPr>
          <w:p>
            <w:pPr>
              <w:spacing w:after="0"/>
              <w:rPr>
                <w:sz w:val="19"/>
                <w:szCs w:val="19"/>
                <w:color w:val="auto"/>
              </w:rPr>
            </w:pPr>
          </w:p>
        </w:tc>
        <w:tc>
          <w:tcPr>
            <w:tcW w:w="992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w:t>
            </w:r>
          </w:p>
        </w:tc>
      </w:tr>
    </w:tbl>
    <w:p>
      <w:pPr>
        <w:spacing w:after="0" w:line="4" w:lineRule="exact"/>
        <w:rPr>
          <w:sz w:val="20"/>
          <w:szCs w:val="20"/>
          <w:color w:val="auto"/>
        </w:rPr>
      </w:pPr>
    </w:p>
    <w:p>
      <w:pPr>
        <w:ind w:left="1300" w:right="360" w:hanging="826"/>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October 1, 2023, formatted in Inline XBRL and contained in Exhibit 101.</w:t>
      </w:r>
    </w:p>
    <w:p>
      <w:pPr>
        <w:spacing w:after="0" w:line="280" w:lineRule="exact"/>
        <w:rPr>
          <w:sz w:val="20"/>
          <w:szCs w:val="20"/>
          <w:color w:val="auto"/>
        </w:rPr>
      </w:pPr>
    </w:p>
    <w:p>
      <w:pPr>
        <w:ind w:left="1300" w:hanging="745"/>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1166495</wp:posOffset>
            </wp:positionV>
            <wp:extent cx="1968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Arial" w:cs="Arial" w:eastAsia="Arial" w:hAnsi="Arial"/>
                <w:sz w:val="18"/>
                <w:szCs w:val="18"/>
                <w:color w:val="auto"/>
              </w:rPr>
              <w:t>Date: October 26, 2023</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499"/>
        </w:trPr>
        <w:tc>
          <w:tcPr>
            <w:tcW w:w="2640" w:type="dxa"/>
            <w:vAlign w:val="bottom"/>
          </w:tcPr>
          <w:p>
            <w:pPr>
              <w:spacing w:after="0"/>
              <w:rPr>
                <w:sz w:val="20"/>
                <w:szCs w:val="20"/>
                <w:color w:val="auto"/>
              </w:rPr>
            </w:pPr>
            <w:r>
              <w:rPr>
                <w:rFonts w:ascii="Arial" w:cs="Arial" w:eastAsia="Arial" w:hAnsi="Arial"/>
                <w:sz w:val="18"/>
                <w:szCs w:val="18"/>
                <w:color w:val="auto"/>
              </w:rPr>
              <w:t>Date: October 26, 2023</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Jennifer L. McCalman</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Q3 2023 Form 10-Q | Page 52</w:t>
      </w:r>
    </w:p>
    <w:p>
      <w:pPr>
        <w:sectPr>
          <w:pgSz w:w="11900" w:h="16838" w:orient="portrait"/>
          <w:cols w:equalWidth="0" w:num="1">
            <w:col w:w="11220"/>
          </w:cols>
          <w:pgMar w:left="320" w:top="1255"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00" w:hanging="412"/>
        <w:spacing w:after="0" w:line="308" w:lineRule="auto"/>
        <w:tabs>
          <w:tab w:leader="none" w:pos="33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3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hanging="406"/>
        <w:spacing w:after="0" w:line="277" w:lineRule="auto"/>
        <w:tabs>
          <w:tab w:leader="none" w:pos="8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3463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6"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Michele G. Buck</w:t>
      </w:r>
    </w:p>
    <w:p>
      <w:pPr>
        <w:spacing w:after="0" w:line="2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Executive Officer)</w:t>
      </w:r>
    </w:p>
    <w:p>
      <w:pPr>
        <w:spacing w:after="0" w:line="3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486410</wp:posOffset>
            </wp:positionV>
            <wp:extent cx="1968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Q3 2023 Form 10-Q | Exhibit 31.1</w:t>
      </w:r>
    </w:p>
    <w:p>
      <w:pPr>
        <w:sectPr>
          <w:pgSz w:w="11900" w:h="16838" w:orient="portrait"/>
          <w:cols w:equalWidth="0" w:num="1">
            <w:col w:w="11200"/>
          </w:cols>
          <w:pgMar w:left="36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00" w:hanging="412"/>
        <w:spacing w:after="0" w:line="308" w:lineRule="auto"/>
        <w:tabs>
          <w:tab w:leader="none" w:pos="3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3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hanging="406"/>
        <w:spacing w:after="0" w:line="277"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jc w:val="center"/>
        <w:ind w:right="582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3463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39"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Steven E. Voskuil</w:t>
      </w:r>
    </w:p>
    <w:p>
      <w:pPr>
        <w:spacing w:after="0" w:line="2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Financial Officer)</w:t>
      </w:r>
    </w:p>
    <w:p>
      <w:pPr>
        <w:spacing w:after="0" w:line="3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640715</wp:posOffset>
            </wp:positionV>
            <wp:extent cx="1968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Q3 2023 Form 10-Q | Exhibit 31.2</w:t>
      </w:r>
    </w:p>
    <w:p>
      <w:pPr>
        <w:sectPr>
          <w:pgSz w:w="11900" w:h="16838" w:orient="portrait"/>
          <w:cols w:equalWidth="0" w:num="1">
            <w:col w:w="11200"/>
          </w:cols>
          <w:pgMar w:left="360" w:top="76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Section 906 of the Sarbanes-Oxley Act of 2002, the undersigned officers of The Hershey Company (the “Company”) hereby certify, to the best of their knowledge, that the Company’s Quarterly Report on Form 10-Q for the quarterly period ended October 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October 26, 2023</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Chief Executive Officer</w:t>
            </w:r>
          </w:p>
        </w:tc>
      </w:tr>
      <w:tr>
        <w:trPr>
          <w:trHeight w:val="210"/>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3"/>
              </w:rPr>
              <w:t>(Principal Executive Officer)</w:t>
            </w:r>
          </w:p>
        </w:tc>
      </w:tr>
    </w:tbl>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October 26, 2023</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210"/>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Financial Officer)</w:t>
            </w:r>
          </w:p>
        </w:tc>
      </w:tr>
    </w:tbl>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1051560</wp:posOffset>
            </wp:positionV>
            <wp:extent cx="196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Q3 2023 Form 10-Q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50" Type="http://schemas.openxmlformats.org/officeDocument/2006/relationships/image" Target="media/image141.jpeg"/><Relationship Id="rId151" Type="http://schemas.openxmlformats.org/officeDocument/2006/relationships/image" Target="media/image142.png"/><Relationship Id="rId152" Type="http://schemas.openxmlformats.org/officeDocument/2006/relationships/image" Target="media/image143.jpeg"/><Relationship Id="rId153" Type="http://schemas.openxmlformats.org/officeDocument/2006/relationships/image" Target="media/image144.png"/><Relationship Id="rId154" Type="http://schemas.openxmlformats.org/officeDocument/2006/relationships/image" Target="media/image145.jpeg"/><Relationship Id="rId155" Type="http://schemas.openxmlformats.org/officeDocument/2006/relationships/image" Target="media/image146.png"/><Relationship Id="rId156" Type="http://schemas.openxmlformats.org/officeDocument/2006/relationships/image" Target="media/image147.jpeg"/><Relationship Id="rId157" Type="http://schemas.openxmlformats.org/officeDocument/2006/relationships/image" Target="media/image148.jpeg"/><Relationship Id="rId148" Type="http://schemas.openxmlformats.org/officeDocument/2006/relationships/hyperlink" Target="http://www.sec.gov/Archives/edgar/data/47111/000004711105000159/exhibit3.htm?_sm_byp=iVV7PRrr5tFtD2T5" TargetMode="External"/><Relationship Id="rId149"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2023-10-26T12:42:36Z</dcterms:created>
  <dcterms:modified xsi:type="dcterms:W3CDTF">2023-10-26T12:42:36Z</dcterms:modified>
</cp:coreProperties>
</file>