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59"/>
        <w:spacing w:after="0" w:line="237"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February 2, 2023</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128587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THE HERSHEY COMPANY</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p>
      <w:pPr>
        <w:ind w:left="1300"/>
        <w:spacing w:after="0"/>
        <w:tabs>
          <w:tab w:leader="none" w:pos="5380" w:val="left"/>
          <w:tab w:leader="none" w:pos="9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1-183</w:t>
      </w:r>
      <w:r>
        <w:rPr>
          <w:sz w:val="20"/>
          <w:szCs w:val="20"/>
          <w:color w:val="auto"/>
        </w:rPr>
        <w:tab/>
      </w:r>
      <w:r>
        <w:rPr>
          <w:rFonts w:ascii="Times New Roman" w:cs="Times New Roman" w:eastAsia="Times New Roman" w:hAnsi="Times New Roman"/>
          <w:sz w:val="17"/>
          <w:szCs w:val="17"/>
          <w:b w:val="1"/>
          <w:bCs w:val="1"/>
          <w:color w:val="auto"/>
        </w:rPr>
        <w:t>23-0691590</w:t>
      </w:r>
    </w:p>
    <w:p>
      <w:pPr>
        <w:spacing w:after="0" w:line="31" w:lineRule="exact"/>
        <w:rPr>
          <w:sz w:val="24"/>
          <w:szCs w:val="24"/>
          <w:color w:val="auto"/>
        </w:rPr>
      </w:pPr>
    </w:p>
    <w:p>
      <w:pPr>
        <w:ind w:left="80"/>
        <w:spacing w:after="0"/>
        <w:tabs>
          <w:tab w:leader="none" w:pos="4600" w:val="left"/>
          <w:tab w:leader="none" w:pos="832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19 East Chocolate Avenue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Hershey, PA 17033</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(Zip Code)</w:t>
      </w:r>
    </w:p>
    <w:p>
      <w:pPr>
        <w:spacing w:after="0" w:line="25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(717) 534-4200</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780" w:hanging="529"/>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6"/>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one dollar par value</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HSY</w:t>
            </w:r>
          </w:p>
        </w:tc>
        <w:tc>
          <w:tcPr>
            <w:tcW w:w="10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ectPr>
          <w:pgSz w:w="11900" w:h="16838" w:orient="portrait"/>
          <w:cols w:equalWidth="0" w:num="1">
            <w:col w:w="11180"/>
          </w:cols>
          <w:pgMar w:left="320" w:top="983" w:right="399" w:bottom="1440" w:gutter="0" w:footer="0" w:header="0"/>
        </w:sectPr>
      </w:pPr>
    </w:p>
    <w:p>
      <w:pPr>
        <w:spacing w:after="0" w:line="114"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3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31" w:lineRule="exact"/>
        <w:rPr>
          <w:sz w:val="24"/>
          <w:szCs w:val="24"/>
          <w:color w:val="auto"/>
        </w:rPr>
      </w:pPr>
    </w:p>
    <w:p>
      <w:pPr>
        <w:ind w:left="40" w:right="620"/>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20" w:space="80"/>
            <w:col w:w="380"/>
          </w:cols>
          <w:pgMar w:left="320" w:top="983" w:right="399" w:bottom="1440" w:gutter="0" w:footer="0" w:header="0"/>
          <w:type w:val="continuous"/>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February 2, 2023, The Hershey Company (the “Company”) announced sales and earnings information for the fourth quarter and full year ended December 31, 2022. A copy of the Company's press release is furnished hereto as Exhibit 99.1 and is incorporated herein by reference.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shall not be deemed “filed” for the purposes of Section 18 of the Securities Exchange Act of 1934, as amended (the “Exchange Act”), or otherwise subject to the liabilities under that Section, nor shall it be deemed incorporated by reference into any filing under the Securities Act of 1933, as amended, or the Exchange Act, except as shall be expressly set forth by specific reference in such filing.</w:t>
      </w:r>
    </w:p>
    <w:p>
      <w:pPr>
        <w:spacing w:after="0" w:line="243"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81" w:lineRule="exact"/>
        <w:rPr>
          <w:sz w:val="20"/>
          <w:szCs w:val="20"/>
          <w:color w:val="auto"/>
        </w:rPr>
      </w:pPr>
    </w:p>
    <w:tbl>
      <w:tblPr>
        <w:tblLayout w:type="fixed"/>
        <w:tblInd w:w="1300" w:type="dxa"/>
        <w:tblCellMar>
          <w:top w:w="0" w:type="dxa"/>
          <w:left w:w="0" w:type="dxa"/>
          <w:bottom w:w="0" w:type="dxa"/>
          <w:right w:w="0" w:type="dxa"/>
        </w:tblCellMar>
      </w:tblPr>
      <w:tr>
        <w:trPr>
          <w:trHeight w:val="236"/>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The Hershey Company Press Release dated February 2, 2023</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540"/>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SIGNATURE</w:t>
            </w:r>
          </w:p>
        </w:tc>
      </w:tr>
    </w:tbl>
    <w:p>
      <w:pPr>
        <w:spacing w:after="0" w:line="225" w:lineRule="exact"/>
        <w:rPr>
          <w:sz w:val="20"/>
          <w:szCs w:val="20"/>
          <w:color w:val="auto"/>
        </w:rPr>
      </w:pPr>
    </w:p>
    <w:p>
      <w:pPr>
        <w:ind w:right="20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HERSHEY COMPANY</w:t>
            </w:r>
          </w:p>
        </w:tc>
      </w:tr>
      <w:tr>
        <w:trPr>
          <w:trHeight w:val="50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2023</w:t>
            </w:r>
          </w:p>
        </w:tc>
        <w:tc>
          <w:tcPr>
            <w:tcW w:w="5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Steven E. Voskuil</w:t>
            </w:r>
          </w:p>
        </w:tc>
      </w:tr>
      <w:tr>
        <w:trPr>
          <w:trHeight w:val="178"/>
        </w:trPr>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Steven E. Voskuil</w:t>
            </w:r>
          </w:p>
        </w:tc>
      </w:tr>
      <w:tr>
        <w:trPr>
          <w:trHeight w:val="234"/>
        </w:trPr>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ectPr>
          <w:pgSz w:w="11900" w:h="16838" w:orient="portrait"/>
          <w:cols w:equalWidth="0" w:num="1">
            <w:col w:w="11120"/>
          </w:cols>
          <w:pgMar w:left="320" w:top="927"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59690</wp:posOffset>
            </wp:positionV>
            <wp:extent cx="3000375" cy="127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CONTACT:</w:t>
            </w:r>
          </w:p>
        </w:tc>
        <w:tc>
          <w:tcPr>
            <w:tcW w:w="536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MEDIA CONTACT:</w:t>
            </w:r>
          </w:p>
        </w:tc>
      </w:tr>
      <w:tr>
        <w:trPr>
          <w:trHeight w:val="25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Melissa Poole</w:t>
            </w:r>
          </w:p>
        </w:tc>
        <w:tc>
          <w:tcPr>
            <w:tcW w:w="536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Allison Kleinfelter</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mpoole@hersheys.com</w:t>
            </w:r>
          </w:p>
        </w:tc>
        <w:tc>
          <w:tcPr>
            <w:tcW w:w="5360" w:type="dxa"/>
            <w:vAlign w:val="bottom"/>
          </w:tcPr>
          <w:p>
            <w:pPr>
              <w:ind w:left="3400"/>
              <w:spacing w:after="0"/>
              <w:rPr>
                <w:sz w:val="20"/>
                <w:szCs w:val="20"/>
                <w:color w:val="auto"/>
              </w:rPr>
            </w:pPr>
            <w:r>
              <w:rPr>
                <w:rFonts w:ascii="Times New Roman" w:cs="Times New Roman" w:eastAsia="Times New Roman" w:hAnsi="Times New Roman"/>
                <w:sz w:val="18"/>
                <w:szCs w:val="18"/>
                <w:color w:val="auto"/>
                <w:w w:val="98"/>
              </w:rPr>
              <w:t>akleinfelter@hersheys.com</w:t>
            </w: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Hershey Reports Fourth-Quarter and Full-Year 2022 Financial Results;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Provides 2023 Outlook</w:t>
      </w:r>
    </w:p>
    <w:p>
      <w:pPr>
        <w:spacing w:after="0" w:line="312" w:lineRule="exact"/>
        <w:rPr>
          <w:sz w:val="20"/>
          <w:szCs w:val="20"/>
          <w:color w:val="auto"/>
        </w:rPr>
      </w:pPr>
    </w:p>
    <w:p>
      <w:pPr>
        <w:ind w:right="28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HERSHEY, Pa., February 2, 2023 </w:t>
      </w:r>
      <w:r>
        <w:rPr>
          <w:rFonts w:ascii="Times New Roman" w:cs="Times New Roman" w:eastAsia="Times New Roman" w:hAnsi="Times New Roman"/>
          <w:sz w:val="20"/>
          <w:szCs w:val="20"/>
          <w:color w:val="auto"/>
        </w:rPr>
        <w:t>- The Hershey Company (NYSE: HSY) today announced net sales and earnings for the fourth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full-year ended December 31, 2022.</w:t>
      </w:r>
    </w:p>
    <w:p>
      <w:pPr>
        <w:spacing w:after="0" w:line="196" w:lineRule="exact"/>
        <w:rPr>
          <w:sz w:val="20"/>
          <w:szCs w:val="20"/>
          <w:color w:val="auto"/>
        </w:rPr>
      </w:pPr>
    </w:p>
    <w:p>
      <w:pPr>
        <w:ind w:right="20"/>
        <w:spacing w:after="0" w:line="366" w:lineRule="auto"/>
        <w:rPr>
          <w:sz w:val="20"/>
          <w:szCs w:val="20"/>
          <w:color w:val="auto"/>
        </w:rPr>
      </w:pPr>
      <w:r>
        <w:rPr>
          <w:rFonts w:ascii="Times New Roman" w:cs="Times New Roman" w:eastAsia="Times New Roman" w:hAnsi="Times New Roman"/>
          <w:sz w:val="20"/>
          <w:szCs w:val="20"/>
          <w:color w:val="auto"/>
        </w:rPr>
        <w:t>“In 2022, the Hershey Company delivered one of its strongest years in history despite record inflation, continued supply chain disruptions and macroeconomic uncertainty for many consumers,” said Michele Buck, The Hershey Company Chairman and Chief Executive Officer. “It took tremendous hard work, perseverance, and agility from every one of our employees and partners, and I couldn’t be prouder of what we have accomplished or more excited for what lies ahead. We expect to deliver another year of strong sales and earnings growth in 2023 as we invest in our amazing portfolio of brands, additional capacity and capabilities.”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Fourth-Quarter 2022 Financial Results Summary</w:t>
      </w:r>
      <w:r>
        <w:rPr>
          <w:rFonts w:ascii="Times New Roman" w:cs="Times New Roman" w:eastAsia="Times New Roman" w:hAnsi="Times New Roman"/>
          <w:sz w:val="25"/>
          <w:szCs w:val="25"/>
          <w:color w:val="auto"/>
          <w:vertAlign w:val="superscript"/>
        </w:rPr>
        <w:t>1</w:t>
      </w:r>
    </w:p>
    <w:p>
      <w:pPr>
        <w:spacing w:after="0" w:line="81"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sales of $2,652.3 million, an increase of 14.0%.</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Organic, constant currency net sales increased 10.7%.</w:t>
      </w:r>
    </w:p>
    <w:p>
      <w:pPr>
        <w:spacing w:after="0" w:line="14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The impact of acquisitions on net sales was a 3.6-point benefit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while foreign currency exchange was a 0.3-point headwind.</w:t>
      </w:r>
    </w:p>
    <w:p>
      <w:pPr>
        <w:spacing w:after="0" w:line="77"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net income of $396.3 million, or $1.92 per share-diluted, an increase of 18.5%.</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share-diluted of $2.02, an increase of 19.5%.</w:t>
      </w:r>
    </w:p>
    <w:p>
      <w:pPr>
        <w:spacing w:after="0" w:line="109" w:lineRule="exact"/>
        <w:rPr>
          <w:sz w:val="20"/>
          <w:szCs w:val="20"/>
          <w:color w:val="auto"/>
        </w:rPr>
      </w:pPr>
    </w:p>
    <w:p>
      <w:pPr>
        <w:ind w:left="100" w:hanging="92"/>
        <w:spacing w:after="0"/>
        <w:tabs>
          <w:tab w:leader="none" w:pos="100" w:val="left"/>
        </w:tabs>
        <w:numPr>
          <w:ilvl w:val="0"/>
          <w:numId w:val="3"/>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All comparisons for the fourth quarter of 2022 are with respect to the fourth quarter ended December 31, 2021.</w:t>
      </w:r>
    </w:p>
    <w:p>
      <w:pPr>
        <w:spacing w:after="0" w:line="60"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Reflects the impact from the 2021 acquisitions of Pretzels Inc. (Pretzels) and Dot’s Pretzels, LLC (Dot’s).</w:t>
      </w:r>
    </w:p>
    <w:p>
      <w:pPr>
        <w:spacing w:after="0" w:line="200" w:lineRule="exact"/>
        <w:rPr>
          <w:rFonts w:ascii="Times New Roman" w:cs="Times New Roman" w:eastAsia="Times New Roman" w:hAnsi="Times New Roman"/>
          <w:sz w:val="23"/>
          <w:szCs w:val="23"/>
          <w:i w:val="1"/>
          <w:iCs w:val="1"/>
          <w:color w:val="auto"/>
          <w:vertAlign w:val="superscript"/>
        </w:rPr>
      </w:pPr>
    </w:p>
    <w:p>
      <w:pPr>
        <w:spacing w:after="0" w:line="398" w:lineRule="exact"/>
        <w:rPr>
          <w:rFonts w:ascii="Times New Roman" w:cs="Times New Roman" w:eastAsia="Times New Roman" w:hAnsi="Times New Roman"/>
          <w:sz w:val="23"/>
          <w:szCs w:val="23"/>
          <w:i w:val="1"/>
          <w:iCs w:val="1"/>
          <w:color w:val="auto"/>
          <w:vertAlign w:val="superscript"/>
        </w:rPr>
      </w:pPr>
    </w:p>
    <w:p>
      <w:pPr>
        <w:ind w:left="5580"/>
        <w:spacing w:after="0"/>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9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2022 Full-Year Financial Results Summary</w:t>
      </w:r>
      <w:r>
        <w:rPr>
          <w:rFonts w:ascii="Times New Roman" w:cs="Times New Roman" w:eastAsia="Times New Roman" w:hAnsi="Times New Roman"/>
          <w:sz w:val="25"/>
          <w:szCs w:val="25"/>
          <w:color w:val="auto"/>
          <w:vertAlign w:val="superscript"/>
        </w:rPr>
        <w:t>3</w:t>
      </w:r>
    </w:p>
    <w:p>
      <w:pPr>
        <w:spacing w:after="0" w:line="68"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sales of $10,419.3 million, an increase of 16.1%.</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Organic, constant currency net sales increased 12.0%.</w:t>
      </w:r>
    </w:p>
    <w:p>
      <w:pPr>
        <w:spacing w:after="0" w:line="1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impact of acquisitions on net sales was a 4.3-point benefit</w:t>
      </w:r>
      <w:r>
        <w:rPr>
          <w:rFonts w:ascii="Times New Roman" w:cs="Times New Roman" w:eastAsia="Times New Roman" w:hAnsi="Times New Roman"/>
          <w:sz w:val="23"/>
          <w:szCs w:val="23"/>
          <w:i w:val="1"/>
          <w:iCs w:val="1"/>
          <w:color w:val="auto"/>
          <w:vertAlign w:val="superscript"/>
        </w:rPr>
        <w:t>4</w:t>
      </w:r>
      <w:r>
        <w:rPr>
          <w:rFonts w:ascii="Times New Roman" w:cs="Times New Roman" w:eastAsia="Times New Roman" w:hAnsi="Times New Roman"/>
          <w:sz w:val="20"/>
          <w:szCs w:val="20"/>
          <w:color w:val="auto"/>
        </w:rPr>
        <w:t xml:space="preserve"> while foreign currency exchange was a 0.2-point headwind.</w:t>
      </w:r>
    </w:p>
    <w:p>
      <w:pPr>
        <w:spacing w:after="0" w:line="8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net income of $1,644.8 million, or $7.96 per share-diluted, an increase of 12.0%.</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share-diluted of $8.52, an increase of 18.5%.</w:t>
      </w:r>
    </w:p>
    <w:p>
      <w:pPr>
        <w:spacing w:after="0" w:line="109"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All comparisons for full-year 2022 are with respect to the full-year ended December 31, 2021.</w:t>
      </w:r>
    </w:p>
    <w:p>
      <w:pPr>
        <w:spacing w:after="0" w:line="60"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Reflects the impact from the 2021 acquisitions of Pretzels, Dot’s and Lily’s Sweets, LLC (Lily’s).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 Full-Year Financial Outlook Summary</w:t>
      </w:r>
    </w:p>
    <w:p>
      <w:pPr>
        <w:spacing w:after="0" w:line="139" w:lineRule="exact"/>
        <w:rPr>
          <w:sz w:val="20"/>
          <w:szCs w:val="20"/>
          <w:color w:val="auto"/>
        </w:rPr>
      </w:pPr>
    </w:p>
    <w:p>
      <w:pPr>
        <w:spacing w:after="0" w:line="358" w:lineRule="auto"/>
        <w:rPr>
          <w:sz w:val="20"/>
          <w:szCs w:val="20"/>
          <w:color w:val="auto"/>
        </w:rPr>
      </w:pPr>
      <w:r>
        <w:rPr>
          <w:rFonts w:ascii="Times New Roman" w:cs="Times New Roman" w:eastAsia="Times New Roman" w:hAnsi="Times New Roman"/>
          <w:sz w:val="20"/>
          <w:szCs w:val="20"/>
          <w:color w:val="auto"/>
        </w:rPr>
        <w:t>The company expects net sales growth of 6% to 8% driven primarily by net price realization as consumer demand remains steady behind higher advertising levels and increased capacity. Sales growth and gross margin expansion are expected to more than offset increased brand, capability and technology investments, as well as higher pension and interest expenses, to drive projected reported earnings per share growth of 11% to 15% and adjusted earnings per share growth of 9% to 11%.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66"/>
        </w:trPr>
        <w:tc>
          <w:tcPr>
            <w:tcW w:w="4220" w:type="dxa"/>
            <w:vAlign w:val="bottom"/>
            <w:gridSpan w:val="2"/>
          </w:tcPr>
          <w:p>
            <w:pPr>
              <w:ind w:left="1060"/>
              <w:spacing w:after="0"/>
              <w:rPr>
                <w:sz w:val="20"/>
                <w:szCs w:val="20"/>
                <w:color w:val="auto"/>
              </w:rPr>
            </w:pPr>
            <w:r>
              <w:rPr>
                <w:rFonts w:ascii="Times New Roman" w:cs="Times New Roman" w:eastAsia="Times New Roman" w:hAnsi="Times New Roman"/>
                <w:sz w:val="20"/>
                <w:szCs w:val="20"/>
                <w:b w:val="1"/>
                <w:bCs w:val="1"/>
                <w:color w:val="auto"/>
              </w:rPr>
              <w:t>2023 Full-Year Outlook</w:t>
            </w: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Total Company</w:t>
            </w:r>
          </w:p>
        </w:tc>
      </w:tr>
      <w:tr>
        <w:trPr>
          <w:trHeight w:val="244"/>
        </w:trPr>
        <w:tc>
          <w:tcPr>
            <w:tcW w:w="4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Net sales growth</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- 8%</w:t>
            </w:r>
          </w:p>
        </w:tc>
      </w:tr>
      <w:tr>
        <w:trPr>
          <w:trHeight w:val="257"/>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Reported earnings per share growth</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- 15%</w:t>
            </w:r>
          </w:p>
        </w:tc>
      </w:tr>
      <w:tr>
        <w:trPr>
          <w:trHeight w:val="258"/>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Adjusted earnings per share growth</w:t>
            </w:r>
          </w:p>
        </w:tc>
        <w:tc>
          <w:tcPr>
            <w:tcW w:w="3080" w:type="dxa"/>
            <w:vAlign w:val="bottom"/>
            <w:gridSpan w:val="2"/>
          </w:tcPr>
          <w:p>
            <w:pPr>
              <w:jc w:val="right"/>
              <w:ind w:right="1061"/>
              <w:spacing w:after="0"/>
              <w:rPr>
                <w:sz w:val="20"/>
                <w:szCs w:val="20"/>
                <w:color w:val="auto"/>
              </w:rPr>
            </w:pPr>
            <w:r>
              <w:rPr>
                <w:rFonts w:ascii="Times New Roman" w:cs="Times New Roman" w:eastAsia="Times New Roman" w:hAnsi="Times New Roman"/>
                <w:sz w:val="20"/>
                <w:szCs w:val="20"/>
                <w:color w:val="auto"/>
              </w:rPr>
              <w:t>9% - 11%</w:t>
            </w: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also expects:</w:t>
      </w:r>
    </w:p>
    <w:p>
      <w:pPr>
        <w:spacing w:after="0" w:line="121"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reported and adjusted effective tax rate in the range of 15% to 16%;</w:t>
      </w:r>
    </w:p>
    <w:p>
      <w:pPr>
        <w:spacing w:after="0" w:line="134" w:lineRule="exact"/>
        <w:rPr>
          <w:rFonts w:ascii="Times New Roman" w:cs="Times New Roman" w:eastAsia="Times New Roman" w:hAnsi="Times New Roman"/>
          <w:sz w:val="20"/>
          <w:szCs w:val="20"/>
          <w:color w:val="auto"/>
        </w:rPr>
      </w:pPr>
    </w:p>
    <w:p>
      <w:pPr>
        <w:ind w:left="660" w:right="300" w:hanging="328"/>
        <w:spacing w:after="0" w:line="366"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expense, which primarily reflects the write-down of equity investments that qualify for a tax credit, of approximately $190 million to $210 million;</w:t>
      </w: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of approximately $145 million to $155 million, reflecting a higher interest rate environment; and</w:t>
      </w:r>
    </w:p>
    <w:p>
      <w:pPr>
        <w:spacing w:after="0" w:line="121" w:lineRule="exact"/>
        <w:rPr>
          <w:rFonts w:ascii="Times New Roman" w:cs="Times New Roman" w:eastAsia="Times New Roman" w:hAnsi="Times New Roman"/>
          <w:sz w:val="20"/>
          <w:szCs w:val="20"/>
          <w:color w:val="auto"/>
        </w:rPr>
      </w:pPr>
    </w:p>
    <w:p>
      <w:pPr>
        <w:ind w:left="660" w:right="300" w:hanging="328"/>
        <w:spacing w:after="0" w:line="381"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of approximately $800 million to $900 million, driven by core confection capacity expansion and continued investments in a digital infrastructure including the build and upgrade of a new ERP system across the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60"/>
          </w:cols>
          <w:pgMar w:left="320" w:top="990"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Below is a reconciliation of projected 2023 and full-year 2022 and 2021 earnings per share-diluted calculated in accordance with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 accepted accounting principles (GAAP) to non-GAAP adjusted earnings per share-diluted:</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2023 (Projected)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Reported EPS – Diluted</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$9.12</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$7.11</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0.38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(0.12)</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0.09</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0.24</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0.16</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Share of Business Realignment Charges</w:t>
            </w: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0.03</w:t>
            </w: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Losses (Benefits)</w:t>
            </w: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0.07</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(0.07)</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All Adjustments Reflected Above</w:t>
            </w: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(0.15)</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$9.46</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$7.19</w:t>
            </w:r>
          </w:p>
        </w:tc>
      </w:tr>
      <w:tr>
        <w:trPr>
          <w:trHeight w:val="21"/>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2023 projected earnings per share-diluted, as presented above, does not include the impact of mark-to-market gains and losses on our commodity derivative contracts that are reflected within corporate unallocated expense in segment results until the related inventory is sold since we are not able to forecast the impact of the market changes.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2022 Components of Net Sales Growth</w:t>
      </w:r>
    </w:p>
    <w:p>
      <w:pPr>
        <w:spacing w:after="0" w:line="125"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0"/>
          <w:szCs w:val="20"/>
          <w:color w:val="auto"/>
        </w:rPr>
        <w:t>A reconciliation between reported net sales growth rates and organic constant currency net sales growth rates, along with the contribution from net price realization and volume, is provided below:</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December 31, 2022</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3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Change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4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 on</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Impact of</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Organic</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4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Change as</w:t>
            </w:r>
          </w:p>
        </w:tc>
        <w:tc>
          <w:tcPr>
            <w:tcW w:w="13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4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1440" w:type="dxa"/>
            <w:vAlign w:val="bottom"/>
            <w:gridSpan w:val="2"/>
            <w:vMerge w:val="continue"/>
          </w:tcPr>
          <w:p>
            <w:pPr>
              <w:spacing w:after="0"/>
              <w:rPr>
                <w:sz w:val="16"/>
                <w:szCs w:val="16"/>
                <w:color w:val="auto"/>
              </w:rPr>
            </w:pPr>
          </w:p>
        </w:tc>
        <w:tc>
          <w:tcPr>
            <w:tcW w:w="14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Organic Price</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Currency Basis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Currency Basis</w:t>
            </w:r>
          </w:p>
        </w:tc>
        <w:tc>
          <w:tcPr>
            <w:tcW w:w="1340" w:type="dxa"/>
            <w:vAlign w:val="bottom"/>
            <w:gridSpan w:val="2"/>
            <w:vMerge w:val="continue"/>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Volume/Mix</w:t>
            </w:r>
          </w:p>
        </w:tc>
        <w:tc>
          <w:tcPr>
            <w:tcW w:w="0" w:type="dxa"/>
            <w:vAlign w:val="bottom"/>
          </w:tcPr>
          <w:p>
            <w:pPr>
              <w:spacing w:after="0"/>
              <w:rPr>
                <w:sz w:val="1"/>
                <w:szCs w:val="1"/>
                <w:color w:val="auto"/>
              </w:rPr>
            </w:pPr>
          </w:p>
        </w:tc>
      </w:tr>
      <w:tr>
        <w:trPr>
          <w:trHeight w:val="156"/>
        </w:trPr>
        <w:tc>
          <w:tcPr>
            <w:tcW w:w="1480" w:type="dxa"/>
            <w:vAlign w:val="bottom"/>
            <w:vMerge w:val="continue"/>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Confectionery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44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Salty Snacks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8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-179070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-161925</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-144780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-128270</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-110490</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-93345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-59055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-42545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-161925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-144780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-128270</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-110490</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-93345</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-59055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-42545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-179070</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-161925</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-144780</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-128270</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-110490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-93345</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-76200</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-59055</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-42545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-333375</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-316230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-299085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-281940</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-264795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-230505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-213995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-196215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-333375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-316230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-299085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-281940</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-230505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-213995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-196215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-333375</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-316230</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-299085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-281940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-264795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-247650</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-230505</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-213995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-196215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-487680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-470535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-453390</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-436245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-419100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-401955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-384810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-367665</wp:posOffset>
            </wp:positionV>
            <wp:extent cx="82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-487680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-470535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-453390</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-436245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-419100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-401955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-384810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-367665</wp:posOffset>
            </wp:positionV>
            <wp:extent cx="8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-487680</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-470535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-453390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-436245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-419100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-401955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-384810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-367665</wp:posOffset>
            </wp:positionV>
            <wp:extent cx="889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-650875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-633730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-616585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-599440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-582295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-565150</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-530860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-513715</wp:posOffset>
            </wp:positionV>
            <wp:extent cx="82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-650875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-633730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-616585</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-599440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-582295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-565150</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-548005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-530860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-513715</wp:posOffset>
            </wp:positionV>
            <wp:extent cx="82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-650875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-633730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-616585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-599440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-582295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-565150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-548005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-530860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-513715</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-925195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-908050</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-890905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-873760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-856615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-839470</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-822325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-805180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-788035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-770890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-753745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-736600</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-719455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-702310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-685165</wp:posOffset>
            </wp:positionV>
            <wp:extent cx="825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-925195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-908050</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-890905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-873760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-856615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-839470</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-822325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-805180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-788035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-770890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-753745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-736600</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-719455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-702310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-685165</wp:posOffset>
            </wp:positionV>
            <wp:extent cx="825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-925195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-908050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-890905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-873760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-856615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-839470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-822325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-805180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-788035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-770890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-753745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-736600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-719455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-702310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-685165</wp:posOffset>
            </wp:positionV>
            <wp:extent cx="889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-1087755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-1070610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-1053465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-1036320</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-1019175</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-1002030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-984885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-967740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-950595</wp:posOffset>
            </wp:positionV>
            <wp:extent cx="82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-1087755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-1070610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-1053465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-1036320</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-1019175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-1002030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-984885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-967740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-950595</wp:posOffset>
            </wp:positionV>
            <wp:extent cx="82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-1087755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-1070610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-1053465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-1036320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-1019175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-1002030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-984885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-967740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-950595</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-1370965</wp:posOffset>
            </wp:positionV>
            <wp:extent cx="82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-1344930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-1327785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-1310640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-1293495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-1276350</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-1259205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-1242060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-1224915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-1207770</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-1190625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-1173480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-1156335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-1139190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-1122045</wp:posOffset>
            </wp:positionV>
            <wp:extent cx="825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-1370965</wp:posOffset>
            </wp:positionV>
            <wp:extent cx="825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-1344930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-1327785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-1310640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-1293495</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-1276350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-1259205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-1242060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-1224915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-1207770</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-1190625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-1173480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-1156335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-1139190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-1122045</wp:posOffset>
            </wp:positionV>
            <wp:extent cx="825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-1370965</wp:posOffset>
            </wp:positionV>
            <wp:extent cx="88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-1344930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-1327785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-1310640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-1293495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-1276350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-1259205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-1242060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-1224915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-1207770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-1190625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-1173480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-1156335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-1139190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-1122045</wp:posOffset>
            </wp:positionV>
            <wp:extent cx="889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-1988185</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-1971040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-1953895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-1936750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-1919605</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-1902460</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-1885315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-1868170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-1851025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-1833880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-1816735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-1799590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-1782445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-1765300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-1748155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-1731010</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-1713865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-1696720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-1679575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-1662430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-1645285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-1628140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-1610995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-1593850</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-1576705</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-1559560</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-1542415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-1525270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-1508125</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-1490980</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-1473835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-1456690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-1439545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-1422400</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-1405255</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-1388110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-1988185</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-1971040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-1953895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-1936750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-1919605</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-1902460</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-1885315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-1868170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-1851025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-1833880</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-1816735</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-1799590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-1782445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-1765300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-1748155</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-1731010</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-1713865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-1696720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-1679575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-1662430</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-1645285</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-1628140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-1610995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-1593850</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-1576705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-1559560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-1542415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-1525270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-1508125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-1490980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-1473835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-1456690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-1439545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-1422400</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-1405255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-1388110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-1988185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-1971040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-1953895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-1936750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-1919605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-1902460</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-1885315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-1868170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-1851025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-1833880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-1816735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-1799590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-1782445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-1765300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-1748155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-1731010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-1713865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-1696720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-1679575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-1662430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-1645285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-1628140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-1610995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-1593850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-1576705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-1559560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-1542415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-1525270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-1508125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-1490980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-1473835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-1456690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-1439545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-1422400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-1405255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-1388110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994" w:right="339"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2022</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3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Impact of</w:t>
            </w:r>
          </w:p>
        </w:tc>
        <w:tc>
          <w:tcPr>
            <w:tcW w:w="14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Change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4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Change on</w:t>
            </w:r>
          </w:p>
        </w:tc>
        <w:tc>
          <w:tcPr>
            <w:tcW w:w="144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Organic</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Organic</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14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Change as</w:t>
            </w:r>
          </w:p>
        </w:tc>
        <w:tc>
          <w:tcPr>
            <w:tcW w:w="13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4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14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Acquisitions and</w:t>
            </w:r>
          </w:p>
        </w:tc>
        <w:tc>
          <w:tcPr>
            <w:tcW w:w="14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Organic Price</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Currency Basis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Divestitures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Currency Basis</w:t>
            </w:r>
          </w:p>
        </w:tc>
        <w:tc>
          <w:tcPr>
            <w:tcW w:w="1340" w:type="dxa"/>
            <w:vAlign w:val="bottom"/>
            <w:gridSpan w:val="2"/>
            <w:vMerge w:val="continue"/>
          </w:tcPr>
          <w:p>
            <w:pPr>
              <w:spacing w:after="0"/>
              <w:rPr>
                <w:sz w:val="21"/>
                <w:szCs w:val="21"/>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Volume/Mix</w:t>
            </w:r>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Confectionery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44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Salty Snacks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8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5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-179705</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-145415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-128270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-111125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-93980</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-76835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-59690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-42545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-179705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-145415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-128270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-111125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-93980</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-76835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-59690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-42545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-179705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-162560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-145415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-128270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-111125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-93980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-76835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-59690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-42545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-334010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-316865</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-299720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-282575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-264795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-248285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-231140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-213995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-196850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-334010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-316865</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-299720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-282575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-248285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-231140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-213995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-196850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-334010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-316865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-299720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-282575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-264795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-248285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-231140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-213995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-196850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-488315</wp:posOffset>
            </wp:positionV>
            <wp:extent cx="82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-471170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-454025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-436245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-419735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-402590</wp:posOffset>
            </wp:positionV>
            <wp:extent cx="82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-385445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-368300</wp:posOffset>
            </wp:positionV>
            <wp:extent cx="825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-488315</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-471170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-454025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-436245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-419735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-402590</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-385445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-368300</wp:posOffset>
            </wp:positionV>
            <wp:extent cx="825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-488315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-471170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-454025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-436245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-419735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-402590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-385445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-368300</wp:posOffset>
            </wp:positionV>
            <wp:extent cx="8890"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-650875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-633730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-616585</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-599440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-582295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-565150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-548005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-530860</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-513715</wp:posOffset>
            </wp:positionV>
            <wp:extent cx="825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-650875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-633730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-616585</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-599440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-582295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-565150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-548005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-530860</wp:posOffset>
            </wp:positionV>
            <wp:extent cx="82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-513715</wp:posOffset>
            </wp:positionV>
            <wp:extent cx="825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-650875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-633730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-616585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-599440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-582295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-565150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-548005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-530860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-513715</wp:posOffset>
            </wp:positionV>
            <wp:extent cx="889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-925195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-908050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-890905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-873760</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-856615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-839470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-822325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-805180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-788035</wp:posOffset>
            </wp:positionV>
            <wp:extent cx="82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-770890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-753745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-736600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-719455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-702310</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-685165</wp:posOffset>
            </wp:positionV>
            <wp:extent cx="825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-925195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-908050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-890905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-873760</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-856615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-839470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-822325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-805180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-788035</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-770890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-753745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-736600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-719455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-702310</wp:posOffset>
            </wp:positionV>
            <wp:extent cx="82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-685165</wp:posOffset>
            </wp:positionV>
            <wp:extent cx="825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-925195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-908050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-890905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-873760</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-856615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-839470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-822325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-805180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-788035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-770890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-753745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-736600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-719455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-702310</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-685165</wp:posOffset>
            </wp:positionV>
            <wp:extent cx="8890"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-1088390</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-1071245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-1054100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-1036320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-1019810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-1002665</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-985520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-968375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-950595</wp:posOffset>
            </wp:positionV>
            <wp:extent cx="825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-1088390</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-1071245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-1054100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-1036320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-1019810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-1002665</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-985520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-968375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-950595</wp:posOffset>
            </wp:positionV>
            <wp:extent cx="825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-1088390</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-1071245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-1054100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-1036320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-1019810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-1002665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-985520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-968375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-950595</wp:posOffset>
            </wp:positionV>
            <wp:extent cx="889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-1370965</wp:posOffset>
            </wp:positionV>
            <wp:extent cx="825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-1345565</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-1328420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-1311275</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-1293495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-1276985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-1259840</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-1242695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-1225550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-1207770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-1191260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-1174115</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-1156970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-1139825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-1122045</wp:posOffset>
            </wp:positionV>
            <wp:extent cx="825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-1370965</wp:posOffset>
            </wp:positionV>
            <wp:extent cx="825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-1345565</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-1328420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-1311275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-1293495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-1276985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-1259840</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-1242695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-1225550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-1207770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-1191260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-1174115</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-1156970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-1139825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-1122045</wp:posOffset>
            </wp:positionV>
            <wp:extent cx="825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-1370965</wp:posOffset>
            </wp:positionV>
            <wp:extent cx="889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-1345565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-1328420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-1311275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-1293495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-1276985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-1259840</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-1242695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-1225550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-1207770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-1191260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-1174115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-1156970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-1139825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-1122045</wp:posOffset>
            </wp:positionV>
            <wp:extent cx="8890"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-1988185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-1971040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-1953895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-1936750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-1919605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-1902460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-1885315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-1868170</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-1851025</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-1833880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-1816735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-1799590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-1782445</wp:posOffset>
            </wp:positionV>
            <wp:extent cx="825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-1765300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-1748155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-1731010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-1713865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-1696720</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-1679575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-1662430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-1645285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-1628140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-1610995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-1593850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-1576705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-1559560</wp:posOffset>
            </wp:positionV>
            <wp:extent cx="825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-1542415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-1525270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-1508125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-1490980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-1473835</wp:posOffset>
            </wp:positionV>
            <wp:extent cx="82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-1456690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-1439545</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-1422400</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-1405255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-1388110</wp:posOffset>
            </wp:positionV>
            <wp:extent cx="825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-1988185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-1971040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-1953895</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-1936750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-1919605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-1902460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-1885315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-1868170</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-1851025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-1833880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-1816735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-1799590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-1782445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-1765300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-1748155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-1731010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-1713865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-1696720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-1679575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-1662430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-1645285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-1628140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-1610995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-1593850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-1576705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-1559560</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-1542415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-1525270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-1508125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-1490980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-1473835</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-1456690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-1439545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-1422400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-1405255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-1388110</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-1988185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-1971040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-1953895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-1936750</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-1919605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-1902460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-1885315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-1868170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-1851025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-1833880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-1816735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-1799590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-1782445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-1765300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-1748155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-1731010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-1713865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-1696720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-1679575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-1662430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-1645285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-1628140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-1610995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-1593850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-1576705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-1559560</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-1542415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-1525270</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-1508125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-1490980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-1473835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-1456690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-1439545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-1422400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-1405255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-1388110</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62"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The company presents certain percentage changes in net sales on a constant currency basis, which excludes the impact of foreign currency exchange.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rates in effect during the current period of the current fiscal year. As a result, the foreign currency impact is equal to the current year results in local currencies multiplied by the change in the average foreign currency exchange rate between the current fiscal period and the corresponding period of the prior fiscal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Fourth-Quarter 2022 Results</w:t>
      </w:r>
    </w:p>
    <w:p>
      <w:pPr>
        <w:spacing w:after="0" w:line="125" w:lineRule="exact"/>
        <w:rPr>
          <w:sz w:val="20"/>
          <w:szCs w:val="20"/>
          <w:color w:val="auto"/>
        </w:rPr>
      </w:pPr>
    </w:p>
    <w:p>
      <w:pPr>
        <w:ind w:right="40"/>
        <w:spacing w:after="0" w:line="374" w:lineRule="auto"/>
        <w:rPr>
          <w:sz w:val="20"/>
          <w:szCs w:val="20"/>
          <w:color w:val="auto"/>
        </w:rPr>
      </w:pPr>
      <w:r>
        <w:rPr>
          <w:rFonts w:ascii="Times New Roman" w:cs="Times New Roman" w:eastAsia="Times New Roman" w:hAnsi="Times New Roman"/>
          <w:sz w:val="20"/>
          <w:szCs w:val="20"/>
          <w:color w:val="auto"/>
        </w:rPr>
        <w:t>Consolidated net sales increased 14.0% to $2,652.3 million in the fourth quarter of 2022, including a 3.6-point benefit from the acquisition of Dot’s and Pretzels. Organic, constant currency net sales increased 10.7%, driven primarily by net price realization of 8.5 points. Consumer demand continued to grow across segments driving an additional 2.2 points of volume gains.</w:t>
      </w:r>
    </w:p>
    <w:p>
      <w:pPr>
        <w:spacing w:after="0" w:line="221" w:lineRule="exact"/>
        <w:rPr>
          <w:sz w:val="20"/>
          <w:szCs w:val="20"/>
          <w:color w:val="auto"/>
        </w:rPr>
      </w:pPr>
    </w:p>
    <w:p>
      <w:pPr>
        <w:ind w:right="220"/>
        <w:spacing w:after="0" w:line="366" w:lineRule="auto"/>
        <w:rPr>
          <w:sz w:val="20"/>
          <w:szCs w:val="20"/>
          <w:color w:val="auto"/>
        </w:rPr>
      </w:pPr>
      <w:r>
        <w:rPr>
          <w:rFonts w:ascii="Times New Roman" w:cs="Times New Roman" w:eastAsia="Times New Roman" w:hAnsi="Times New Roman"/>
          <w:sz w:val="20"/>
          <w:szCs w:val="20"/>
          <w:color w:val="auto"/>
        </w:rPr>
        <w:t>Reported gross margin decreased 30 basis points to 43.2% in the fourth quarter of 2022. This decrease was driven by broad-based cost of goods inflation, including commodity mark-to-market losses, higher manufacturing costs and labor investments, and unfavorable portfolio mix, which was partially offset by higher organic net sales growth. Adjusted gross margin increased 20 basis points to 43.7% in the fourth quarter of 2022. Net price realization and volume gains drove gross margin expansion, which was partially offset by raw material and packaging inflation, higher labor costs, increased manufacturing costs related to higher-than-anticipated demand, and unfavorable portfolio mix.</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981" w:right="339" w:bottom="1440" w:gutter="0" w:footer="0" w:header="0"/>
        </w:sectPr>
      </w:pPr>
    </w:p>
    <w:bookmarkStart w:id="6" w:name="page7"/>
    <w:bookmarkEnd w:id="6"/>
    <w:p>
      <w:pPr>
        <w:ind w:right="120"/>
        <w:spacing w:after="0" w:line="385" w:lineRule="auto"/>
        <w:rPr>
          <w:sz w:val="20"/>
          <w:szCs w:val="20"/>
          <w:color w:val="auto"/>
        </w:rPr>
      </w:pPr>
      <w:r>
        <w:rPr>
          <w:rFonts w:ascii="Times New Roman" w:cs="Times New Roman" w:eastAsia="Times New Roman" w:hAnsi="Times New Roman"/>
          <w:sz w:val="19"/>
          <w:szCs w:val="19"/>
          <w:color w:val="auto"/>
        </w:rPr>
        <w:t xml:space="preserve">Selling, marketing and administrative expenses increased 11.5% in the fourth quarter of 2022 versus the prior-year period, primarily driven by higher corporate expenses. Advertising and related consumer marketing expenses increased by 3.3% in the fourth quarter of 2022 versus the same period last year. Higher levels of advertising were driven by </w:t>
      </w:r>
      <w:r>
        <w:rPr>
          <w:rFonts w:ascii="Times New Roman" w:cs="Times New Roman" w:eastAsia="Times New Roman" w:hAnsi="Times New Roman"/>
          <w:sz w:val="19"/>
          <w:szCs w:val="19"/>
          <w:i w:val="1"/>
          <w:iCs w:val="1"/>
          <w:color w:val="auto"/>
        </w:rPr>
        <w:t>Reese’s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Jolly Rancher</w:t>
      </w:r>
      <w:r>
        <w:rPr>
          <w:rFonts w:ascii="Times New Roman" w:cs="Times New Roman" w:eastAsia="Times New Roman" w:hAnsi="Times New Roman"/>
          <w:sz w:val="19"/>
          <w:szCs w:val="19"/>
          <w:color w:val="auto"/>
        </w:rPr>
        <w:t xml:space="preserve"> brands in response to incremental capacity, which was partially offset by cost efficiencies related to new media partners. Selling, marketing and administrative expenses, excluding advertising and related consumer marketing, increased 15.4% versus the fourth quarter of 2021. This increase was driven by incremental capability and technology investments, increased non-income tax reserves, and favorable benefit accrual in the prior-year period.</w:t>
      </w:r>
    </w:p>
    <w:p>
      <w:pPr>
        <w:spacing w:after="0" w:line="219" w:lineRule="exact"/>
        <w:rPr>
          <w:sz w:val="20"/>
          <w:szCs w:val="20"/>
          <w:color w:val="auto"/>
        </w:rPr>
      </w:pPr>
    </w:p>
    <w:p>
      <w:pPr>
        <w:spacing w:after="0" w:line="370" w:lineRule="auto"/>
        <w:rPr>
          <w:sz w:val="20"/>
          <w:szCs w:val="20"/>
          <w:color w:val="auto"/>
        </w:rPr>
      </w:pPr>
      <w:r>
        <w:rPr>
          <w:rFonts w:ascii="Times New Roman" w:cs="Times New Roman" w:eastAsia="Times New Roman" w:hAnsi="Times New Roman"/>
          <w:sz w:val="20"/>
          <w:szCs w:val="20"/>
          <w:color w:val="auto"/>
        </w:rPr>
        <w:t>Fourth-quarter 2022 reported operating profit of $526.6 million increased 14.7%, resulting in an operating profit margin of 19.9%, an increase of 20 basis points versus the prior-year period. Adjusted operating profit of $555.3 million increased 16.7% versus the fourth quarter of 2021, resulting in adjusted operating profit margin of 20.9%, an increase of 40 basis points. Profit increases in both reported and adjusted operating profit were driven by price realization gains, higher volume, and operating cost leverage. In addition, reported operating profit was partially offset by derivative mark-to-market losses and higher integration costs related to recent acquisitions.</w:t>
      </w:r>
    </w:p>
    <w:p>
      <w:pPr>
        <w:spacing w:after="0" w:line="225" w:lineRule="exact"/>
        <w:rPr>
          <w:sz w:val="20"/>
          <w:szCs w:val="20"/>
          <w:color w:val="auto"/>
        </w:rPr>
      </w:pPr>
    </w:p>
    <w:p>
      <w:pPr>
        <w:ind w:right="140"/>
        <w:spacing w:after="0" w:line="366" w:lineRule="auto"/>
        <w:rPr>
          <w:sz w:val="20"/>
          <w:szCs w:val="20"/>
          <w:color w:val="auto"/>
        </w:rPr>
      </w:pPr>
      <w:r>
        <w:rPr>
          <w:rFonts w:ascii="Times New Roman" w:cs="Times New Roman" w:eastAsia="Times New Roman" w:hAnsi="Times New Roman"/>
          <w:sz w:val="20"/>
          <w:szCs w:val="20"/>
          <w:color w:val="auto"/>
        </w:rPr>
        <w:t>The reported effective tax rate in the fourth quarter of 2022 was (9.1)% compared to 0.9% in the fourth quarter of 2021, a decrease of 1,000 basis points. The adjusted effective tax rate in the fourth quarter of 2022 was (6.5)% compared to 2.2% in the fourth quarter of 2021, a decrease of 870 basis points. Both the reported and adjusted effective tax rate decreases were driven by higher renewable energy tax credits versus the prior-year period.</w:t>
      </w:r>
    </w:p>
    <w:p>
      <w:pPr>
        <w:spacing w:after="0" w:line="231" w:lineRule="exact"/>
        <w:rPr>
          <w:sz w:val="20"/>
          <w:szCs w:val="20"/>
          <w:color w:val="auto"/>
        </w:rPr>
      </w:pPr>
    </w:p>
    <w:p>
      <w:pPr>
        <w:ind w:right="200"/>
        <w:spacing w:after="0" w:line="374" w:lineRule="auto"/>
        <w:rPr>
          <w:sz w:val="20"/>
          <w:szCs w:val="20"/>
          <w:color w:val="auto"/>
        </w:rPr>
      </w:pPr>
      <w:r>
        <w:rPr>
          <w:rFonts w:ascii="Times New Roman" w:cs="Times New Roman" w:eastAsia="Times New Roman" w:hAnsi="Times New Roman"/>
          <w:sz w:val="20"/>
          <w:szCs w:val="20"/>
          <w:color w:val="auto"/>
        </w:rPr>
        <w:t>The company’s fourth-quarter 2022 results, as prepared in accordance with GAAP, included items positively impacting comparability of $28.7 million, or $0.10 per share-diluted. For the fourth quarter of 2021, items positively impacting comparability totaled $20.8 million, or $0.07 per share-diluted.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99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The following table presents a summary of items impacting comparability in each period (see Appendix I for additional information):</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Pre-Tax (millions)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 Per Share-Diluted</w:t>
            </w:r>
          </w:p>
        </w:tc>
        <w:tc>
          <w:tcPr>
            <w:tcW w:w="480" w:type="dxa"/>
            <w:vAlign w:val="bottom"/>
          </w:tcPr>
          <w:p>
            <w:pPr>
              <w:spacing w:after="0"/>
              <w:rPr>
                <w:sz w:val="19"/>
                <w:szCs w:val="19"/>
                <w:color w:val="auto"/>
              </w:rPr>
            </w:pPr>
          </w:p>
        </w:tc>
      </w:tr>
      <w:tr>
        <w:trPr>
          <w:trHeight w:val="238"/>
        </w:trPr>
        <w:tc>
          <w:tcPr>
            <w:tcW w:w="48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461"/>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4"/>
                <w:szCs w:val="24"/>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4"/>
                <w:szCs w:val="24"/>
                <w:color w:val="auto"/>
              </w:rPr>
            </w:pP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Share of Business Realignment Charges</w:t>
            </w: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Benefits</w:t>
            </w: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All Adjustments Reflected Above</w:t>
            </w:r>
          </w:p>
        </w:tc>
        <w:tc>
          <w:tcPr>
            <w:tcW w:w="4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48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
        </w:trPr>
        <w:tc>
          <w:tcPr>
            <w:tcW w:w="4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Pre-Tax (millions)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Earnings Per Share-Diluted</w:t>
            </w:r>
          </w:p>
        </w:tc>
        <w:tc>
          <w:tcPr>
            <w:tcW w:w="480" w:type="dxa"/>
            <w:vAlign w:val="bottom"/>
          </w:tcPr>
          <w:p>
            <w:pPr>
              <w:spacing w:after="0"/>
              <w:rPr>
                <w:sz w:val="19"/>
                <w:szCs w:val="19"/>
                <w:color w:val="auto"/>
              </w:rPr>
            </w:pPr>
          </w:p>
        </w:tc>
      </w:tr>
      <w:tr>
        <w:trPr>
          <w:trHeight w:val="238"/>
        </w:trPr>
        <w:tc>
          <w:tcPr>
            <w:tcW w:w="4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480" w:type="dxa"/>
            <w:vAlign w:val="bottom"/>
            <w:tcBorders>
              <w:bottom w:val="single" w:sz="8" w:color="auto"/>
            </w:tcBorders>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461"/>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4"/>
                <w:szCs w:val="24"/>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4"/>
                <w:szCs w:val="24"/>
                <w:color w:val="auto"/>
              </w:rPr>
            </w:pPr>
          </w:p>
        </w:tc>
        <w:tc>
          <w:tcPr>
            <w:tcW w:w="106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0.09</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0.16</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Share of Business Realignment Charges</w:t>
            </w:r>
          </w:p>
        </w:tc>
        <w:tc>
          <w:tcPr>
            <w:tcW w:w="4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0.03</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Losses (Benefits)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All Adjustments Reflected Above</w:t>
            </w:r>
          </w:p>
        </w:tc>
        <w:tc>
          <w:tcPr>
            <w:tcW w:w="4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48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0.08</w:t>
            </w:r>
          </w:p>
        </w:tc>
      </w:tr>
      <w:tr>
        <w:trPr>
          <w:trHeight w:val="20"/>
        </w:trPr>
        <w:tc>
          <w:tcPr>
            <w:tcW w:w="4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460"/>
        <w:spacing w:after="0" w:line="381" w:lineRule="auto"/>
        <w:rPr>
          <w:sz w:val="20"/>
          <w:szCs w:val="20"/>
          <w:color w:val="auto"/>
        </w:rPr>
      </w:pPr>
      <w:r>
        <w:rPr>
          <w:rFonts w:ascii="Times New Roman" w:cs="Times New Roman" w:eastAsia="Times New Roman" w:hAnsi="Times New Roman"/>
          <w:sz w:val="20"/>
          <w:szCs w:val="20"/>
          <w:color w:val="auto"/>
        </w:rPr>
        <w:t>The following are comments about segment performance for the fourth quarter of 2022 versus the prior-year period. See the schedule of supplementary information within this press release for additional information on segment net sales and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99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North America Confectionery</w:t>
      </w:r>
    </w:p>
    <w:p>
      <w:pPr>
        <w:spacing w:after="0" w:line="125" w:lineRule="exact"/>
        <w:rPr>
          <w:sz w:val="20"/>
          <w:szCs w:val="20"/>
          <w:color w:val="auto"/>
        </w:rPr>
      </w:pPr>
    </w:p>
    <w:p>
      <w:pPr>
        <w:jc w:val="both"/>
        <w:ind w:right="200"/>
        <w:spacing w:after="0" w:line="374" w:lineRule="auto"/>
        <w:rPr>
          <w:sz w:val="20"/>
          <w:szCs w:val="20"/>
          <w:color w:val="auto"/>
        </w:rPr>
      </w:pPr>
      <w:r>
        <w:rPr>
          <w:rFonts w:ascii="Times New Roman" w:cs="Times New Roman" w:eastAsia="Times New Roman" w:hAnsi="Times New Roman"/>
          <w:sz w:val="20"/>
          <w:szCs w:val="20"/>
          <w:color w:val="auto"/>
        </w:rPr>
        <w:t>Hershey’s North America Confectionery segment net sales were $2,174.8 million in the fourth quarter of 2022, an increase of 9.7% versus the same period last year. Organic, constant currency net sales increased 10.2% primarily driven by net price realization, along with modest volume gains from strong consumer demand.</w:t>
      </w:r>
    </w:p>
    <w:p>
      <w:pPr>
        <w:spacing w:after="0" w:line="221" w:lineRule="exact"/>
        <w:rPr>
          <w:sz w:val="20"/>
          <w:szCs w:val="20"/>
          <w:color w:val="auto"/>
        </w:rPr>
      </w:pPr>
    </w:p>
    <w:p>
      <w:pPr>
        <w:ind w:right="140"/>
        <w:spacing w:after="0" w:line="380" w:lineRule="auto"/>
        <w:rPr>
          <w:sz w:val="20"/>
          <w:szCs w:val="20"/>
          <w:color w:val="auto"/>
        </w:rPr>
      </w:pPr>
      <w:r>
        <w:rPr>
          <w:rFonts w:ascii="Times New Roman" w:cs="Times New Roman" w:eastAsia="Times New Roman" w:hAnsi="Times New Roman"/>
          <w:sz w:val="19"/>
          <w:szCs w:val="19"/>
          <w:color w:val="auto"/>
        </w:rPr>
        <w:t>Hershey’s U.S. candy, mint and gum (CMG) retail takeaway for the twelve-week period ended January 1, 2023 in the multi-outlet combined plus convenience store channels (MULO+C) increased 10.7%. Unit pricing was the primary driver of retail sales growth, while consumer demand remained resilient with volumes declining modestly. Growth was strong across segments, with chocolate retail sales growth of</w:t>
      </w:r>
    </w:p>
    <w:p>
      <w:pPr>
        <w:spacing w:after="0" w:line="2" w:lineRule="exact"/>
        <w:rPr>
          <w:sz w:val="20"/>
          <w:szCs w:val="20"/>
          <w:color w:val="auto"/>
        </w:rPr>
      </w:pPr>
    </w:p>
    <w:p>
      <w:pPr>
        <w:ind w:right="240"/>
        <w:spacing w:after="0" w:line="374" w:lineRule="auto"/>
        <w:rPr>
          <w:sz w:val="20"/>
          <w:szCs w:val="20"/>
          <w:color w:val="auto"/>
        </w:rPr>
      </w:pPr>
      <w:r>
        <w:rPr>
          <w:rFonts w:ascii="Times New Roman" w:cs="Times New Roman" w:eastAsia="Times New Roman" w:hAnsi="Times New Roman"/>
          <w:sz w:val="20"/>
          <w:szCs w:val="20"/>
          <w:color w:val="auto"/>
        </w:rPr>
        <w:t>10.6%, sweets retail sales growth of 12.8%, and refreshment retail sales growth of 10.8%. Strong consumer engagement for the Halloween and Holiday seasons also contributed to this growth. CMG share declined by 54 basis points due to category mix headwinds and capacity constraints on seasonal products.</w:t>
      </w:r>
    </w:p>
    <w:p>
      <w:pPr>
        <w:spacing w:after="0" w:line="221" w:lineRule="exact"/>
        <w:rPr>
          <w:sz w:val="20"/>
          <w:szCs w:val="20"/>
          <w:color w:val="auto"/>
        </w:rPr>
      </w:pPr>
    </w:p>
    <w:p>
      <w:pPr>
        <w:jc w:val="both"/>
        <w:ind w:right="240"/>
        <w:spacing w:after="0" w:line="366" w:lineRule="auto"/>
        <w:rPr>
          <w:sz w:val="20"/>
          <w:szCs w:val="20"/>
          <w:color w:val="auto"/>
        </w:rPr>
      </w:pPr>
      <w:r>
        <w:rPr>
          <w:rFonts w:ascii="Times New Roman" w:cs="Times New Roman" w:eastAsia="Times New Roman" w:hAnsi="Times New Roman"/>
          <w:sz w:val="20"/>
          <w:szCs w:val="20"/>
          <w:color w:val="auto"/>
        </w:rPr>
        <w:t>North America Confectionery segment income was $703.5 million in the fourth quarter of 2022, reflecting an increase of 12.9% versus the prior-year period. This resulted in segment margin of 32.3%, an increase of 90 basis points. Net price realization, volume gains and media cost efficiencies more than offset broad-based inflation, increased manufacturing and labor costs, and higher levels of brand and capability investments to drive segment income and margin expansion in the fourth quarter.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North America Salty Snacks</w:t>
      </w:r>
    </w:p>
    <w:p>
      <w:pPr>
        <w:spacing w:after="0" w:line="125"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Hershey’s North America Salty Snacks segment net sales were $272.0 million in the fourth quarter of 2022, an increase of 71.4% versus the same period last year. Sales from the acquisitions of Dot’s and Pretzels were a 52.7-point benefit. Organic, constant currency net sales growth was 18.7% with nearly equal contribution from volume gains and net price realization.</w:t>
      </w:r>
    </w:p>
    <w:p>
      <w:pPr>
        <w:spacing w:after="0" w:line="221"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 xml:space="preserve">Hershey’s U.S. salty snack retail takeaway in MULO+C increased 19.2% in the 12-week period ended January 1, 2023, resulting in a salty snack share gain of 10 basis points in the period. </w:t>
      </w:r>
      <w:r>
        <w:rPr>
          <w:rFonts w:ascii="Times New Roman" w:cs="Times New Roman" w:eastAsia="Times New Roman" w:hAnsi="Times New Roman"/>
          <w:sz w:val="20"/>
          <w:szCs w:val="20"/>
          <w:i w:val="1"/>
          <w:iCs w:val="1"/>
          <w:color w:val="auto"/>
        </w:rPr>
        <w:t>SkinnyPop</w:t>
      </w:r>
      <w:r>
        <w:rPr>
          <w:rFonts w:ascii="Times New Roman" w:cs="Times New Roman" w:eastAsia="Times New Roman" w:hAnsi="Times New Roman"/>
          <w:sz w:val="20"/>
          <w:szCs w:val="20"/>
          <w:color w:val="auto"/>
        </w:rPr>
        <w:t xml:space="preserve"> products retail sales increased 19.7%, gaining 130 basis points of ready-to-eat popcorn share in the fourth quarter. Consumer demand and unit velocities for the </w:t>
      </w:r>
      <w:r>
        <w:rPr>
          <w:rFonts w:ascii="Times New Roman" w:cs="Times New Roman" w:eastAsia="Times New Roman" w:hAnsi="Times New Roman"/>
          <w:sz w:val="20"/>
          <w:szCs w:val="20"/>
          <w:i w:val="1"/>
          <w:iCs w:val="1"/>
          <w:color w:val="auto"/>
        </w:rPr>
        <w:t>SkinnyPop</w:t>
      </w:r>
      <w:r>
        <w:rPr>
          <w:rFonts w:ascii="Times New Roman" w:cs="Times New Roman" w:eastAsia="Times New Roman" w:hAnsi="Times New Roman"/>
          <w:sz w:val="20"/>
          <w:szCs w:val="20"/>
          <w:color w:val="auto"/>
        </w:rPr>
        <w:t xml:space="preserve"> brand grew through incremental consumer occasions, while unit pricing also contributed to retail growth. </w:t>
      </w:r>
      <w:r>
        <w:rPr>
          <w:rFonts w:ascii="Times New Roman" w:cs="Times New Roman" w:eastAsia="Times New Roman" w:hAnsi="Times New Roman"/>
          <w:sz w:val="20"/>
          <w:szCs w:val="20"/>
          <w:i w:val="1"/>
          <w:iCs w:val="1"/>
          <w:color w:val="auto"/>
        </w:rPr>
        <w:t>Pirate’s Booty</w:t>
      </w:r>
      <w:r>
        <w:rPr>
          <w:rFonts w:ascii="Times New Roman" w:cs="Times New Roman" w:eastAsia="Times New Roman" w:hAnsi="Times New Roman"/>
          <w:sz w:val="20"/>
          <w:szCs w:val="20"/>
          <w:color w:val="auto"/>
        </w:rPr>
        <w:t xml:space="preserve"> products declined 3.0% due to lower promotional levels as the company seeks to reduce supply chain complexity and improve profitability. </w:t>
      </w:r>
      <w:r>
        <w:rPr>
          <w:rFonts w:ascii="Times New Roman" w:cs="Times New Roman" w:eastAsia="Times New Roman" w:hAnsi="Times New Roman"/>
          <w:sz w:val="20"/>
          <w:szCs w:val="20"/>
          <w:i w:val="1"/>
          <w:iCs w:val="1"/>
          <w:color w:val="auto"/>
        </w:rPr>
        <w:t>Dot’s Homestyle Pretzels</w:t>
      </w:r>
      <w:r>
        <w:rPr>
          <w:rFonts w:ascii="Times New Roman" w:cs="Times New Roman" w:eastAsia="Times New Roman" w:hAnsi="Times New Roman"/>
          <w:sz w:val="20"/>
          <w:szCs w:val="20"/>
          <w:color w:val="auto"/>
        </w:rPr>
        <w:t xml:space="preserve"> brand reported strong retail sales growth of 32.3% as the brand continued to gain distribution and acquire new buyers in the fourth quarter. This growth significantly outpaced the category, driving 130 basis points of pretzel share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990" w:right="339" w:bottom="1440" w:gutter="0" w:footer="0" w:header="0"/>
        </w:sectPr>
      </w:pPr>
    </w:p>
    <w:bookmarkStart w:id="9" w:name="page10"/>
    <w:bookmarkEnd w:id="9"/>
    <w:p>
      <w:pPr>
        <w:jc w:val="both"/>
        <w:spacing w:after="0" w:line="366" w:lineRule="auto"/>
        <w:rPr>
          <w:sz w:val="20"/>
          <w:szCs w:val="20"/>
          <w:color w:val="auto"/>
        </w:rPr>
      </w:pPr>
      <w:r>
        <w:rPr>
          <w:rFonts w:ascii="Times New Roman" w:cs="Times New Roman" w:eastAsia="Times New Roman" w:hAnsi="Times New Roman"/>
          <w:sz w:val="20"/>
          <w:szCs w:val="20"/>
          <w:color w:val="auto"/>
        </w:rPr>
        <w:t>The North America Salty Snacks segment income was $56.7 million in the fourth quarter of 2022, reflecting an increase of 187.5% versus the prior-year period. This resulted in a segment margin of 20.8%, an increase of 840 basis points versus the prior-year period. Profit and margin expansion were driven by volume, price realization and acquisitions, along with lower levels of advertising versus the prior-year period, which more than offset inflation, unfavorable mix, and acquisition-related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International</w:t>
      </w:r>
    </w:p>
    <w:p>
      <w:pPr>
        <w:spacing w:after="0" w:line="139" w:lineRule="exact"/>
        <w:rPr>
          <w:sz w:val="20"/>
          <w:szCs w:val="20"/>
          <w:color w:val="auto"/>
        </w:rPr>
      </w:pPr>
    </w:p>
    <w:p>
      <w:pPr>
        <w:ind w:right="420"/>
        <w:spacing w:after="0" w:line="374" w:lineRule="auto"/>
        <w:rPr>
          <w:sz w:val="20"/>
          <w:szCs w:val="20"/>
          <w:color w:val="auto"/>
        </w:rPr>
      </w:pPr>
      <w:r>
        <w:rPr>
          <w:rFonts w:ascii="Times New Roman" w:cs="Times New Roman" w:eastAsia="Times New Roman" w:hAnsi="Times New Roman"/>
          <w:sz w:val="20"/>
          <w:szCs w:val="20"/>
          <w:color w:val="auto"/>
        </w:rPr>
        <w:t>Fourth-quarter 2022 net sales for Hershey’s International segment increased 11.1% versus the same period last year to $205.6 million. Organic, constant currency net sales increased 9.3% driven by strong consumer demand across geographies, along with modest net price realization.</w:t>
      </w:r>
    </w:p>
    <w:p>
      <w:pPr>
        <w:spacing w:after="0" w:line="221" w:lineRule="exact"/>
        <w:rPr>
          <w:sz w:val="20"/>
          <w:szCs w:val="20"/>
          <w:color w:val="auto"/>
        </w:rPr>
      </w:pPr>
    </w:p>
    <w:p>
      <w:pPr>
        <w:ind w:right="120"/>
        <w:spacing w:after="0" w:line="400" w:lineRule="auto"/>
        <w:rPr>
          <w:sz w:val="20"/>
          <w:szCs w:val="20"/>
          <w:color w:val="auto"/>
        </w:rPr>
      </w:pPr>
      <w:r>
        <w:rPr>
          <w:rFonts w:ascii="Times New Roman" w:cs="Times New Roman" w:eastAsia="Times New Roman" w:hAnsi="Times New Roman"/>
          <w:sz w:val="19"/>
          <w:szCs w:val="19"/>
          <w:color w:val="auto"/>
        </w:rPr>
        <w:t>The International segment reported a $0.1 million loss in the fourth quarter of 2022, reflecting a 63.2% increase versus the prior year period, resulting in segment margin of (0.1)%, an increase of 10 basis points. Volume gains and net price realization more than offset broad-based inflation and incremental capability and technology investments, to drive the profit increase and margin expansion in the fourth quarter.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Unallocated Corporate Expense</w:t>
      </w:r>
    </w:p>
    <w:p>
      <w:pPr>
        <w:spacing w:after="0" w:line="125" w:lineRule="exact"/>
        <w:rPr>
          <w:sz w:val="20"/>
          <w:szCs w:val="20"/>
          <w:color w:val="auto"/>
        </w:rPr>
      </w:pPr>
    </w:p>
    <w:p>
      <w:pPr>
        <w:ind w:right="20"/>
        <w:spacing w:after="0" w:line="371" w:lineRule="auto"/>
        <w:rPr>
          <w:sz w:val="20"/>
          <w:szCs w:val="20"/>
          <w:color w:val="auto"/>
        </w:rPr>
      </w:pPr>
      <w:r>
        <w:rPr>
          <w:rFonts w:ascii="Times New Roman" w:cs="Times New Roman" w:eastAsia="Times New Roman" w:hAnsi="Times New Roman"/>
          <w:sz w:val="20"/>
          <w:szCs w:val="20"/>
          <w:color w:val="auto"/>
        </w:rPr>
        <w:t>Hershey’s unallocated corporate expense in the fourth quarter of 2022 was $204.7 million, an increase of $37.9 million, or 22.7% versus the same period of 2021. This increase was driven by higher technology costs related to building a digital infrastructure, including the company’s ERP system and related amortization, incremental capability investments, increased non-income tax reserve, and a favorable benefit accrual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99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Live Webcast</w:t>
      </w:r>
    </w:p>
    <w:p>
      <w:pPr>
        <w:spacing w:after="0" w:line="125" w:lineRule="exact"/>
        <w:rPr>
          <w:sz w:val="20"/>
          <w:szCs w:val="20"/>
          <w:color w:val="auto"/>
        </w:rPr>
      </w:pPr>
    </w:p>
    <w:p>
      <w:pPr>
        <w:ind w:right="100"/>
        <w:spacing w:after="0" w:line="371" w:lineRule="auto"/>
        <w:rPr>
          <w:sz w:val="20"/>
          <w:szCs w:val="20"/>
          <w:color w:val="auto"/>
        </w:rPr>
      </w:pPr>
      <w:r>
        <w:rPr>
          <w:rFonts w:ascii="Times New Roman" w:cs="Times New Roman" w:eastAsia="Times New Roman" w:hAnsi="Times New Roman"/>
          <w:sz w:val="20"/>
          <w:szCs w:val="20"/>
          <w:color w:val="auto"/>
        </w:rPr>
        <w:t>At approximately 7:00 a.m. (Eastern time) today, Hershey will post a pre-recorded management discussion of its fourth-quarter and full-year 2022 results and business update to its website at www.thehersheycompany.com/investors. In addition, at 8:30 a.m. (Eastern time) today, the company will host a live question and answer session with investors and financial analysts. Details to access this call are available on the company’s website.</w:t>
      </w:r>
    </w:p>
    <w:p>
      <w:pPr>
        <w:spacing w:after="0" w:line="221"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0"/>
          <w:szCs w:val="20"/>
          <w:b w:val="1"/>
          <w:bCs w:val="1"/>
          <w:color w:val="auto"/>
        </w:rPr>
        <w:t xml:space="preserve">Note: </w:t>
      </w:r>
      <w:r>
        <w:rPr>
          <w:rFonts w:ascii="Times New Roman" w:cs="Times New Roman" w:eastAsia="Times New Roman" w:hAnsi="Times New Roman"/>
          <w:sz w:val="20"/>
          <w:szCs w:val="20"/>
          <w:color w:val="auto"/>
        </w:rPr>
        <w:t>In this release, for the fourth-quarter of and full-year 2022, Hershey references income measures that are not in accordance with 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because they exclude certain items impacting comparability, including gains and losses associated with mark-to-market commodity derivatives, business realignment activities, acquisition and integration-related activities and other miscellaneous losses and benefits. The company refers to these income measures as “adjusted” or “non-GAAP” financial measures throughout this release. These non-GAAP financial measures are used in evaluating results of operations for internal purposes and are not intended to replace the presentation of financial results in accordance with GAAP. Rather, the company believes exclusion of such items provides additional information to investors to facilitate the comparison of past and present operations. A reconciliation of the non-GAAP financial measures referenced in this release to their nearest comparable GAAP financial measures as presented in the Consolidated Statements of Income is provided below.</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99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9460" w:type="dxa"/>
            <w:vAlign w:val="bottom"/>
            <w:gridSpan w:val="10"/>
          </w:tcPr>
          <w:p>
            <w:pPr>
              <w:ind w:left="3400"/>
              <w:spacing w:after="0"/>
              <w:rPr>
                <w:sz w:val="20"/>
                <w:szCs w:val="20"/>
                <w:color w:val="auto"/>
              </w:rPr>
            </w:pPr>
            <w:r>
              <w:rPr>
                <w:rFonts w:ascii="Times New Roman" w:cs="Times New Roman" w:eastAsia="Times New Roman" w:hAnsi="Times New Roman"/>
                <w:sz w:val="18"/>
                <w:szCs w:val="18"/>
                <w:b w:val="1"/>
                <w:bCs w:val="1"/>
                <w:color w:val="auto"/>
              </w:rPr>
              <w:t>Reconciliation of Certain Non-GAAP Financial Measures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140" w:type="dxa"/>
            <w:vAlign w:val="bottom"/>
          </w:tcPr>
          <w:p>
            <w:pPr>
              <w:spacing w:after="0"/>
              <w:rPr>
                <w:sz w:val="20"/>
                <w:szCs w:val="20"/>
                <w:color w:val="auto"/>
              </w:rPr>
            </w:pPr>
          </w:p>
        </w:tc>
        <w:tc>
          <w:tcPr>
            <w:tcW w:w="356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5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1,144,806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1,012,867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4,498,785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4,048,598</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1,012,598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4,581,611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4,032,120</w:t>
            </w:r>
          </w:p>
        </w:tc>
      </w:tr>
      <w:tr>
        <w:trPr>
          <w:trHeight w:val="21"/>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Reported 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526,646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2,260,787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2,043,722</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33,142</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losses (benefits)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475,714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2,405,436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2,053,878</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Reported provision (benefit)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272,254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314,405</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losses (benefits)*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Non-GAAP provision (benefit) for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301,662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314,576</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Reported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1,644,817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1,477,512</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25,459</w:t>
            </w:r>
          </w:p>
        </w:tc>
      </w:tr>
      <w:tr>
        <w:trPr>
          <w:trHeight w:val="180"/>
        </w:trPr>
        <w:tc>
          <w:tcPr>
            <w:tcW w:w="3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Noncontrolling interest share of business realignment</w:t>
            </w: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and impairment charges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losses (benefits)</w:t>
            </w: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351,565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1,760,058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1,492,810</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40" w:top="96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60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Certain Non-GAAP Financial Measures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5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Reported EPS - Diluted</w:t>
            </w:r>
          </w:p>
        </w:tc>
        <w:tc>
          <w:tcPr>
            <w:tcW w:w="5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5"/>
              </w:rPr>
              <w:t>7.11</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Derivative mark-to-market losses (gains)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Business realignment activities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5"/>
              </w:rPr>
              <w:t>0.09</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activities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5"/>
              </w:rPr>
              <w:t>0.16</w:t>
            </w:r>
          </w:p>
        </w:tc>
      </w:tr>
      <w:tr>
        <w:trPr>
          <w:trHeight w:val="180"/>
        </w:trPr>
        <w:tc>
          <w:tcPr>
            <w:tcW w:w="40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Noncontrolling interest share of business realignment</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 impairment charges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5"/>
              </w:rPr>
              <w:t>0.03</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losses (benefits)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(0.07)</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w w:val="99"/>
              </w:rPr>
              <w:t>Tax effect of all adjustments reflected above**</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Non-GAAP EPS - Diluted</w:t>
            </w:r>
          </w:p>
        </w:tc>
        <w:tc>
          <w:tcPr>
            <w:tcW w:w="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5"/>
              </w:rPr>
              <w:t>7.19</w:t>
            </w:r>
          </w:p>
        </w:tc>
      </w:tr>
      <w:tr>
        <w:trPr>
          <w:trHeight w:val="21"/>
        </w:trPr>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40" w:hanging="4"/>
        <w:spacing w:after="0" w:line="257" w:lineRule="auto"/>
        <w:tabs>
          <w:tab w:leader="none" w:pos="7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for each adjustment is determined by calculating the tax impact of the adjustment on the company's quarterly effective tax rate, unless the nature of the item and/or the tax jurisdiction in which the item has been recorded requires application of a specific tax rate or tax treatment, in which case the tax effect of such item is estimated by applying such specific tax rate or tax treatment.</w:t>
      </w:r>
    </w:p>
    <w:p>
      <w:pPr>
        <w:spacing w:after="0" w:line="1" w:lineRule="exact"/>
        <w:rPr>
          <w:rFonts w:ascii="Times New Roman" w:cs="Times New Roman" w:eastAsia="Times New Roman" w:hAnsi="Times New Roman"/>
          <w:sz w:val="18"/>
          <w:szCs w:val="18"/>
          <w:color w:val="auto"/>
        </w:rPr>
      </w:pPr>
    </w:p>
    <w:p>
      <w:pPr>
        <w:ind w:left="6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Adjustments reported above are reported on a pre-tax basis before the tax effect described in the reconciliation above for Non-GAAP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968" w:right="339" w:bottom="1440" w:gutter="0" w:footer="0" w:header="0"/>
        </w:sectPr>
      </w:pPr>
    </w:p>
    <w:bookmarkStart w:id="13" w:name="page14"/>
    <w:bookmarkEnd w:id="13"/>
    <w:p>
      <w:pPr>
        <w:spacing w:after="0" w:line="359" w:lineRule="auto"/>
        <w:rPr>
          <w:sz w:val="20"/>
          <w:szCs w:val="20"/>
          <w:color w:val="auto"/>
        </w:rPr>
      </w:pPr>
      <w:r>
        <w:rPr>
          <w:rFonts w:ascii="Times New Roman" w:cs="Times New Roman" w:eastAsia="Times New Roman" w:hAnsi="Times New Roman"/>
          <w:sz w:val="20"/>
          <w:szCs w:val="20"/>
          <w:color w:val="auto"/>
        </w:rPr>
        <w:t>In the assessment of our results, we review and discuss the following financial metrics that are derived from the reported and non-GAAP financial measures presented above: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392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2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3260" w:type="dxa"/>
            <w:vAlign w:val="bottom"/>
          </w:tcPr>
          <w:p>
            <w:pPr>
              <w:spacing w:after="0"/>
              <w:rPr>
                <w:sz w:val="19"/>
                <w:szCs w:val="19"/>
                <w:color w:val="auto"/>
              </w:rPr>
            </w:pPr>
          </w:p>
        </w:tc>
        <w:tc>
          <w:tcPr>
            <w:tcW w:w="19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9"/>
                <w:szCs w:val="19"/>
                <w:color w:val="auto"/>
              </w:rPr>
            </w:pPr>
          </w:p>
        </w:tc>
        <w:tc>
          <w:tcPr>
            <w:tcW w:w="19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As reported gross margin</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45.1 %</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 (1)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49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As reported operating profit margin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profit margin (2)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49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As reported effective tax rate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Non-GAAP effective tax rate (3)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bl>
    <w:p>
      <w:pPr>
        <w:spacing w:after="0" w:line="328"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as non-GAAP gross profit as a percentage of net sales for each period presented.</w:t>
      </w:r>
    </w:p>
    <w:p>
      <w:pPr>
        <w:spacing w:after="0" w:line="28"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as non-GAAP operating profit as a percentage of net sales for each period presented.</w:t>
      </w:r>
    </w:p>
    <w:p>
      <w:pPr>
        <w:spacing w:after="0" w:line="13" w:lineRule="exact"/>
        <w:rPr>
          <w:rFonts w:ascii="Times New Roman" w:cs="Times New Roman" w:eastAsia="Times New Roman" w:hAnsi="Times New Roman"/>
          <w:sz w:val="20"/>
          <w:szCs w:val="20"/>
          <w:color w:val="auto"/>
        </w:rPr>
      </w:pPr>
    </w:p>
    <w:p>
      <w:pPr>
        <w:ind w:left="660" w:hanging="328"/>
        <w:spacing w:after="0" w:line="267" w:lineRule="auto"/>
        <w:tabs>
          <w:tab w:leader="none" w:pos="63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Calculated as non-GAAP provision for income taxes as a percentage of non-GAAP income before taxes (calculated as non-GAAP operating profit minus non-GAAP interest expense, net plus or minus non-GAAP other (income) expense, net).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9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Appendix 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Details of the charges included in GAAP results, as summarized in the press release (above), are as follows:</w:t>
      </w:r>
    </w:p>
    <w:p>
      <w:pPr>
        <w:spacing w:after="0" w:line="378"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u w:val="single" w:color="auto"/>
          <w:color w:val="auto"/>
        </w:rPr>
        <w:t>Derivative Mark-to-Market Losses (Gains):</w:t>
      </w:r>
      <w:r>
        <w:rPr>
          <w:rFonts w:ascii="Times New Roman" w:cs="Times New Roman" w:eastAsia="Times New Roman" w:hAnsi="Times New Roman"/>
          <w:sz w:val="20"/>
          <w:szCs w:val="20"/>
          <w:color w:val="auto"/>
        </w:rPr>
        <w:t xml:space="preserve"> The mark-to-market losses (gains) on commodity derivatives are recorded as unallocated and excluded from adjusted results until such time as the related inventory is sold, at which time the corresponding losses (gains) are reclassified from unallocated to segment income. Since we often purchase commodity contracts to price inventory requirements in future years, we make this adjustment to facilitate the year-over-year comparison of cost of sales on a basis that matches the derivative gains and losses with the underlying economic exposure being hedged for the period.</w:t>
      </w:r>
    </w:p>
    <w:p>
      <w:pPr>
        <w:spacing w:after="0" w:line="231"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u w:val="single" w:color="auto"/>
          <w:color w:val="auto"/>
        </w:rPr>
        <w:t>Business Realignment Activities:</w:t>
      </w:r>
      <w:r>
        <w:rPr>
          <w:rFonts w:ascii="Times New Roman" w:cs="Times New Roman" w:eastAsia="Times New Roman" w:hAnsi="Times New Roman"/>
          <w:sz w:val="20"/>
          <w:szCs w:val="20"/>
          <w:color w:val="auto"/>
        </w:rPr>
        <w:t xml:space="preserve"> We periodically undertake restructuring and cost reduction activities as part of ongoing efforts to enhance long-term profitability. During the fourth quarter of 2020, we commenced the International Optimization Program to streamline resources and investments in select international markets, including the optimization of our China operating model to improve efficiencies and provide a more sustainable and simplified base going forward. During the three- and 12-month periods of 2022 and 2021, business realignment charges related primarily to other third-party costs related to this program, as well as severance and employee benefit costs.</w:t>
      </w:r>
    </w:p>
    <w:p>
      <w:pPr>
        <w:spacing w:after="0" w:line="244"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u w:val="single" w:color="auto"/>
          <w:color w:val="auto"/>
        </w:rPr>
        <w:t>Acquisition and Integration-Related Activities:</w:t>
      </w:r>
      <w:r>
        <w:rPr>
          <w:rFonts w:ascii="Times New Roman" w:cs="Times New Roman" w:eastAsia="Times New Roman" w:hAnsi="Times New Roman"/>
          <w:sz w:val="20"/>
          <w:szCs w:val="20"/>
          <w:color w:val="auto"/>
        </w:rPr>
        <w:t xml:space="preserve"> During the three- and 12-month periods of 2022, we incurred costs related to the integration of the 2021 acquisitions of Lily’s, Dot’s and Pretzels. During the three- and 12-month periods of 2021, we incurred costs to effectuate the acquisitions of Lily’s, Dot’s and Pretzels, as well as costs related to the integration of Lily’s.</w:t>
      </w:r>
    </w:p>
    <w:p>
      <w:pPr>
        <w:spacing w:after="0" w:line="221"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u w:val="single" w:color="auto"/>
          <w:color w:val="auto"/>
        </w:rPr>
        <w:t>Noncontrolling Interest Share of Business Realignment and Impairment Charges:</w:t>
      </w:r>
      <w:r>
        <w:rPr>
          <w:rFonts w:ascii="Times New Roman" w:cs="Times New Roman" w:eastAsia="Times New Roman" w:hAnsi="Times New Roman"/>
          <w:sz w:val="20"/>
          <w:szCs w:val="20"/>
          <w:color w:val="auto"/>
        </w:rPr>
        <w:t xml:space="preserve"> Certain of the business realignment and impairment charges recorded related to the divestiture of Lotte Shanghai Foods Co., Ltd. (“LSFC”), a joint venture in which we previously owned a 50% controlling interest. Therefore, we have also adjusted for the portion of these charges included within the income (loss) attributed to the noncontrolling interest.</w:t>
      </w:r>
    </w:p>
    <w:p>
      <w:pPr>
        <w:spacing w:after="0" w:line="3"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u w:val="single" w:color="auto"/>
          <w:color w:val="auto"/>
        </w:rPr>
        <w:t>Other Miscellaneous Losses (Benefits)</w:t>
      </w:r>
      <w:r>
        <w:rPr>
          <w:rFonts w:ascii="Times New Roman" w:cs="Times New Roman" w:eastAsia="Times New Roman" w:hAnsi="Times New Roman"/>
          <w:sz w:val="20"/>
          <w:szCs w:val="20"/>
          <w:color w:val="auto"/>
        </w:rPr>
        <w:t>: In 2022, we recorded a loss on the sale of non-operating assets located in Pennsylvania. In 2021, we recorded a gain on the divestiture of LSFC, as well as a gain on a receivable previously deemed uncollectible.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990" w:right="339" w:bottom="1440" w:gutter="0" w:footer="0" w:header="0"/>
        </w:sectPr>
      </w:pPr>
    </w:p>
    <w:bookmarkStart w:id="15" w:name="page16"/>
    <w:bookmarkEnd w:id="15"/>
    <w:p>
      <w:pPr>
        <w:jc w:val="both"/>
        <w:spacing w:after="0" w:line="390" w:lineRule="auto"/>
        <w:rPr>
          <w:sz w:val="20"/>
          <w:szCs w:val="20"/>
          <w:color w:val="auto"/>
        </w:rPr>
      </w:pPr>
      <w:r>
        <w:rPr>
          <w:rFonts w:ascii="Times New Roman" w:cs="Times New Roman" w:eastAsia="Times New Roman" w:hAnsi="Times New Roman"/>
          <w:sz w:val="19"/>
          <w:szCs w:val="19"/>
          <w:u w:val="single" w:color="auto"/>
          <w:color w:val="auto"/>
        </w:rPr>
        <w:t>Tax Effect of All Adjustments</w:t>
      </w:r>
      <w:r>
        <w:rPr>
          <w:rFonts w:ascii="Times New Roman" w:cs="Times New Roman" w:eastAsia="Times New Roman" w:hAnsi="Times New Roman"/>
          <w:sz w:val="19"/>
          <w:szCs w:val="19"/>
          <w:color w:val="auto"/>
        </w:rPr>
        <w:t>: This line item reflects the aggregate tax effect of all pre-tax adjustments reflected in the preceding line items of the applicable table. The tax effect for each adjustment is determined by calculating the tax impact of the adjustment on the company’s quarterly effective tax rate, unless the nature of the item and/or the tax jurisdiction in which the item has been recorded requires application of a specific tax rate or tax treatment, in which case the tax effect of such item is estimated by applying such specific tax rate or tax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99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u w:val="single" w:color="auto"/>
          <w:color w:val="auto"/>
        </w:rPr>
        <w:t>Safe Harbor Statement</w:t>
      </w:r>
    </w:p>
    <w:p>
      <w:pPr>
        <w:spacing w:after="0" w:line="125"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20"/>
          <w:szCs w:val="20"/>
          <w:color w:val="auto"/>
        </w:rPr>
        <w:t>This release contains forward-looking statements within the meaning of the Private Securities Litigation Reform Act of 1995.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 These statements are made based upon current expectations that are subject to risk and uncertainty. Because actual results may differ materially from those contained in the forward-looking statements, you should not place undue reliance on the forward-looking statements when deciding whether to buy, sell or hold the company’s securities. Factors that could cause results to differ materially include, but are not limited to: disruptions or inefficiencies in our supply chain due to the loss or disruption of essential manufacturing or supply elements or other factors; issues or concerns related to the quality and safety of our products, ingredients or packaging, human and workplace rights, and other environmental, social or governance matters; changes in raw material and other costs, along with the availability of adequate supplies of raw materials; the company’s ability to successfully execute business continuity plans to address changes in consumer preferences and the broader economic and operating environment; selling price increases, including volume declines associated with pricing elasticity; market demand for our new and existing products; increased marketplace competition; failure to successfully execute and integrate acquisitions, divestitures and joint ventures; changes in governmental laws and regulations, including taxes; political, economic, and/or financial market conditions, including with respect to inflation, rising interest rates, slower growth or recession, and other events beyond our control such as the impacts on the business arising from the conflict between Russia and Ukraine; risks and uncertainties related to our international operations; disruptions, failures or security breaches of our information technology infrastructure and that of our customers and partners (including our suppliers); our ability to hire, engage and retain a talented global workforce, our ability to realize expected cost savings and operating efficiencies associated with strategic initiatives or restructuring programs; complications with the design or implementation of our new enterprise resource planning system; and such other matters as discussed in our Annual Report on Form 10-K for the year ended December 31, 2021 and from time to time in our other filings with the U.S. Securities and Exchange Commission. The company undertakes no duty to update any forward-looking statement to conform the statement to actual results or changes in the company’s expectations.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20"/>
          </w:cols>
          <w:pgMar w:left="320" w:top="990" w:right="35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for the periods ended December 31, 2022 and December 31, 2021</w:t>
      </w:r>
    </w:p>
    <w:p>
      <w:pPr>
        <w:spacing w:after="0" w:line="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(unaudited) (in thousands except percentages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0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50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50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44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2,652,338</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2,326,128</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10,419,294</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8,971,337</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1,507,532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1,313,261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5,920,509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4,922,739</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1,144,806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1,012,867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4,498,785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4,048,598</w:t>
            </w:r>
          </w:p>
        </w:tc>
        <w:tc>
          <w:tcPr>
            <w:tcW w:w="0" w:type="dxa"/>
            <w:vAlign w:val="bottom"/>
          </w:tcPr>
          <w:p>
            <w:pPr>
              <w:spacing w:after="0"/>
              <w:rPr>
                <w:sz w:val="1"/>
                <w:szCs w:val="1"/>
                <w:color w:val="auto"/>
              </w:rPr>
            </w:pPr>
          </w:p>
        </w:tc>
      </w:tr>
      <w:tr>
        <w:trPr>
          <w:trHeight w:val="324"/>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marketing and administrative expense</w:t>
            </w: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616,445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552,918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2,236,009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2,001,351</w:t>
            </w:r>
          </w:p>
        </w:tc>
        <w:tc>
          <w:tcPr>
            <w:tcW w:w="0" w:type="dxa"/>
            <w:vAlign w:val="bottom"/>
          </w:tcPr>
          <w:p>
            <w:pPr>
              <w:spacing w:after="0"/>
              <w:rPr>
                <w:sz w:val="1"/>
                <w:szCs w:val="1"/>
                <w:color w:val="auto"/>
              </w:rPr>
            </w:pPr>
          </w:p>
        </w:tc>
      </w:tr>
      <w:tr>
        <w:trPr>
          <w:trHeight w:val="219"/>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Business realignment costs</w:t>
            </w:r>
          </w:p>
        </w:tc>
        <w:tc>
          <w:tcPr>
            <w:tcW w:w="1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526,646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459,172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2,260,787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2,043,722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137,557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127,417</w:t>
            </w: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127,937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86,469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206,159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119,081</w:t>
            </w:r>
          </w:p>
        </w:tc>
        <w:tc>
          <w:tcPr>
            <w:tcW w:w="0" w:type="dxa"/>
            <w:vAlign w:val="bottom"/>
          </w:tcPr>
          <w:p>
            <w:pPr>
              <w:spacing w:after="0"/>
              <w:rPr>
                <w:sz w:val="1"/>
                <w:szCs w:val="1"/>
                <w:color w:val="auto"/>
              </w:rPr>
            </w:pPr>
          </w:p>
        </w:tc>
      </w:tr>
      <w:tr>
        <w:trPr>
          <w:trHeight w:val="301"/>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363,122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342,941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1,917,071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1,797,224</w:t>
            </w:r>
          </w:p>
        </w:tc>
        <w:tc>
          <w:tcPr>
            <w:tcW w:w="0" w:type="dxa"/>
            <w:vAlign w:val="bottom"/>
          </w:tcPr>
          <w:p>
            <w:pPr>
              <w:spacing w:after="0"/>
              <w:rPr>
                <w:sz w:val="1"/>
                <w:szCs w:val="1"/>
                <w:color w:val="auto"/>
              </w:rPr>
            </w:pPr>
          </w:p>
        </w:tc>
      </w:tr>
      <w:tr>
        <w:trPr>
          <w:trHeight w:val="219"/>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(33,174)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272,254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314,405</w:t>
            </w:r>
          </w:p>
        </w:tc>
        <w:tc>
          <w:tcPr>
            <w:tcW w:w="0" w:type="dxa"/>
            <w:vAlign w:val="bottom"/>
          </w:tcPr>
          <w:p>
            <w:pPr>
              <w:spacing w:after="0"/>
              <w:rPr>
                <w:sz w:val="1"/>
                <w:szCs w:val="1"/>
                <w:color w:val="auto"/>
              </w:rPr>
            </w:pPr>
          </w:p>
        </w:tc>
      </w:tr>
      <w:tr>
        <w:trPr>
          <w:trHeight w:val="304"/>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including noncontrolling interest</w:t>
            </w:r>
          </w:p>
        </w:tc>
        <w:tc>
          <w:tcPr>
            <w:tcW w:w="1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396,296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339,791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1,644,817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1,482,819</w:t>
            </w:r>
          </w:p>
        </w:tc>
        <w:tc>
          <w:tcPr>
            <w:tcW w:w="0" w:type="dxa"/>
            <w:vAlign w:val="bottom"/>
          </w:tcPr>
          <w:p>
            <w:pPr>
              <w:spacing w:after="0"/>
              <w:rPr>
                <w:sz w:val="1"/>
                <w:szCs w:val="1"/>
                <w:color w:val="auto"/>
              </w:rPr>
            </w:pPr>
          </w:p>
        </w:tc>
      </w:tr>
      <w:tr>
        <w:trPr>
          <w:trHeight w:val="304"/>
        </w:trPr>
        <w:tc>
          <w:tcPr>
            <w:tcW w:w="48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Less: Net gain (loss) attributable to noncontrolling interest</w:t>
            </w:r>
          </w:p>
        </w:tc>
        <w:tc>
          <w:tcPr>
            <w:tcW w:w="3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5,307</w:t>
            </w:r>
          </w:p>
        </w:tc>
        <w:tc>
          <w:tcPr>
            <w:tcW w:w="0" w:type="dxa"/>
            <w:vAlign w:val="bottom"/>
          </w:tcPr>
          <w:p>
            <w:pPr>
              <w:spacing w:after="0"/>
              <w:rPr>
                <w:sz w:val="1"/>
                <w:szCs w:val="1"/>
                <w:color w:val="auto"/>
              </w:rPr>
            </w:pP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The Hershey Company</w:t>
            </w:r>
          </w:p>
        </w:tc>
        <w:tc>
          <w:tcPr>
            <w:tcW w:w="16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396,296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335,556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1,644,817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1,477,512</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Common</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Diluted</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Common</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Class B</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Shares outstanding</w:t>
            </w: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Common</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147,173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145,687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146,713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146,120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Diluted</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Common</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206,291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207,447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206,575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207,758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Class B</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58,114</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60,614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58,822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60,614</w:t>
            </w:r>
          </w:p>
        </w:tc>
        <w:tc>
          <w:tcPr>
            <w:tcW w:w="0" w:type="dxa"/>
            <w:vAlign w:val="bottom"/>
          </w:tcPr>
          <w:p>
            <w:pPr>
              <w:spacing w:after="0"/>
              <w:rPr>
                <w:sz w:val="1"/>
                <w:szCs w:val="1"/>
                <w:color w:val="auto"/>
              </w:rPr>
            </w:pPr>
          </w:p>
        </w:tc>
      </w:tr>
      <w:tr>
        <w:trPr>
          <w:trHeight w:val="20"/>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Key margins:</w:t>
            </w:r>
          </w:p>
        </w:tc>
        <w:tc>
          <w:tcPr>
            <w:tcW w:w="1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7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margin</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 margin</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0" w:type="dxa"/>
            <w:vAlign w:val="bottom"/>
          </w:tcPr>
          <w:p>
            <w:pPr>
              <w:spacing w:after="0"/>
              <w:rPr>
                <w:sz w:val="1"/>
                <w:szCs w:val="1"/>
                <w:color w:val="auto"/>
              </w:rPr>
            </w:pPr>
          </w:p>
        </w:tc>
      </w:tr>
      <w:tr>
        <w:trPr>
          <w:trHeight w:val="216"/>
        </w:trPr>
        <w:tc>
          <w:tcPr>
            <w:tcW w:w="1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margin</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40" w:top="96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 – Segment Results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December 31, 2022 and December 31, 2021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percentages)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 America Confectionery</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2,174,785</w:t>
            </w:r>
          </w:p>
        </w:tc>
        <w:tc>
          <w:tcPr>
            <w:tcW w:w="1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1,982,385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8,536,480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7,682,416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 America Salty Snacks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85.3 %</w:t>
            </w:r>
          </w:p>
        </w:tc>
        <w:tc>
          <w:tcPr>
            <w:tcW w:w="0" w:type="dxa"/>
            <w:vAlign w:val="bottom"/>
          </w:tcPr>
          <w:p>
            <w:pPr>
              <w:spacing w:after="0"/>
              <w:rPr>
                <w:sz w:val="1"/>
                <w:szCs w:val="1"/>
                <w:color w:val="auto"/>
              </w:rPr>
            </w:pPr>
          </w:p>
        </w:tc>
      </w:tr>
      <w:tr>
        <w:trPr>
          <w:trHeight w:val="219"/>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205,591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185,048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853,409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733,497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2,652,338</w:t>
            </w:r>
          </w:p>
        </w:tc>
        <w:tc>
          <w:tcPr>
            <w:tcW w:w="12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2,326,128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10,419,294</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8,971,337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Segment income (loss):</w:t>
            </w: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 America Confectionery</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703,502</w:t>
            </w:r>
          </w:p>
        </w:tc>
        <w:tc>
          <w:tcPr>
            <w:tcW w:w="1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2,811,066</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2,475,873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 America Salty Snacks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58.7 %</w:t>
            </w:r>
          </w:p>
        </w:tc>
        <w:tc>
          <w:tcPr>
            <w:tcW w:w="0" w:type="dxa"/>
            <w:vAlign w:val="bottom"/>
          </w:tcPr>
          <w:p>
            <w:pPr>
              <w:spacing w:after="0"/>
              <w:rPr>
                <w:sz w:val="1"/>
                <w:szCs w:val="1"/>
                <w:color w:val="auto"/>
              </w:rPr>
            </w:pPr>
          </w:p>
        </w:tc>
      </w:tr>
      <w:tr>
        <w:trPr>
          <w:trHeight w:val="216"/>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International</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107,927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Total segment income</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642,544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3,078,928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2,650,820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Unallocated corporate expense (1)</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596,942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168"/>
        </w:trPr>
        <w:tc>
          <w:tcPr>
            <w:tcW w:w="2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Mark-to-market adjustment for commodity</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4"/>
                <w:szCs w:val="14"/>
                <w:color w:val="auto"/>
              </w:rPr>
            </w:pPr>
          </w:p>
        </w:tc>
        <w:tc>
          <w:tcPr>
            <w:tcW w:w="1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NM</w:t>
            </w: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78,182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(24,376)</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derivatives (2)</w:t>
            </w:r>
          </w:p>
        </w:tc>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Costs associated with business realignment</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16,599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initiatives</w:t>
            </w:r>
          </w:p>
        </w:tc>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9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Acquisition and integration-related</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22,444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48,482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33,142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46.3 %</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activities</w:t>
            </w:r>
          </w:p>
        </w:tc>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 miscellaneous benefits</w:t>
            </w: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526,646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2,260,787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2,043,722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127,937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206,159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73.1 %</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363,122</w:t>
            </w:r>
          </w:p>
        </w:tc>
        <w:tc>
          <w:tcPr>
            <w:tcW w:w="12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342,941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1,917,071</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1,797,224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220" w:firstLine="8"/>
        <w:spacing w:after="0" w:line="219" w:lineRule="auto"/>
        <w:tabs>
          <w:tab w:leader="none" w:pos="2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ind w:left="240" w:hanging="232"/>
        <w:spacing w:after="0" w:line="211" w:lineRule="auto"/>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(gains) losses on mark-to-market valuation of commodity derivative positions recognized in unallocated derivative losses (gains).</w:t>
      </w: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22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1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23"/>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income (loss) as a percent of net sales:</w:t>
            </w:r>
          </w:p>
        </w:tc>
        <w:tc>
          <w:tcPr>
            <w:tcW w:w="16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5"/>
        </w:trPr>
        <w:tc>
          <w:tcPr>
            <w:tcW w:w="4900" w:type="dxa"/>
            <w:vAlign w:val="bottom"/>
            <w:vMerge w:val="continue"/>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Confectionery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 Salty Snacks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4"/>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968"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Hershey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2022 and December 31, 2021</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7"/>
                <w:szCs w:val="17"/>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Pr>
          <w:p>
            <w:pPr>
              <w:spacing w:after="0"/>
              <w:rPr>
                <w:sz w:val="17"/>
                <w:szCs w:val="17"/>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329,266</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671,464</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988,511</w:t>
            </w:r>
          </w:p>
        </w:tc>
        <w:tc>
          <w:tcPr>
            <w:tcW w:w="0" w:type="dxa"/>
            <w:vAlign w:val="bottom"/>
          </w:tcPr>
          <w:p>
            <w:pPr>
              <w:spacing w:after="0"/>
              <w:rPr>
                <w:sz w:val="1"/>
                <w:szCs w:val="1"/>
                <w:color w:val="auto"/>
              </w:rPr>
            </w:pP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256,965</w:t>
            </w:r>
          </w:p>
        </w:tc>
        <w:tc>
          <w:tcPr>
            <w:tcW w:w="0" w:type="dxa"/>
            <w:vAlign w:val="bottom"/>
          </w:tcPr>
          <w:p>
            <w:pPr>
              <w:spacing w:after="0"/>
              <w:rPr>
                <w:sz w:val="1"/>
                <w:szCs w:val="1"/>
                <w:color w:val="auto"/>
              </w:rPr>
            </w:pPr>
          </w:p>
        </w:tc>
      </w:tr>
      <w:tr>
        <w:trPr>
          <w:trHeight w:val="162"/>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2,246,206</w:t>
            </w:r>
          </w:p>
        </w:tc>
        <w:tc>
          <w:tcPr>
            <w:tcW w:w="0" w:type="dxa"/>
            <w:vAlign w:val="bottom"/>
          </w:tcPr>
          <w:p>
            <w:pPr>
              <w:spacing w:after="0"/>
              <w:rPr>
                <w:sz w:val="1"/>
                <w:szCs w:val="1"/>
                <w:color w:val="auto"/>
              </w:rPr>
            </w:pPr>
          </w:p>
        </w:tc>
      </w:tr>
      <w:tr>
        <w:trPr>
          <w:trHeight w:val="382"/>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2,769,702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2,586,187</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2,606,956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2,633,174</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2,037,588</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868,203</w:t>
            </w:r>
          </w:p>
        </w:tc>
        <w:tc>
          <w:tcPr>
            <w:tcW w:w="0" w:type="dxa"/>
            <w:vAlign w:val="bottom"/>
          </w:tcPr>
          <w:p>
            <w:pPr>
              <w:spacing w:after="0"/>
              <w:rPr>
                <w:sz w:val="1"/>
                <w:szCs w:val="1"/>
                <w:color w:val="auto"/>
              </w:rPr>
            </w:pP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40,873</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10,948,820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10,412,231</w:t>
            </w:r>
          </w:p>
        </w:tc>
        <w:tc>
          <w:tcPr>
            <w:tcW w:w="0" w:type="dxa"/>
            <w:vAlign w:val="bottom"/>
          </w:tcPr>
          <w:p>
            <w:pPr>
              <w:spacing w:after="0"/>
              <w:rPr>
                <w:sz w:val="1"/>
                <w:szCs w:val="1"/>
                <w:color w:val="auto"/>
              </w:rPr>
            </w:pPr>
          </w:p>
        </w:tc>
      </w:tr>
      <w:tr>
        <w:trPr>
          <w:trHeight w:val="21"/>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8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2780" w:type="dxa"/>
            <w:vAlign w:val="bottom"/>
            <w:tcBorders>
              <w:bottom w:val="single" w:sz="8" w:color="auto"/>
            </w:tcBorders>
            <w:gridSpan w:val="2"/>
            <w:vMerge w:val="continue"/>
          </w:tcPr>
          <w:p>
            <w:pPr>
              <w:spacing w:after="0"/>
              <w:rPr>
                <w:sz w:val="24"/>
                <w:szCs w:val="24"/>
                <w:color w:val="auto"/>
              </w:rPr>
            </w:pPr>
          </w:p>
        </w:tc>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970,558</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692,338</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855,638</w:t>
            </w:r>
          </w:p>
        </w:tc>
        <w:tc>
          <w:tcPr>
            <w:tcW w:w="0" w:type="dxa"/>
            <w:vAlign w:val="bottom"/>
          </w:tcPr>
          <w:p>
            <w:pPr>
              <w:spacing w:after="0"/>
              <w:rPr>
                <w:sz w:val="1"/>
                <w:szCs w:val="1"/>
                <w:color w:val="auto"/>
              </w:rPr>
            </w:pP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939,423</w:t>
            </w:r>
          </w:p>
        </w:tc>
        <w:tc>
          <w:tcPr>
            <w:tcW w:w="0" w:type="dxa"/>
            <w:vAlign w:val="bottom"/>
          </w:tcPr>
          <w:p>
            <w:pPr>
              <w:spacing w:after="0"/>
              <w:rPr>
                <w:sz w:val="1"/>
                <w:szCs w:val="1"/>
                <w:color w:val="auto"/>
              </w:rPr>
            </w:pP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162"/>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2,493,313</w:t>
            </w:r>
          </w:p>
        </w:tc>
        <w:tc>
          <w:tcPr>
            <w:tcW w:w="0" w:type="dxa"/>
            <w:vAlign w:val="bottom"/>
          </w:tcPr>
          <w:p>
            <w:pPr>
              <w:spacing w:after="0"/>
              <w:rPr>
                <w:sz w:val="1"/>
                <w:szCs w:val="1"/>
                <w:color w:val="auto"/>
              </w:rPr>
            </w:pPr>
          </w:p>
        </w:tc>
      </w:tr>
      <w:tr>
        <w:trPr>
          <w:trHeight w:val="382"/>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4,086,627</w:t>
            </w:r>
          </w:p>
        </w:tc>
        <w:tc>
          <w:tcPr>
            <w:tcW w:w="0" w:type="dxa"/>
            <w:vAlign w:val="bottom"/>
          </w:tcPr>
          <w:p>
            <w:pPr>
              <w:spacing w:after="0"/>
              <w:rPr>
                <w:sz w:val="1"/>
                <w:szCs w:val="1"/>
                <w:color w:val="auto"/>
              </w:rPr>
            </w:pPr>
          </w:p>
        </w:tc>
      </w:tr>
      <w:tr>
        <w:trPr>
          <w:trHeight w:val="229"/>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787,058</w:t>
            </w:r>
          </w:p>
        </w:tc>
        <w:tc>
          <w:tcPr>
            <w:tcW w:w="0" w:type="dxa"/>
            <w:vAlign w:val="bottom"/>
          </w:tcPr>
          <w:p>
            <w:pPr>
              <w:spacing w:after="0"/>
              <w:rPr>
                <w:sz w:val="1"/>
                <w:szCs w:val="1"/>
                <w:color w:val="auto"/>
              </w:rPr>
            </w:pP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288,004</w:t>
            </w:r>
          </w:p>
        </w:tc>
        <w:tc>
          <w:tcPr>
            <w:tcW w:w="0" w:type="dxa"/>
            <w:vAlign w:val="bottom"/>
          </w:tcPr>
          <w:p>
            <w:pPr>
              <w:spacing w:after="0"/>
              <w:rPr>
                <w:sz w:val="1"/>
                <w:szCs w:val="1"/>
                <w:color w:val="auto"/>
              </w:rPr>
            </w:pPr>
          </w:p>
        </w:tc>
      </w:tr>
      <w:tr>
        <w:trPr>
          <w:trHeight w:val="162"/>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7,655,002</w:t>
            </w:r>
          </w:p>
        </w:tc>
        <w:tc>
          <w:tcPr>
            <w:tcW w:w="0" w:type="dxa"/>
            <w:vAlign w:val="bottom"/>
          </w:tcPr>
          <w:p>
            <w:pPr>
              <w:spacing w:after="0"/>
              <w:rPr>
                <w:sz w:val="1"/>
                <w:szCs w:val="1"/>
                <w:color w:val="auto"/>
              </w:rPr>
            </w:pPr>
          </w:p>
        </w:tc>
      </w:tr>
      <w:tr>
        <w:trPr>
          <w:trHeight w:val="157"/>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6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2,757,229</w:t>
            </w:r>
          </w:p>
        </w:tc>
        <w:tc>
          <w:tcPr>
            <w:tcW w:w="0" w:type="dxa"/>
            <w:vAlign w:val="bottom"/>
          </w:tcPr>
          <w:p>
            <w:pPr>
              <w:spacing w:after="0"/>
              <w:rPr>
                <w:sz w:val="1"/>
                <w:szCs w:val="1"/>
                <w:color w:val="auto"/>
              </w:rPr>
            </w:pPr>
          </w:p>
        </w:tc>
      </w:tr>
      <w:tr>
        <w:trPr>
          <w:trHeight w:val="157"/>
        </w:trPr>
        <w:tc>
          <w:tcPr>
            <w:tcW w:w="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10,948,820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10,412,231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sectPr>
      <w:pgSz w:w="11900" w:h="16838" w:orient="portrait"/>
      <w:cols w:equalWidth="0" w:num="1">
        <w:col w:w="11220"/>
      </w:cols>
      <w:pgMar w:left="34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2023-02-02T05:52:00Z</dcterms:created>
  <dcterms:modified xsi:type="dcterms:W3CDTF">2023-02-02T05:52:00Z</dcterms:modified>
</cp:coreProperties>
</file>