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347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635"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06/01/2026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635"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jc w:val="center"/>
              <w:ind w:left="201"/>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10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10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106</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183.8582</w:t>
            </w:r>
            <w:r>
              <w:rPr>
                <w:rFonts w:ascii="Times New Roman" w:cs="Times New Roman" w:eastAsia="Times New Roman" w:hAnsi="Times New Roman"/>
                <w:sz w:val="21"/>
                <w:szCs w:val="21"/>
                <w:color w:val="008000"/>
                <w:w w:val="96"/>
                <w:vertAlign w:val="superscript"/>
              </w:rPr>
              <w:t>(1)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1,536,013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1,317</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184.7486</w:t>
            </w:r>
            <w:r>
              <w:rPr>
                <w:rFonts w:ascii="Times New Roman" w:cs="Times New Roman" w:eastAsia="Times New Roman" w:hAnsi="Times New Roman"/>
                <w:sz w:val="21"/>
                <w:szCs w:val="21"/>
                <w:color w:val="008000"/>
                <w:w w:val="96"/>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1,534,696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5,983</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185.4657</w:t>
            </w:r>
            <w:r>
              <w:rPr>
                <w:rFonts w:ascii="Times New Roman" w:cs="Times New Roman" w:eastAsia="Times New Roman" w:hAnsi="Times New Roman"/>
                <w:sz w:val="21"/>
                <w:szCs w:val="21"/>
                <w:color w:val="008000"/>
                <w:w w:val="96"/>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1,528,713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657</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186.1982</w:t>
            </w:r>
            <w:r>
              <w:rPr>
                <w:rFonts w:ascii="Times New Roman" w:cs="Times New Roman" w:eastAsia="Times New Roman" w:hAnsi="Times New Roman"/>
                <w:sz w:val="21"/>
                <w:szCs w:val="21"/>
                <w:color w:val="008000"/>
                <w:w w:val="96"/>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1,528,056</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386</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187.5756</w:t>
            </w:r>
            <w:r>
              <w:rPr>
                <w:rFonts w:ascii="Times New Roman" w:cs="Times New Roman" w:eastAsia="Times New Roman" w:hAnsi="Times New Roman"/>
                <w:sz w:val="21"/>
                <w:szCs w:val="21"/>
                <w:color w:val="008000"/>
                <w:w w:val="96"/>
                <w:vertAlign w:val="superscript"/>
              </w:rPr>
              <w:t>(5)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1,527,670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837</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188.546</w:t>
            </w:r>
            <w:r>
              <w:rPr>
                <w:rFonts w:ascii="Times New Roman" w:cs="Times New Roman" w:eastAsia="Times New Roman" w:hAnsi="Times New Roman"/>
                <w:sz w:val="21"/>
                <w:szCs w:val="21"/>
                <w:color w:val="008000"/>
                <w:w w:val="95"/>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1,526,833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543</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189.4448</w:t>
            </w:r>
            <w:r>
              <w:rPr>
                <w:rFonts w:ascii="Times New Roman" w:cs="Times New Roman" w:eastAsia="Times New Roman" w:hAnsi="Times New Roman"/>
                <w:sz w:val="21"/>
                <w:szCs w:val="21"/>
                <w:color w:val="008000"/>
                <w:w w:val="96"/>
                <w:vertAlign w:val="superscript"/>
              </w:rPr>
              <w:t>(7)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1,526,290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51</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190.268</w:t>
            </w:r>
            <w:r>
              <w:rPr>
                <w:rFonts w:ascii="Times New Roman" w:cs="Times New Roman" w:eastAsia="Times New Roman" w:hAnsi="Times New Roman"/>
                <w:sz w:val="21"/>
                <w:szCs w:val="21"/>
                <w:color w:val="008000"/>
                <w:w w:val="95"/>
                <w:vertAlign w:val="superscript"/>
              </w:rPr>
              <w:t>(8)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1,526,239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17</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191.54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1,526,222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0000FF"/>
              </w:rPr>
              <w:t>06/01/2026</w:t>
            </w:r>
          </w:p>
        </w:tc>
        <w:tc>
          <w:tcPr>
            <w:tcW w:w="10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103</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192.3</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1,526,119</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241</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182.8055</w:t>
            </w:r>
            <w:r>
              <w:rPr>
                <w:rFonts w:ascii="Times New Roman" w:cs="Times New Roman" w:eastAsia="Times New Roman" w:hAnsi="Times New Roman"/>
                <w:sz w:val="21"/>
                <w:szCs w:val="21"/>
                <w:color w:val="008000"/>
                <w:w w:val="96"/>
                <w:vertAlign w:val="superscript"/>
              </w:rPr>
              <w:t>(9)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1,525,878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1,984</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183.5834</w:t>
            </w:r>
            <w:r>
              <w:rPr>
                <w:rFonts w:ascii="Times New Roman" w:cs="Times New Roman" w:eastAsia="Times New Roman" w:hAnsi="Times New Roman"/>
                <w:sz w:val="21"/>
                <w:szCs w:val="21"/>
                <w:color w:val="008000"/>
                <w:w w:val="95"/>
                <w:vertAlign w:val="superscript"/>
              </w:rPr>
              <w:t>(10)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1,523,894</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7,302</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184.3797</w:t>
            </w:r>
            <w:r>
              <w:rPr>
                <w:rFonts w:ascii="Times New Roman" w:cs="Times New Roman" w:eastAsia="Times New Roman" w:hAnsi="Times New Roman"/>
                <w:sz w:val="21"/>
                <w:szCs w:val="21"/>
                <w:color w:val="008000"/>
                <w:w w:val="95"/>
                <w:vertAlign w:val="superscript"/>
              </w:rPr>
              <w:t>(11)</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1,516,592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152</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185.2118</w:t>
            </w:r>
            <w:r>
              <w:rPr>
                <w:rFonts w:ascii="Times New Roman" w:cs="Times New Roman" w:eastAsia="Times New Roman" w:hAnsi="Times New Roman"/>
                <w:sz w:val="21"/>
                <w:szCs w:val="21"/>
                <w:color w:val="008000"/>
                <w:w w:val="95"/>
                <w:vertAlign w:val="superscript"/>
              </w:rPr>
              <w:t>(12)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1,516,440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06/02/2026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321</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186.5555</w:t>
            </w:r>
            <w:r>
              <w:rPr>
                <w:rFonts w:ascii="Times New Roman" w:cs="Times New Roman" w:eastAsia="Times New Roman" w:hAnsi="Times New Roman"/>
                <w:sz w:val="21"/>
                <w:szCs w:val="21"/>
                <w:color w:val="008000"/>
                <w:w w:val="95"/>
                <w:vertAlign w:val="superscript"/>
              </w:rPr>
              <w:t>(13)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1,516,119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2,521</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182.6327</w:t>
            </w:r>
            <w:r>
              <w:rPr>
                <w:rFonts w:ascii="Times New Roman" w:cs="Times New Roman" w:eastAsia="Times New Roman" w:hAnsi="Times New Roman"/>
                <w:sz w:val="21"/>
                <w:szCs w:val="21"/>
                <w:color w:val="008000"/>
                <w:w w:val="95"/>
                <w:vertAlign w:val="superscript"/>
              </w:rPr>
              <w:t>(14)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1,513,598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0000FF"/>
              </w:rPr>
              <w:t>2,579</w:t>
            </w:r>
          </w:p>
        </w:tc>
        <w:tc>
          <w:tcPr>
            <w:tcW w:w="5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183.2534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1,511,019</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500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184.498</w:t>
            </w:r>
            <w:r>
              <w:rPr>
                <w:rFonts w:ascii="Times New Roman" w:cs="Times New Roman" w:eastAsia="Times New Roman" w:hAnsi="Times New Roman"/>
                <w:sz w:val="21"/>
                <w:szCs w:val="21"/>
                <w:color w:val="008000"/>
                <w:w w:val="94"/>
                <w:vertAlign w:val="superscript"/>
              </w:rPr>
              <w:t>(15)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1,510,519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700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185.5714</w:t>
            </w:r>
            <w:r>
              <w:rPr>
                <w:rFonts w:ascii="Times New Roman" w:cs="Times New Roman" w:eastAsia="Times New Roman" w:hAnsi="Times New Roman"/>
                <w:sz w:val="21"/>
                <w:szCs w:val="21"/>
                <w:color w:val="008000"/>
                <w:w w:val="95"/>
                <w:vertAlign w:val="superscript"/>
              </w:rPr>
              <w:t>(16)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1,509,819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1,700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186.4912</w:t>
            </w:r>
            <w:r>
              <w:rPr>
                <w:rFonts w:ascii="Times New Roman" w:cs="Times New Roman" w:eastAsia="Times New Roman" w:hAnsi="Times New Roman"/>
                <w:sz w:val="21"/>
                <w:szCs w:val="21"/>
                <w:color w:val="008000"/>
                <w:w w:val="95"/>
                <w:vertAlign w:val="superscript"/>
              </w:rPr>
              <w:t>(17)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1,508,119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Borders>
              <w:bottom w:val="single" w:sz="8" w:color="2C2C2C"/>
            </w:tcBorders>
          </w:tcPr>
          <w:p>
            <w:pPr>
              <w:jc w:val="center"/>
              <w:ind w:left="221"/>
              <w:spacing w:after="0"/>
              <w:rPr>
                <w:sz w:val="20"/>
                <w:szCs w:val="20"/>
                <w:color w:val="auto"/>
              </w:rPr>
            </w:pPr>
            <w:r>
              <w:rPr>
                <w:rFonts w:ascii="Times New Roman" w:cs="Times New Roman" w:eastAsia="Times New Roman" w:hAnsi="Times New Roman"/>
                <w:sz w:val="16"/>
                <w:szCs w:val="16"/>
                <w:color w:val="0000FF"/>
              </w:rPr>
              <w:t>06/03/2026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6"/>
                <w:szCs w:val="16"/>
                <w:color w:val="0000FF"/>
              </w:rPr>
              <w:t>2,000</w:t>
            </w:r>
          </w:p>
        </w:tc>
        <w:tc>
          <w:tcPr>
            <w:tcW w:w="52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187.5443</w:t>
            </w:r>
            <w:r>
              <w:rPr>
                <w:rFonts w:ascii="Times New Roman" w:cs="Times New Roman" w:eastAsia="Times New Roman" w:hAnsi="Times New Roman"/>
                <w:sz w:val="21"/>
                <w:szCs w:val="21"/>
                <w:color w:val="008000"/>
                <w:w w:val="95"/>
                <w:vertAlign w:val="superscript"/>
              </w:rPr>
              <w:t>(18)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1,506,119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 Hershey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39,630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rFonts w:ascii="Times New Roman" w:cs="Times New Roman" w:eastAsia="Times New Roman" w:hAnsi="Times New Roman"/>
          <w:sz w:val="20"/>
          <w:szCs w:val="20"/>
          <w:u w:val="single" w:color="auto"/>
          <w:color w:val="0000EE"/>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rFonts w:ascii="Times New Roman" w:cs="Times New Roman" w:eastAsia="Times New Roman" w:hAnsi="Times New Roman"/>
          <w:sz w:val="20"/>
          <w:szCs w:val="20"/>
          <w:u w:val="single" w:color="auto"/>
          <w:color w:val="0000EE"/>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6" w:right="359" w:bottom="635" w:gutter="0" w:footer="0" w:header="0"/>
          <w:type w:val="continuous"/>
        </w:sectPr>
      </w:pPr>
    </w:p>
    <w:bookmarkStart w:id="1" w:name="page2"/>
    <w:bookmarkEnd w:id="1"/>
    <w:p>
      <w:pPr>
        <w:spacing w:after="0" w:line="195" w:lineRule="auto"/>
        <w:framePr w:w="560" w:h="103" w:wrap="auto" w:vAnchor="page" w:hAnchor="page" w:x="4080" w:y="3370"/>
        <w:rPr>
          <w:rFonts w:ascii="Arial" w:cs="Arial" w:eastAsia="Arial" w:hAnsi="Arial"/>
          <w:sz w:val="11"/>
          <w:szCs w:val="11"/>
          <w:b w:val="1"/>
          <w:bCs w:val="1"/>
          <w:color w:val="auto"/>
        </w:rPr>
      </w:pPr>
      <w:r>
        <w:rPr>
          <w:rFonts w:ascii="Arial" w:cs="Arial" w:eastAsia="Arial" w:hAnsi="Arial"/>
          <w:sz w:val="11"/>
          <w:szCs w:val="11"/>
          <w:b w:val="1"/>
          <w:bCs w:val="1"/>
          <w:color w:val="auto"/>
        </w:rPr>
        <w:t>Code  V</w:t>
      </w:r>
    </w:p>
    <w:p>
      <w:pPr>
        <w:spacing w:after="0" w:line="195" w:lineRule="auto"/>
        <w:framePr w:w="1780" w:h="103" w:wrap="auto" w:vAnchor="page" w:hAnchor="page" w:x="4880" w:y="3370"/>
        <w:rPr>
          <w:rFonts w:ascii="Arial" w:cs="Arial" w:eastAsia="Arial" w:hAnsi="Arial"/>
          <w:sz w:val="11"/>
          <w:szCs w:val="11"/>
          <w:b w:val="1"/>
          <w:bCs w:val="1"/>
          <w:color w:val="auto"/>
        </w:rPr>
      </w:pPr>
      <w:r>
        <w:rPr>
          <w:rFonts w:ascii="Arial" w:cs="Arial" w:eastAsia="Arial" w:hAnsi="Arial"/>
          <w:sz w:val="11"/>
          <w:szCs w:val="11"/>
          <w:b w:val="1"/>
          <w:bCs w:val="1"/>
          <w:color w:val="auto"/>
        </w:rPr>
        <w:t>(A)   (D)   Exercisable  Date</w:t>
      </w: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0"/>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80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Transaction</w:t>
            </w:r>
          </w:p>
        </w:tc>
        <w:tc>
          <w:tcPr>
            <w:tcW w:w="40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00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Expiration Date</w:t>
            </w:r>
          </w:p>
        </w:tc>
        <w:tc>
          <w:tcPr>
            <w:tcW w:w="460" w:type="dxa"/>
            <w:vAlign w:val="bottom"/>
          </w:tcPr>
          <w:p>
            <w:pPr>
              <w:spacing w:after="0"/>
              <w:rPr>
                <w:sz w:val="6"/>
                <w:szCs w:val="6"/>
                <w:color w:val="auto"/>
              </w:rPr>
            </w:pPr>
          </w:p>
        </w:tc>
        <w:tc>
          <w:tcPr>
            <w:tcW w:w="148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Securities Underlying</w:t>
            </w:r>
          </w:p>
        </w:tc>
        <w:tc>
          <w:tcPr>
            <w:tcW w:w="68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68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760" w:type="dxa"/>
            <w:vAlign w:val="bottom"/>
            <w:gridSpan w:val="8"/>
          </w:tcPr>
          <w:p>
            <w:pPr>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7"/>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Code (Instr.</w:t>
            </w:r>
          </w:p>
        </w:tc>
        <w:tc>
          <w:tcPr>
            <w:tcW w:w="4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Deriv</w:t>
            </w:r>
          </w:p>
        </w:tc>
        <w:tc>
          <w:tcPr>
            <w:tcW w:w="3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tive</w:t>
            </w: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0"/>
                <w:szCs w:val="10"/>
                <w:color w:val="auto"/>
              </w:rPr>
            </w:pPr>
          </w:p>
        </w:tc>
        <w:tc>
          <w:tcPr>
            <w:tcW w:w="148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w w:val="92"/>
              </w:rPr>
              <w:t>and 5)</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w w:val="73"/>
              </w:rPr>
              <w:t>6Date.Date ExercisableExpirandtion</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w w:val="87"/>
              </w:rPr>
              <w:t>7. Title and NumberAmount off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w w:val="71"/>
              </w:rPr>
              <w:t>TransactionCodeV</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ExpirationercisableDateDate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w w:val="71"/>
              </w:rPr>
              <w:t>SecuritiesTitle</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w w:val="87"/>
              </w:rPr>
              <w:t>UnderlyingShares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4"/>
        </w:trPr>
        <w:tc>
          <w:tcPr>
            <w:tcW w:w="680" w:type="dxa"/>
            <w:vAlign w:val="bottom"/>
          </w:tcPr>
          <w:p>
            <w:pPr>
              <w:ind w:left="60"/>
              <w:spacing w:after="0" w:line="114" w:lineRule="exact"/>
              <w:rPr>
                <w:sz w:val="20"/>
                <w:szCs w:val="20"/>
                <w:color w:val="auto"/>
              </w:rPr>
            </w:pPr>
            <w:r>
              <w:rPr>
                <w:rFonts w:ascii="Times New Roman" w:cs="Times New Roman" w:eastAsia="Times New Roman" w:hAnsi="Times New Roman"/>
                <w:sz w:val="13"/>
                <w:szCs w:val="13"/>
                <w:color w:val="0000FF"/>
                <w:w w:val="77"/>
              </w:rPr>
              <w:t>Class</w:t>
            </w:r>
            <w:r>
              <w:rPr>
                <w:rFonts w:ascii="Arial" w:cs="Arial" w:eastAsia="Arial" w:hAnsi="Arial"/>
                <w:sz w:val="11"/>
                <w:szCs w:val="11"/>
                <w:b w:val="1"/>
                <w:bCs w:val="1"/>
                <w:color w:val="000000"/>
                <w:w w:val="77"/>
              </w:rPr>
              <w:t>(Instr.</w:t>
            </w:r>
            <w:r>
              <w:rPr>
                <w:rFonts w:ascii="Times New Roman" w:cs="Times New Roman" w:eastAsia="Times New Roman" w:hAnsi="Times New Roman"/>
                <w:sz w:val="13"/>
                <w:szCs w:val="13"/>
                <w:color w:val="0000FF"/>
                <w:w w:val="77"/>
              </w:rPr>
              <w:t>B</w:t>
            </w:r>
            <w:r>
              <w:rPr>
                <w:rFonts w:ascii="Arial" w:cs="Arial" w:eastAsia="Arial" w:hAnsi="Arial"/>
                <w:sz w:val="11"/>
                <w:szCs w:val="11"/>
                <w:b w:val="1"/>
                <w:bCs w:val="1"/>
                <w:color w:val="000000"/>
                <w:w w:val="77"/>
              </w:rPr>
              <w:t>3)</w:t>
            </w: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9"/>
                <w:szCs w:val="9"/>
                <w:color w:val="auto"/>
              </w:rPr>
            </w:pPr>
          </w:p>
        </w:tc>
        <w:tc>
          <w:tcPr>
            <w:tcW w:w="1060" w:type="dxa"/>
            <w:vAlign w:val="bottom"/>
            <w:gridSpan w:val="2"/>
          </w:tcPr>
          <w:p>
            <w:pPr>
              <w:ind w:left="60"/>
              <w:spacing w:after="0" w:line="11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8)</w:t>
            </w:r>
          </w:p>
        </w:tc>
        <w:tc>
          <w:tcPr>
            <w:tcW w:w="70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Securities</w:t>
            </w: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gridSpan w:val="2"/>
          </w:tcPr>
          <w:p>
            <w:pPr>
              <w:ind w:left="60"/>
              <w:spacing w:after="0" w:line="11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Acquired</w:t>
            </w: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54,612,012</w:t>
            </w:r>
          </w:p>
        </w:tc>
        <w:tc>
          <w:tcPr>
            <w:tcW w:w="6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r>
              <w:rPr>
                <w:rFonts w:ascii="Times New Roman" w:cs="Times New Roman" w:eastAsia="Times New Roman" w:hAnsi="Times New Roman"/>
                <w:sz w:val="10"/>
                <w:szCs w:val="10"/>
                <w:color w:val="008000"/>
              </w:rPr>
              <w:t>(21)</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(20)</w:t>
            </w:r>
          </w:p>
        </w:tc>
        <w:tc>
          <w:tcPr>
            <w:tcW w:w="46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008000"/>
                <w:w w:val="97"/>
              </w:rPr>
              <w:t>(20)</w:t>
            </w: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gridSpan w:val="2"/>
            <w:vMerge w:val="restart"/>
          </w:tcPr>
          <w:p>
            <w:pPr>
              <w:ind w:left="80"/>
              <w:spacing w:after="0" w:line="115" w:lineRule="exact"/>
              <w:rPr>
                <w:sz w:val="20"/>
                <w:szCs w:val="20"/>
                <w:color w:val="auto"/>
              </w:rPr>
            </w:pPr>
            <w:r>
              <w:rPr>
                <w:rFonts w:ascii="Arial" w:cs="Arial" w:eastAsia="Arial" w:hAnsi="Arial"/>
                <w:sz w:val="11"/>
                <w:szCs w:val="11"/>
                <w:b w:val="1"/>
                <w:bCs w:val="1"/>
                <w:color w:val="auto"/>
              </w:rPr>
              <w:t>Disposed</w:t>
            </w: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vMerge w:val="restart"/>
          </w:tcPr>
          <w:p>
            <w:pPr>
              <w:ind w:left="60"/>
              <w:spacing w:after="0" w:line="115" w:lineRule="exact"/>
              <w:rPr>
                <w:sz w:val="20"/>
                <w:szCs w:val="20"/>
                <w:color w:val="auto"/>
              </w:rPr>
            </w:pPr>
            <w:r>
              <w:rPr>
                <w:rFonts w:ascii="Times New Roman" w:cs="Times New Roman" w:eastAsia="Times New Roman" w:hAnsi="Times New Roman"/>
                <w:sz w:val="13"/>
                <w:szCs w:val="13"/>
                <w:color w:val="0000FF"/>
              </w:rPr>
              <w:t>$1.00 par</w:t>
            </w:r>
          </w:p>
        </w:tc>
        <w:tc>
          <w:tcPr>
            <w:tcW w:w="86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2"/>
                <w:szCs w:val="2"/>
                <w:color w:val="0000FF"/>
              </w:rPr>
              <w:t>54,612,012</w:t>
            </w:r>
          </w:p>
        </w:tc>
        <w:tc>
          <w:tcPr>
            <w:tcW w:w="720" w:type="dxa"/>
            <w:vAlign w:val="bottom"/>
          </w:tcPr>
          <w:p>
            <w:pPr>
              <w:ind w:left="320"/>
              <w:spacing w:after="0"/>
              <w:rPr>
                <w:sz w:val="20"/>
                <w:szCs w:val="20"/>
                <w:color w:val="auto"/>
              </w:rPr>
            </w:pPr>
            <w:r>
              <w:rPr>
                <w:rFonts w:ascii="Times New Roman" w:cs="Times New Roman" w:eastAsia="Times New Roman" w:hAnsi="Times New Roman"/>
                <w:sz w:val="2"/>
                <w:szCs w:val="2"/>
                <w:color w:val="0000FF"/>
              </w:rPr>
              <w:t>D</w:t>
            </w: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$1.00 par</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ind w:left="80"/>
              <w:spacing w:after="0" w:line="90" w:lineRule="exact"/>
              <w:rPr>
                <w:sz w:val="20"/>
                <w:szCs w:val="20"/>
                <w:color w:val="auto"/>
              </w:rPr>
            </w:pPr>
            <w:r>
              <w:rPr>
                <w:rFonts w:ascii="Arial" w:cs="Arial" w:eastAsia="Arial" w:hAnsi="Arial"/>
                <w:sz w:val="10"/>
                <w:szCs w:val="10"/>
                <w:b w:val="1"/>
                <w:bCs w:val="1"/>
                <w:color w:val="auto"/>
              </w:rPr>
              <w:t>Reported</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value</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value</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4</w:t>
            </w:r>
          </w:p>
        </w:tc>
        <w:tc>
          <w:tcPr>
            <w:tcW w:w="10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2454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24549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3580" w:type="dxa"/>
            <w:vAlign w:val="bottom"/>
            <w:tcBorders>
              <w:top w:val="single" w:sz="8" w:color="2C2C2C"/>
            </w:tcBorders>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4440" w:type="dxa"/>
            <w:vAlign w:val="bottom"/>
            <w:tcBorders>
              <w:top w:val="single" w:sz="8" w:color="2C2C2C"/>
              <w:bottom w:val="single" w:sz="8" w:color="2C2C2C"/>
            </w:tcBorders>
          </w:tcPr>
          <w:p>
            <w:pPr>
              <w:ind w:left="880"/>
              <w:spacing w:after="0"/>
              <w:rPr>
                <w:sz w:val="20"/>
                <w:szCs w:val="20"/>
                <w:color w:val="auto"/>
              </w:rPr>
            </w:pPr>
            <w:r>
              <w:rPr>
                <w:rFonts w:ascii="Arial" w:cs="Arial" w:eastAsia="Arial" w:hAnsi="Arial"/>
                <w:sz w:val="11"/>
                <w:szCs w:val="11"/>
                <w:b w:val="1"/>
                <w:bCs w:val="1"/>
                <w:color w:val="auto"/>
              </w:rPr>
              <w:t>and 5)</w:t>
            </w:r>
          </w:p>
        </w:tc>
        <w:tc>
          <w:tcPr>
            <w:tcW w:w="3060" w:type="dxa"/>
            <w:vAlign w:val="bottom"/>
            <w:tcBorders>
              <w:top w:val="single" w:sz="8" w:color="2C2C2C"/>
            </w:tcBorders>
          </w:tcPr>
          <w:p>
            <w:pPr>
              <w:spacing w:after="0"/>
              <w:rPr>
                <w:sz w:val="15"/>
                <w:szCs w:val="15"/>
                <w:color w:val="auto"/>
              </w:rPr>
            </w:pPr>
          </w:p>
        </w:tc>
      </w:tr>
    </w:tbl>
    <w:p>
      <w:pPr>
        <w:spacing w:after="0" w:line="25" w:lineRule="exact"/>
        <w:rPr>
          <w:rFonts w:ascii="Arial" w:cs="Arial" w:eastAsia="Arial" w:hAnsi="Arial"/>
          <w:sz w:val="11"/>
          <w:szCs w:val="11"/>
          <w:b w:val="1"/>
          <w:bCs w:val="1"/>
          <w:color w:val="auto"/>
        </w:rPr>
      </w:pPr>
    </w:p>
    <w:p>
      <w:pPr>
        <w:ind w:left="40" w:right="160" w:hanging="1"/>
        <w:spacing w:after="0" w:line="262" w:lineRule="auto"/>
        <w:tabs>
          <w:tab w:leader="none" w:pos="167"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Price reported in Column 4 is a weighted average price. The shares were sold in multiple transactions at price a ranging from $183.7114</w:t>
      </w:r>
      <w:r>
        <w:rPr>
          <w:rFonts w:ascii="Arial" w:cs="Arial" w:eastAsia="Arial" w:hAnsi="Arial"/>
          <w:sz w:val="9"/>
          <w:szCs w:val="9"/>
          <w:b w:val="1"/>
          <w:bCs w:val="1"/>
          <w:color w:val="000000"/>
        </w:rPr>
        <w:t>Amount</w:t>
      </w:r>
      <w:r>
        <w:rPr>
          <w:rFonts w:ascii="Times New Roman" w:cs="Times New Roman" w:eastAsia="Times New Roman" w:hAnsi="Times New Roman"/>
          <w:sz w:val="11"/>
          <w:szCs w:val="11"/>
          <w:color w:val="008000"/>
        </w:rPr>
        <w:t>fo$183</w:t>
      </w:r>
      <w:r>
        <w:rPr>
          <w:rFonts w:ascii="Arial" w:cs="Arial" w:eastAsia="Arial" w:hAnsi="Arial"/>
          <w:sz w:val="9"/>
          <w:szCs w:val="9"/>
          <w:b w:val="1"/>
          <w:bCs w:val="1"/>
          <w:color w:val="000000"/>
        </w:rPr>
        <w:t>or</w:t>
      </w:r>
      <w:r>
        <w:rPr>
          <w:rFonts w:ascii="Times New Roman" w:cs="Times New Roman" w:eastAsia="Times New Roman" w:hAnsi="Times New Roman"/>
          <w:sz w:val="11"/>
          <w:szCs w:val="11"/>
          <w:color w:val="008000"/>
        </w:rPr>
        <w:t>.9990, inclusive. The reporting person undertakes to provide to the staff of the Securities and Exchange Commission, to any security holder of The Hershey Company,</w:t>
      </w:r>
      <w:r>
        <w:rPr>
          <w:rFonts w:ascii="Arial" w:cs="Arial" w:eastAsia="Arial" w:hAnsi="Arial"/>
          <w:sz w:val="9"/>
          <w:szCs w:val="9"/>
          <w:b w:val="1"/>
          <w:bCs w:val="1"/>
          <w:color w:val="000000"/>
        </w:rPr>
        <w:t>Date</w:t>
      </w:r>
      <w:r>
        <w:rPr>
          <w:rFonts w:ascii="Times New Roman" w:cs="Times New Roman" w:eastAsia="Times New Roman" w:hAnsi="Times New Roman"/>
          <w:sz w:val="11"/>
          <w:szCs w:val="11"/>
          <w:color w:val="008000"/>
        </w:rPr>
        <w:t>or to The Hershey</w:t>
      </w:r>
      <w:r>
        <w:rPr>
          <w:rFonts w:ascii="Arial" w:cs="Arial" w:eastAsia="Arial" w:hAnsi="Arial"/>
          <w:sz w:val="9"/>
          <w:szCs w:val="9"/>
          <w:b w:val="1"/>
          <w:bCs w:val="1"/>
          <w:color w:val="000000"/>
        </w:rPr>
        <w:t>Expirati</w:t>
      </w:r>
      <w:r>
        <w:rPr>
          <w:rFonts w:ascii="Times New Roman" w:cs="Times New Roman" w:eastAsia="Times New Roman" w:hAnsi="Times New Roman"/>
          <w:sz w:val="11"/>
          <w:szCs w:val="11"/>
          <w:color w:val="008000"/>
        </w:rPr>
        <w:t>Company</w:t>
      </w:r>
      <w:r>
        <w:rPr>
          <w:rFonts w:ascii="Arial" w:cs="Arial" w:eastAsia="Arial" w:hAnsi="Arial"/>
          <w:sz w:val="9"/>
          <w:szCs w:val="9"/>
          <w:b w:val="1"/>
          <w:bCs w:val="1"/>
          <w:color w:val="000000"/>
        </w:rPr>
        <w:t>n</w:t>
      </w:r>
      <w:r>
        <w:rPr>
          <w:rFonts w:ascii="Times New Roman" w:cs="Times New Roman" w:eastAsia="Times New Roman" w:hAnsi="Times New Roman"/>
          <w:sz w:val="11"/>
          <w:szCs w:val="11"/>
          <w:color w:val="008000"/>
        </w:rPr>
        <w:t>, upon request,</w:t>
      </w:r>
      <w:r>
        <w:rPr>
          <w:rFonts w:ascii="Arial" w:cs="Arial" w:eastAsia="Arial" w:hAnsi="Arial"/>
          <w:sz w:val="9"/>
          <w:szCs w:val="9"/>
          <w:b w:val="1"/>
          <w:bCs w:val="1"/>
          <w:color w:val="000000"/>
        </w:rPr>
        <w:t>Number</w:t>
      </w:r>
      <w:r>
        <w:rPr>
          <w:rFonts w:ascii="Times New Roman" w:cs="Times New Roman" w:eastAsia="Times New Roman" w:hAnsi="Times New Roman"/>
          <w:sz w:val="11"/>
          <w:szCs w:val="11"/>
          <w:color w:val="008000"/>
        </w:rPr>
        <w:t>full</w:t>
      </w:r>
      <w:r>
        <w:rPr>
          <w:rFonts w:ascii="Arial" w:cs="Arial" w:eastAsia="Arial" w:hAnsi="Arial"/>
          <w:sz w:val="9"/>
          <w:szCs w:val="9"/>
          <w:b w:val="1"/>
          <w:bCs w:val="1"/>
          <w:color w:val="000000"/>
        </w:rPr>
        <w:t>of</w:t>
      </w:r>
      <w:r>
        <w:rPr>
          <w:rFonts w:ascii="Times New Roman" w:cs="Times New Roman" w:eastAsia="Times New Roman" w:hAnsi="Times New Roman"/>
          <w:sz w:val="11"/>
          <w:szCs w:val="11"/>
          <w:color w:val="008000"/>
        </w:rPr>
        <w:t>information regarding the number of shares sold at each</w:t>
      </w:r>
    </w:p>
    <w:p>
      <w:pPr>
        <w:spacing w:after="0" w:line="124" w:lineRule="exact"/>
        <w:rPr>
          <w:rFonts w:ascii="Arial" w:cs="Arial" w:eastAsia="Arial" w:hAnsi="Arial"/>
          <w:sz w:val="11"/>
          <w:szCs w:val="11"/>
          <w:b w:val="1"/>
          <w:bCs w:val="1"/>
          <w:color w:val="auto"/>
        </w:rPr>
      </w:pPr>
    </w:p>
    <w:p>
      <w:pPr>
        <w:ind w:left="40"/>
        <w:spacing w:after="0" w:line="191" w:lineRule="auto"/>
        <w:tabs>
          <w:tab w:leader="none" w:pos="6580" w:val="left"/>
          <w:tab w:leader="none" w:pos="7200" w:val="left"/>
        </w:tabs>
        <w:rPr>
          <w:sz w:val="20"/>
          <w:szCs w:val="20"/>
          <w:color w:val="auto"/>
        </w:rPr>
      </w:pPr>
      <w:r>
        <w:rPr>
          <w:rFonts w:ascii="Times New Roman" w:cs="Times New Roman" w:eastAsia="Times New Roman" w:hAnsi="Times New Roman"/>
          <w:sz w:val="5"/>
          <w:szCs w:val="5"/>
          <w:color w:val="008000"/>
        </w:rPr>
        <w:t>separate price within the range set forth above.</w:t>
      </w:r>
      <w:r>
        <w:rPr>
          <w:sz w:val="20"/>
          <w:szCs w:val="20"/>
          <w:color w:val="auto"/>
        </w:rPr>
        <w:tab/>
      </w:r>
      <w:r>
        <w:rPr>
          <w:rFonts w:ascii="Arial" w:cs="Arial" w:eastAsia="Arial" w:hAnsi="Arial"/>
          <w:sz w:val="9"/>
          <w:szCs w:val="9"/>
          <w:b w:val="1"/>
          <w:bCs w:val="1"/>
          <w:color w:val="auto"/>
          <w:vertAlign w:val="superscript"/>
        </w:rPr>
        <w:t>Title</w:t>
      </w:r>
      <w:r>
        <w:rPr>
          <w:sz w:val="20"/>
          <w:szCs w:val="20"/>
          <w:color w:val="auto"/>
        </w:rPr>
        <w:tab/>
      </w:r>
      <w:r>
        <w:rPr>
          <w:rFonts w:ascii="Arial" w:cs="Arial" w:eastAsia="Arial" w:hAnsi="Arial"/>
          <w:sz w:val="9"/>
          <w:szCs w:val="9"/>
          <w:b w:val="1"/>
          <w:bCs w:val="1"/>
          <w:color w:val="auto"/>
          <w:vertAlign w:val="superscript"/>
        </w:rPr>
        <w:t>Shares</w:t>
      </w:r>
    </w:p>
    <w:p>
      <w:pPr>
        <w:ind w:left="40" w:right="300" w:hanging="1"/>
        <w:spacing w:after="0" w:line="23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$184.0077 $184.9989,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5"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$185.0025 to $185.9900,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$186.0100 to $186.8377,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$187.1412 to $187.8224,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$188.0412 to $188.9558,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$189.1663 to $189.9900,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$190.0563 to $190.5877,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$182.3999 to $182.9964,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$183.0351 to $183.9849,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2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$184.0004 to $184.9800,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$185.0007 to $185.4379,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$186.4400 to $186.8600,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$182.3230 to $182.9100,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$184.1900 to $184.8500,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$185.0300 to $185.9500,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$186.0800 to $186.9800,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$187.0100 to $187.9200,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220" w:hanging="181"/>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40" w:right="660" w:hanging="1"/>
        <w:spacing w:after="0" w:line="248" w:lineRule="auto"/>
        <w:tabs>
          <w:tab w:leader="none" w:pos="2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220" w:hanging="181"/>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rFonts w:ascii="Arial" w:cs="Arial" w:eastAsia="Arial" w:hAnsi="Arial"/>
          <w:sz w:val="11"/>
          <w:szCs w:val="11"/>
          <w:b w:val="1"/>
          <w:bCs w:val="1"/>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06/03/2026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rFonts w:ascii="Arial" w:cs="Arial" w:eastAsia="Arial" w:hAnsi="Arial"/>
          <w:sz w:val="11"/>
          <w:szCs w:val="11"/>
          <w:b w:val="1"/>
          <w:bCs w:val="1"/>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rFonts w:ascii="Arial" w:cs="Arial" w:eastAsia="Arial" w:hAnsi="Arial"/>
          <w:sz w:val="11"/>
          <w:szCs w:val="11"/>
          <w:b w:val="1"/>
          <w:bCs w:val="1"/>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rFonts w:ascii="Arial" w:cs="Arial" w:eastAsia="Arial" w:hAnsi="Arial"/>
          <w:sz w:val="11"/>
          <w:szCs w:val="11"/>
          <w:b w:val="1"/>
          <w:bCs w:val="1"/>
          <w:color w:val="auto"/>
        </w:rPr>
      </w:pPr>
    </w:p>
    <w:p>
      <w:pPr>
        <w:jc w:val="both"/>
        <w:ind w:left="40" w:right="372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2026-06-03T16:38:02Z</dcterms:created>
  <dcterms:modified xsi:type="dcterms:W3CDTF">2026-06-03T16:38:02Z</dcterms:modified>
</cp:coreProperties>
</file>