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Robbin-Coker Cordel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E. CHOCOLATE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282.486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1,933.807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total amount of securities reported as directly owned in Column 5 includes 8.144 shares acquired on September 15, 2026, pursuant to a dividend reinvestment feature of the Company's Directors' Compensation Plan, the provisions of which are substantially similar to the dividend reinvestment features of the broad-based dividend reinvestment plan available generally to Company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Cordel Robbin-Coker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3517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3403</Characters>
  <CharactersWithSpaces>3955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