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5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3999865</wp:posOffset>
            </wp:positionH>
            <wp:positionV relativeFrom="paragraph">
              <wp:posOffset>-29210</wp:posOffset>
            </wp:positionV>
            <wp:extent cx="137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X  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8" w:lineRule="exact"/>
        <w:rPr>
          <w:sz w:val="24"/>
          <w:szCs w:val="24"/>
          <w:color w:val="auto"/>
        </w:rPr>
      </w:pPr>
    </w:p>
    <w:p>
      <w:pPr>
        <w:ind w:left="680" w:hanging="65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680" w:hanging="65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74930</wp:posOffset>
            </wp:positionV>
            <wp:extent cx="131127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The Hershey Company</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74"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680" w:hanging="65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680" w:hanging="65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79" w:lineRule="exact"/>
        <w:rPr>
          <w:rFonts w:ascii="MS PGothic" w:cs="MS PGothic" w:eastAsia="MS PGothic" w:hAnsi="MS PGothic"/>
          <w:sz w:val="18"/>
          <w:szCs w:val="18"/>
          <w:color w:val="auto"/>
        </w:rPr>
      </w:pP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80" w:right="100" w:hanging="329"/>
        <w:spacing w:after="0" w:line="250" w:lineRule="auto"/>
        <w:tabs>
          <w:tab w:leader="none" w:pos="57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29" w:lineRule="exact"/>
        <w:rPr>
          <w:rFonts w:ascii="Arial" w:cs="Arial" w:eastAsia="Arial" w:hAnsi="Arial"/>
          <w:sz w:val="18"/>
          <w:szCs w:val="18"/>
          <w:color w:val="auto"/>
        </w:rPr>
      </w:pPr>
    </w:p>
    <w:p>
      <w:pPr>
        <w:ind w:left="680" w:hanging="65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680" w:hanging="654"/>
        <w:spacing w:after="0" w:line="25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95" w:lineRule="exact"/>
        <w:rPr>
          <w:rFonts w:ascii="MS PGothic" w:cs="MS PGothic" w:eastAsia="MS PGothic" w:hAnsi="MS PGothic"/>
          <w:sz w:val="17"/>
          <w:szCs w:val="17"/>
          <w:color w:val="auto"/>
        </w:rPr>
      </w:pP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80"/>
          </w:cols>
          <w:pgMar w:left="320" w:top="994"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603250</wp:posOffset>
            </wp:positionV>
            <wp:extent cx="254571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45715" cy="7200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FFFFFF"/>
        </w:rPr>
        <w:t>Notice of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-326390</wp:posOffset>
            </wp:positionV>
            <wp:extent cx="7123430" cy="368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368935"/>
                    </a:xfrm>
                    <a:prstGeom prst="rect">
                      <a:avLst/>
                    </a:prstGeom>
                    <a:noFill/>
                  </pic:spPr>
                </pic:pic>
              </a:graphicData>
            </a:graphic>
          </wp:anchor>
        </w:drawing>
      </w:r>
    </w:p>
    <w:p>
      <w:pPr>
        <w:spacing w:after="0" w:line="360"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3F000B"/>
        </w:rPr>
        <w:t>Monday, May 17, 2021</w:t>
      </w:r>
    </w:p>
    <w:p>
      <w:pPr>
        <w:spacing w:after="0" w:line="38" w:lineRule="exact"/>
        <w:rPr>
          <w:sz w:val="20"/>
          <w:szCs w:val="20"/>
          <w:color w:val="auto"/>
        </w:rPr>
      </w:pPr>
    </w:p>
    <w:p>
      <w:pPr>
        <w:ind w:left="3780"/>
        <w:spacing w:after="0"/>
        <w:rPr>
          <w:sz w:val="20"/>
          <w:szCs w:val="20"/>
          <w:color w:val="auto"/>
        </w:rPr>
      </w:pPr>
      <w:r>
        <w:rPr>
          <w:rFonts w:ascii="Arial" w:cs="Arial" w:eastAsia="Arial" w:hAnsi="Arial"/>
          <w:sz w:val="25"/>
          <w:szCs w:val="25"/>
          <w:b w:val="1"/>
          <w:bCs w:val="1"/>
          <w:color w:val="3F000B"/>
        </w:rPr>
        <w:t>10:00 a.m., Eastern Daylight Time</w:t>
      </w:r>
    </w:p>
    <w:p>
      <w:pPr>
        <w:spacing w:after="0" w:line="20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The 2021 Annual Meeting of Stockholders (the “Annual Meeting”) of The Hershey Company (the “Company”) will be held on Monday, May 17, 2021, beginning at 10:00 a.m., Eastern Daylight Time. Due to the ongoing public health impact of the coronavirus pandemic, this year’s Annual Meeting will again be a virtual meeting conducted solely via live webcast. You will be able to attend the Annual Meeting, vote your shares electronically and submit questions during the meeting by visiting </w:t>
      </w:r>
      <w:r>
        <w:rPr>
          <w:rFonts w:ascii="Arial" w:cs="Arial" w:eastAsia="Arial" w:hAnsi="Arial"/>
          <w:sz w:val="18"/>
          <w:szCs w:val="18"/>
          <w:i w:val="1"/>
          <w:iCs w:val="1"/>
          <w:color w:val="auto"/>
        </w:rPr>
        <w:t>www.virtualshareholdermeeting.com/HSY2021</w:t>
      </w:r>
      <w:r>
        <w:rPr>
          <w:rFonts w:ascii="Arial" w:cs="Arial" w:eastAsia="Arial" w:hAnsi="Arial"/>
          <w:sz w:val="19"/>
          <w:szCs w:val="19"/>
          <w:color w:val="auto"/>
        </w:rPr>
        <w:t>.</w:t>
      </w:r>
      <w:r>
        <w:rPr>
          <w:rFonts w:ascii="Arial" w:cs="Arial" w:eastAsia="Arial" w:hAnsi="Arial"/>
          <w:sz w:val="18"/>
          <w:szCs w:val="18"/>
          <w:color w:val="auto"/>
        </w:rPr>
        <w:t xml:space="preserve"> You may also listen to the meeting by calling 1-877-328-2502. You will not be able to attend the Annual Meeting in person. Additional information regarding attending the Annual Meeting, voting your shares and submitting questions can be found in the Proxy Statement.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purposes of the meeting are as follows:</w:t>
      </w:r>
    </w:p>
    <w:p>
      <w:pPr>
        <w:spacing w:after="0" w:line="158" w:lineRule="exact"/>
        <w:rPr>
          <w:sz w:val="20"/>
          <w:szCs w:val="20"/>
          <w:color w:val="auto"/>
        </w:rPr>
      </w:pPr>
    </w:p>
    <w:p>
      <w:pPr>
        <w:ind w:left="680" w:hanging="393"/>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the 12 nominees named in the Proxy Statement to serve as directors of the Company until the 2022 Annual Meeting of Stockholders;</w:t>
      </w:r>
    </w:p>
    <w:p>
      <w:pPr>
        <w:spacing w:after="0" w:line="86" w:lineRule="exact"/>
        <w:rPr>
          <w:sz w:val="20"/>
          <w:szCs w:val="20"/>
          <w:color w:val="auto"/>
        </w:rPr>
      </w:pPr>
    </w:p>
    <w:p>
      <w:pPr>
        <w:ind w:left="680" w:hanging="416"/>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the Company’s independent auditors for the fiscal year ending December 31, 2021;</w:t>
      </w:r>
    </w:p>
    <w:p>
      <w:pPr>
        <w:spacing w:after="0" w:line="74" w:lineRule="exact"/>
        <w:rPr>
          <w:rFonts w:ascii="Arial" w:cs="Arial" w:eastAsia="Arial" w:hAnsi="Arial"/>
          <w:sz w:val="17"/>
          <w:szCs w:val="17"/>
          <w:color w:val="auto"/>
        </w:rPr>
      </w:pPr>
    </w:p>
    <w:p>
      <w:pPr>
        <w:ind w:left="680" w:hanging="41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regarding the compensation of the Company’s named executive officers; and</w:t>
      </w:r>
    </w:p>
    <w:p>
      <w:pPr>
        <w:spacing w:after="0" w:line="63" w:lineRule="exact"/>
        <w:rPr>
          <w:rFonts w:ascii="Arial" w:cs="Arial" w:eastAsia="Arial" w:hAnsi="Arial"/>
          <w:sz w:val="18"/>
          <w:szCs w:val="18"/>
          <w:color w:val="auto"/>
        </w:rPr>
      </w:pPr>
    </w:p>
    <w:p>
      <w:pPr>
        <w:ind w:left="680" w:hanging="41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discuss and take action on any other business that is properly brought before the Annual Meeting.</w:t>
      </w:r>
    </w:p>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Proxy Statement accompanying this Notice of 2021 Annual Meeting of Stockholders describes each of these items in detail. The Proxy Statement contains other important information that you should read and consider before you vote.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Board of Directors of the Company has established the close of business on March 18, 2021 as the record date for determining the stockholders who are entitled to notice of, and to vote at, the Annual Meeting and any adjournment or postponement thereof.</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furnishing proxy materials to its stockholders through the internet as permitted under the rules of the Securities and Exchange Commission. Under these rules, many of the Company’s stockholders will receive a Notice of Internet Availability of Proxy Materials instead of a paper copy of the Notice of 2021 Annual Meeting of Stockholders and Proxy Statement, our proxy card, and our Annual Report on Form 10-K. We believe this process gives us the opportunity to serve you more efficiently by making the proxy materials available quickly online and reducing costs associated with printing and postage. Stockholders who do not receive a Notice of Internet Availability of Proxy Materials will receive a paper copy of the proxy materials by mail.</w:t>
      </w:r>
    </w:p>
    <w:p>
      <w:pPr>
        <w:spacing w:after="0" w:line="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83185</wp:posOffset>
            </wp:positionV>
            <wp:extent cx="120840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8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Turoff</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 Assistant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7, 2021</w:t>
      </w:r>
    </w:p>
    <w:p>
      <w:pPr>
        <w:spacing w:after="0" w:line="207"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b w:val="1"/>
          <w:bCs w:val="1"/>
          <w:color w:val="auto"/>
        </w:rPr>
        <w:t>Your vote is important. Instructions on how to vote are contained in our Proxy Statement and in the Notice of Internet Availability of Proxy Materials. Please cast your vote by telephone or over the internet as described in those materials. Alternatively, if you requested a copy of the proxy/voting instruction card by mail, you may mark, sign, date and return the proxy/voting instruction card in the envelope provided.</w:t>
      </w:r>
    </w:p>
    <w:p>
      <w:pPr>
        <w:sectPr>
          <w:pgSz w:w="11900" w:h="16838" w:orient="portrait"/>
          <w:cols w:equalWidth="0" w:num="1">
            <w:col w:w="11140"/>
          </w:cols>
          <w:pgMar w:left="320" w:top="144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28"/>
        </w:trPr>
        <w:tc>
          <w:tcPr>
            <w:tcW w:w="10500" w:type="dxa"/>
            <w:vAlign w:val="bottom"/>
          </w:tcPr>
          <w:p>
            <w:pPr>
              <w:ind w:left="4000"/>
              <w:spacing w:after="0"/>
              <w:rPr>
                <w:sz w:val="20"/>
                <w:szCs w:val="20"/>
                <w:color w:val="auto"/>
              </w:rPr>
            </w:pPr>
            <w:r>
              <w:rPr>
                <w:rFonts w:ascii="Arial" w:cs="Arial" w:eastAsia="Arial" w:hAnsi="Arial"/>
                <w:sz w:val="25"/>
                <w:szCs w:val="25"/>
                <w:b w:val="1"/>
                <w:bCs w:val="1"/>
                <w:color w:val="3F000B"/>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9"/>
        </w:trPr>
        <w:tc>
          <w:tcPr>
            <w:tcW w:w="10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7"/>
        </w:trPr>
        <w:tc>
          <w:tcPr>
            <w:tcW w:w="10500" w:type="dxa"/>
            <w:vAlign w:val="bottom"/>
            <w:tcBorders>
              <w:bottom w:val="single" w:sz="8" w:color="3F000B"/>
            </w:tcBorders>
            <w:shd w:val="clear" w:color="auto" w:fill="3F000B"/>
          </w:tcPr>
          <w:p>
            <w:pPr>
              <w:ind w:left="20"/>
              <w:spacing w:after="0"/>
              <w:rPr>
                <w:sz w:val="20"/>
                <w:szCs w:val="20"/>
                <w:color w:val="auto"/>
              </w:rPr>
            </w:pPr>
            <w:r>
              <w:rPr>
                <w:rFonts w:ascii="Arial" w:cs="Arial" w:eastAsia="Arial" w:hAnsi="Arial"/>
                <w:sz w:val="18"/>
                <w:szCs w:val="18"/>
                <w:b w:val="1"/>
                <w:bCs w:val="1"/>
                <w:color w:val="FFFFFF"/>
              </w:rPr>
              <w:t>NOTICE OF 2021 ANNUAL MEETING OF STOCKHOLDERS</w:t>
            </w:r>
          </w:p>
        </w:tc>
        <w:tc>
          <w:tcPr>
            <w:tcW w:w="80" w:type="dxa"/>
            <w:vAlign w:val="bottom"/>
            <w:tcBorders>
              <w:bottom w:val="single" w:sz="8" w:color="3F000B"/>
            </w:tcBorders>
            <w:shd w:val="clear" w:color="auto" w:fill="3F000B"/>
          </w:tcPr>
          <w:p>
            <w:pPr>
              <w:spacing w:after="0"/>
              <w:rPr>
                <w:sz w:val="24"/>
                <w:szCs w:val="24"/>
                <w:color w:val="auto"/>
              </w:rPr>
            </w:pPr>
          </w:p>
        </w:tc>
        <w:tc>
          <w:tcPr>
            <w:tcW w:w="100" w:type="dxa"/>
            <w:vAlign w:val="bottom"/>
            <w:tcBorders>
              <w:bottom w:val="single" w:sz="8" w:color="3F000B"/>
            </w:tcBorders>
            <w:shd w:val="clear" w:color="auto" w:fill="3F000B"/>
          </w:tcPr>
          <w:p>
            <w:pPr>
              <w:spacing w:after="0"/>
              <w:rPr>
                <w:sz w:val="24"/>
                <w:szCs w:val="24"/>
                <w:color w:val="auto"/>
              </w:rPr>
            </w:pPr>
          </w:p>
        </w:tc>
        <w:tc>
          <w:tcPr>
            <w:tcW w:w="40" w:type="dxa"/>
            <w:vAlign w:val="bottom"/>
            <w:tcBorders>
              <w:bottom w:val="single" w:sz="8" w:color="3F000B"/>
            </w:tcBorders>
            <w:shd w:val="clear" w:color="auto" w:fill="3F000B"/>
          </w:tcPr>
          <w:p>
            <w:pPr>
              <w:spacing w:after="0"/>
              <w:rPr>
                <w:sz w:val="24"/>
                <w:szCs w:val="24"/>
                <w:color w:val="auto"/>
              </w:rPr>
            </w:pPr>
          </w:p>
        </w:tc>
      </w:tr>
      <w:tr>
        <w:trPr>
          <w:trHeight w:val="202"/>
        </w:trPr>
        <w:tc>
          <w:tcPr>
            <w:tcW w:w="10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0500" w:type="dxa"/>
            <w:vAlign w:val="bottom"/>
            <w:tcBorders>
              <w:bottom w:val="single" w:sz="8" w:color="3F000B"/>
            </w:tcBorders>
            <w:shd w:val="clear" w:color="auto" w:fill="3F000B"/>
          </w:tcPr>
          <w:p>
            <w:pPr>
              <w:ind w:left="20"/>
              <w:spacing w:after="0"/>
              <w:rPr>
                <w:sz w:val="20"/>
                <w:szCs w:val="20"/>
                <w:color w:val="auto"/>
              </w:rPr>
            </w:pPr>
            <w:r>
              <w:rPr>
                <w:rFonts w:ascii="Arial" w:cs="Arial" w:eastAsia="Arial" w:hAnsi="Arial"/>
                <w:sz w:val="18"/>
                <w:szCs w:val="18"/>
                <w:b w:val="1"/>
                <w:bCs w:val="1"/>
                <w:color w:val="FFFFFF"/>
              </w:rPr>
              <w:t>PROXY STATEMENT SUMMARY</w:t>
            </w:r>
          </w:p>
        </w:tc>
        <w:tc>
          <w:tcPr>
            <w:tcW w:w="80" w:type="dxa"/>
            <w:vAlign w:val="bottom"/>
            <w:tcBorders>
              <w:bottom w:val="single" w:sz="8" w:color="3F000B"/>
            </w:tcBorders>
            <w:shd w:val="clear" w:color="auto" w:fill="3F000B"/>
          </w:tcPr>
          <w:p>
            <w:pPr>
              <w:spacing w:after="0"/>
              <w:rPr>
                <w:sz w:val="24"/>
                <w:szCs w:val="24"/>
                <w:color w:val="auto"/>
              </w:rPr>
            </w:pPr>
          </w:p>
        </w:tc>
        <w:tc>
          <w:tcPr>
            <w:tcW w:w="100" w:type="dxa"/>
            <w:vAlign w:val="bottom"/>
            <w:tcBorders>
              <w:bottom w:val="single" w:sz="8" w:color="3F000B"/>
            </w:tcBorders>
            <w:shd w:val="clear" w:color="auto" w:fill="3F000B"/>
          </w:tcPr>
          <w:p>
            <w:pPr>
              <w:spacing w:after="0"/>
              <w:rPr>
                <w:sz w:val="24"/>
                <w:szCs w:val="24"/>
                <w:color w:val="auto"/>
              </w:rPr>
            </w:pPr>
          </w:p>
        </w:tc>
        <w:tc>
          <w:tcPr>
            <w:tcW w:w="40" w:type="dxa"/>
            <w:vAlign w:val="bottom"/>
            <w:tcBorders>
              <w:bottom w:val="single" w:sz="8" w:color="3F000B"/>
            </w:tcBorders>
            <w:shd w:val="clear" w:color="auto" w:fill="3F000B"/>
          </w:tcPr>
          <w:p>
            <w:pPr>
              <w:spacing w:after="0"/>
              <w:rPr>
                <w:sz w:val="24"/>
                <w:szCs w:val="24"/>
                <w:color w:val="auto"/>
              </w:rPr>
            </w:pPr>
          </w:p>
        </w:tc>
      </w:tr>
      <w:tr>
        <w:trPr>
          <w:trHeight w:val="203"/>
        </w:trPr>
        <w:tc>
          <w:tcPr>
            <w:tcW w:w="10500" w:type="dxa"/>
            <w:vAlign w:val="bottom"/>
          </w:tcPr>
          <w:p>
            <w:pPr>
              <w:spacing w:after="0" w:line="202" w:lineRule="exact"/>
              <w:rPr>
                <w:sz w:val="20"/>
                <w:szCs w:val="20"/>
                <w:color w:val="auto"/>
              </w:rPr>
            </w:pPr>
            <w:r>
              <w:rPr>
                <w:rFonts w:ascii="Arial" w:cs="Arial" w:eastAsia="Arial" w:hAnsi="Arial"/>
                <w:sz w:val="18"/>
                <w:szCs w:val="18"/>
                <w:color w:val="auto"/>
              </w:rPr>
              <w:t>2021 Annual Meeting of Stockholders</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40" w:type="dxa"/>
            <w:vAlign w:val="bottom"/>
          </w:tcPr>
          <w:p>
            <w:pPr>
              <w:spacing w:after="0"/>
              <w:rPr>
                <w:sz w:val="17"/>
                <w:szCs w:val="17"/>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Voting Matters and Board Recommendations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Our Director Nominees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Governance Highlights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Company Strategy and 2020 Business Highlights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Executive Compensation Highlights</w:t>
            </w:r>
          </w:p>
        </w:tc>
        <w:tc>
          <w:tcPr>
            <w:tcW w:w="180" w:type="dxa"/>
            <w:vAlign w:val="bottom"/>
            <w:gridSpan w:val="2"/>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40" w:type="dxa"/>
            <w:vAlign w:val="bottom"/>
          </w:tcPr>
          <w:p>
            <w:pPr>
              <w:spacing w:after="0"/>
              <w:rPr>
                <w:sz w:val="21"/>
                <w:szCs w:val="21"/>
                <w:color w:val="auto"/>
              </w:rPr>
            </w:pPr>
          </w:p>
        </w:tc>
      </w:tr>
      <w:tr>
        <w:trPr>
          <w:trHeight w:val="47"/>
        </w:trPr>
        <w:tc>
          <w:tcPr>
            <w:tcW w:w="10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r>
      <w:tr>
        <w:trPr>
          <w:trHeight w:val="277"/>
        </w:trPr>
        <w:tc>
          <w:tcPr>
            <w:tcW w:w="10500" w:type="dxa"/>
            <w:vAlign w:val="bottom"/>
            <w:tcBorders>
              <w:bottom w:val="single" w:sz="8" w:color="3F000B"/>
            </w:tcBorders>
            <w:shd w:val="clear" w:color="auto" w:fill="3F000B"/>
          </w:tcPr>
          <w:p>
            <w:pPr>
              <w:ind w:left="20"/>
              <w:spacing w:after="0"/>
              <w:rPr>
                <w:sz w:val="20"/>
                <w:szCs w:val="20"/>
                <w:color w:val="auto"/>
              </w:rPr>
            </w:pPr>
            <w:r>
              <w:rPr>
                <w:rFonts w:ascii="Arial" w:cs="Arial" w:eastAsia="Arial" w:hAnsi="Arial"/>
                <w:sz w:val="18"/>
                <w:szCs w:val="18"/>
                <w:b w:val="1"/>
                <w:bCs w:val="1"/>
                <w:color w:val="FFFFFF"/>
              </w:rPr>
              <w:t>PROXY STATEMENT</w:t>
            </w:r>
          </w:p>
        </w:tc>
        <w:tc>
          <w:tcPr>
            <w:tcW w:w="80" w:type="dxa"/>
            <w:vAlign w:val="bottom"/>
            <w:tcBorders>
              <w:bottom w:val="single" w:sz="8" w:color="3F000B"/>
            </w:tcBorders>
            <w:shd w:val="clear" w:color="auto" w:fill="3F000B"/>
          </w:tcPr>
          <w:p>
            <w:pPr>
              <w:spacing w:after="0"/>
              <w:rPr>
                <w:sz w:val="24"/>
                <w:szCs w:val="24"/>
                <w:color w:val="auto"/>
              </w:rPr>
            </w:pPr>
          </w:p>
        </w:tc>
        <w:tc>
          <w:tcPr>
            <w:tcW w:w="100" w:type="dxa"/>
            <w:vAlign w:val="bottom"/>
            <w:tcBorders>
              <w:bottom w:val="single" w:sz="8" w:color="3F000B"/>
            </w:tcBorders>
            <w:shd w:val="clear" w:color="auto" w:fill="3F000B"/>
          </w:tcPr>
          <w:p>
            <w:pPr>
              <w:spacing w:after="0"/>
              <w:rPr>
                <w:sz w:val="24"/>
                <w:szCs w:val="24"/>
                <w:color w:val="auto"/>
              </w:rPr>
            </w:pPr>
          </w:p>
        </w:tc>
        <w:tc>
          <w:tcPr>
            <w:tcW w:w="40" w:type="dxa"/>
            <w:vAlign w:val="bottom"/>
            <w:tcBorders>
              <w:bottom w:val="single" w:sz="8" w:color="3F000B"/>
            </w:tcBorders>
            <w:shd w:val="clear" w:color="auto" w:fill="3F000B"/>
          </w:tcPr>
          <w:p>
            <w:pPr>
              <w:spacing w:after="0"/>
              <w:rPr>
                <w:sz w:val="24"/>
                <w:szCs w:val="24"/>
                <w:color w:val="auto"/>
              </w:rPr>
            </w:pPr>
          </w:p>
        </w:tc>
      </w:tr>
      <w:tr>
        <w:trPr>
          <w:trHeight w:val="203"/>
        </w:trPr>
        <w:tc>
          <w:tcPr>
            <w:tcW w:w="10500" w:type="dxa"/>
            <w:vAlign w:val="bottom"/>
          </w:tcPr>
          <w:p>
            <w:pPr>
              <w:spacing w:after="0" w:line="202" w:lineRule="exact"/>
              <w:rPr>
                <w:sz w:val="20"/>
                <w:szCs w:val="20"/>
                <w:color w:val="auto"/>
              </w:rPr>
            </w:pPr>
            <w:r>
              <w:rPr>
                <w:rFonts w:ascii="Arial" w:cs="Arial" w:eastAsia="Arial" w:hAnsi="Arial"/>
                <w:sz w:val="18"/>
                <w:szCs w:val="18"/>
                <w:color w:val="auto"/>
              </w:rPr>
              <w:t>Questions and Answers about the Annual Meeting</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2"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c>
          <w:tcPr>
            <w:tcW w:w="40" w:type="dxa"/>
            <w:vAlign w:val="bottom"/>
          </w:tcPr>
          <w:p>
            <w:pPr>
              <w:spacing w:after="0"/>
              <w:rPr>
                <w:sz w:val="17"/>
                <w:szCs w:val="17"/>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Corporate Governance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13</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The Board of Directors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19</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Meetings and Committees of the Board</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c>
          <w:tcPr>
            <w:tcW w:w="40" w:type="dxa"/>
            <w:vAlign w:val="bottom"/>
          </w:tcPr>
          <w:p>
            <w:pPr>
              <w:spacing w:after="0"/>
              <w:rPr>
                <w:sz w:val="21"/>
                <w:szCs w:val="21"/>
                <w:color w:val="auto"/>
              </w:rPr>
            </w:pPr>
          </w:p>
        </w:tc>
      </w:tr>
      <w:tr>
        <w:trPr>
          <w:trHeight w:val="318"/>
        </w:trPr>
        <w:tc>
          <w:tcPr>
            <w:tcW w:w="10500" w:type="dxa"/>
            <w:vAlign w:val="bottom"/>
          </w:tcPr>
          <w:p>
            <w:pPr>
              <w:spacing w:after="0"/>
              <w:rPr>
                <w:sz w:val="20"/>
                <w:szCs w:val="20"/>
                <w:color w:val="auto"/>
              </w:rPr>
            </w:pPr>
            <w:r>
              <w:rPr>
                <w:rFonts w:ascii="Arial" w:cs="Arial" w:eastAsia="Arial" w:hAnsi="Arial"/>
                <w:sz w:val="18"/>
                <w:szCs w:val="18"/>
                <w:b w:val="1"/>
                <w:bCs w:val="1"/>
                <w:color w:val="3F000B"/>
              </w:rPr>
              <w:t>Proposal No. 1 – Election of Directors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c>
          <w:tcPr>
            <w:tcW w:w="40" w:type="dxa"/>
            <w:vAlign w:val="bottom"/>
          </w:tcPr>
          <w:p>
            <w:pPr>
              <w:spacing w:after="0"/>
              <w:rPr>
                <w:sz w:val="24"/>
                <w:szCs w:val="24"/>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Non-Employee Director Compensation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34</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Share Ownership of Directors, Management and Certain Beneficial Owners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Audit Committee Report</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42</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Information about our Independent Auditors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44</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b w:val="1"/>
                <w:bCs w:val="1"/>
                <w:color w:val="3F000B"/>
              </w:rPr>
              <w:t>Proposal No. 2 – Ratification of Appointment of Independent Auditors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45</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b w:val="1"/>
                <w:bCs w:val="1"/>
                <w:color w:val="3F000B"/>
              </w:rPr>
              <w:t>Compensation Discussion &amp; Analysis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46</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46</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Executive Summary</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46</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The Role of the Compensation Committee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52</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Compensation Components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53</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Setting Compensation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54</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Base Salary</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55</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Annual Incentives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55</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Long-Term Incentives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58</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Perquisites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61</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Retirement Plans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61</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Employment Agreements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5">
              <w:r>
                <w:rPr>
                  <w:rFonts w:ascii="Arial" w:cs="Arial" w:eastAsia="Arial" w:hAnsi="Arial"/>
                  <w:sz w:val="18"/>
                  <w:szCs w:val="18"/>
                  <w:color w:val="0000FF"/>
                  <w:w w:val="79"/>
                </w:rPr>
                <w:t>62</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Severance and Change in Control Plans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62</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Stock Ownership Guidelines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62</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Other Compensation Policies and Practices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63</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Compensation Committee Report</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64</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2020 Summary Compensation Table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65</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2020 Grants of Plan-Based Awards Table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67</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Outstanding Equity Awards at 2020 Fiscal-Year End Table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69</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2020 Option Exercises and Stock Vested Table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70</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2020 Pension Benefits Table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71</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2020 Non-Qualified Deferred Compensation Table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73</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Potential Payments upon Termination or Change in Control</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75</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Separation Payments under Confidential Separation Agreement and General Release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82</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CEO Pay Ratio Disclosure</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83</w:t>
              </w:r>
            </w:hyperlink>
          </w:p>
        </w:tc>
        <w:tc>
          <w:tcPr>
            <w:tcW w:w="40" w:type="dxa"/>
            <w:vAlign w:val="bottom"/>
          </w:tcPr>
          <w:p>
            <w:pPr>
              <w:spacing w:after="0"/>
              <w:rPr>
                <w:sz w:val="21"/>
                <w:szCs w:val="21"/>
                <w:color w:val="auto"/>
              </w:rPr>
            </w:pPr>
          </w:p>
        </w:tc>
      </w:tr>
      <w:tr>
        <w:trPr>
          <w:trHeight w:val="250"/>
        </w:trPr>
        <w:tc>
          <w:tcPr>
            <w:tcW w:w="10500" w:type="dxa"/>
            <w:vAlign w:val="bottom"/>
          </w:tcPr>
          <w:p>
            <w:pPr>
              <w:ind w:left="420"/>
              <w:spacing w:after="0"/>
              <w:rPr>
                <w:sz w:val="20"/>
                <w:szCs w:val="20"/>
                <w:color w:val="auto"/>
              </w:rPr>
            </w:pPr>
            <w:r>
              <w:rPr>
                <w:rFonts w:ascii="Arial" w:cs="Arial" w:eastAsia="Arial" w:hAnsi="Arial"/>
                <w:sz w:val="18"/>
                <w:szCs w:val="18"/>
                <w:color w:val="auto"/>
              </w:rPr>
              <w:t>Equity Compensation Plan Information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84</w:t>
              </w:r>
            </w:hyperlink>
          </w:p>
        </w:tc>
        <w:tc>
          <w:tcPr>
            <w:tcW w:w="40" w:type="dxa"/>
            <w:vAlign w:val="bottom"/>
          </w:tcPr>
          <w:p>
            <w:pPr>
              <w:spacing w:after="0"/>
              <w:rPr>
                <w:sz w:val="21"/>
                <w:szCs w:val="21"/>
                <w:color w:val="auto"/>
              </w:rPr>
            </w:pPr>
          </w:p>
        </w:tc>
      </w:tr>
      <w:tr>
        <w:trPr>
          <w:trHeight w:val="291"/>
        </w:trPr>
        <w:tc>
          <w:tcPr>
            <w:tcW w:w="10500" w:type="dxa"/>
            <w:vAlign w:val="bottom"/>
          </w:tcPr>
          <w:p>
            <w:pPr>
              <w:spacing w:after="0"/>
              <w:rPr>
                <w:sz w:val="20"/>
                <w:szCs w:val="20"/>
                <w:color w:val="auto"/>
              </w:rPr>
            </w:pPr>
            <w:r>
              <w:rPr>
                <w:rFonts w:ascii="Arial" w:cs="Arial" w:eastAsia="Arial" w:hAnsi="Arial"/>
                <w:sz w:val="18"/>
                <w:szCs w:val="18"/>
                <w:b w:val="1"/>
                <w:bCs w:val="1"/>
                <w:color w:val="3F000B"/>
              </w:rPr>
              <w:t>Proposal No. 3 – Advise on Named Executive Officer Compensation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85</w:t>
              </w:r>
            </w:hyperlink>
          </w:p>
        </w:tc>
        <w:tc>
          <w:tcPr>
            <w:tcW w:w="40" w:type="dxa"/>
            <w:vAlign w:val="bottom"/>
          </w:tcPr>
          <w:p>
            <w:pPr>
              <w:spacing w:after="0"/>
              <w:rPr>
                <w:sz w:val="24"/>
                <w:szCs w:val="24"/>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Certain Transactions and Relationships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86</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Compensation Committee Interlocks and Insider Participation</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87</w:t>
              </w:r>
            </w:hyperlink>
          </w:p>
        </w:tc>
        <w:tc>
          <w:tcPr>
            <w:tcW w:w="40" w:type="dxa"/>
            <w:vAlign w:val="bottom"/>
          </w:tcPr>
          <w:p>
            <w:pPr>
              <w:spacing w:after="0"/>
              <w:rPr>
                <w:sz w:val="21"/>
                <w:szCs w:val="21"/>
                <w:color w:val="auto"/>
              </w:rPr>
            </w:pPr>
          </w:p>
        </w:tc>
      </w:tr>
      <w:tr>
        <w:trPr>
          <w:trHeight w:val="250"/>
        </w:trPr>
        <w:tc>
          <w:tcPr>
            <w:tcW w:w="10500" w:type="dxa"/>
            <w:vAlign w:val="bottom"/>
          </w:tcPr>
          <w:p>
            <w:pPr>
              <w:spacing w:after="0"/>
              <w:rPr>
                <w:sz w:val="20"/>
                <w:szCs w:val="20"/>
                <w:color w:val="auto"/>
              </w:rPr>
            </w:pPr>
            <w:r>
              <w:rPr>
                <w:rFonts w:ascii="Arial" w:cs="Arial" w:eastAsia="Arial" w:hAnsi="Arial"/>
                <w:sz w:val="18"/>
                <w:szCs w:val="18"/>
                <w:color w:val="auto"/>
              </w:rPr>
              <w:t>Other Matters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87</w:t>
              </w:r>
            </w:hyperlink>
          </w:p>
        </w:tc>
        <w:tc>
          <w:tcPr>
            <w:tcW w:w="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720"/>
          </w:cols>
          <w:pgMar w:left="600" w:top="1102"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20"/>
          </w:cols>
          <w:pgMar w:left="600" w:top="1102" w:right="579"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732155</wp:posOffset>
            </wp:positionV>
            <wp:extent cx="2545715"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5457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50"/>
          <w:szCs w:val="50"/>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23430"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368935"/>
                    </a:xfrm>
                    <a:prstGeom prst="rect">
                      <a:avLst/>
                    </a:prstGeom>
                    <a:noFill/>
                  </pic:spPr>
                </pic:pic>
              </a:graphicData>
            </a:graphic>
          </wp:anchor>
        </w:drawing>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3F000B"/>
        </w:rPr>
        <w:t>2021 ANNUAL MEETING OF STOCKHOLDERS</w:t>
      </w:r>
    </w:p>
    <w:p>
      <w:pPr>
        <w:spacing w:after="0" w:line="271"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Monday, May 17, 2021</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10:00 a.m., Eastern Daylight Time</w:t>
      </w:r>
    </w:p>
    <w:p>
      <w:pPr>
        <w:spacing w:after="0" w:line="301"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8"/>
          <w:szCs w:val="18"/>
          <w:b w:val="1"/>
          <w:bCs w:val="1"/>
          <w:color w:val="auto"/>
        </w:rPr>
        <w:t>Meeting Access:</w:t>
      </w:r>
      <w:r>
        <w:rPr>
          <w:sz w:val="20"/>
          <w:szCs w:val="20"/>
          <w:color w:val="auto"/>
        </w:rPr>
        <w:tab/>
      </w:r>
      <w:r>
        <w:rPr>
          <w:rFonts w:ascii="Arial" w:cs="Arial" w:eastAsia="Arial" w:hAnsi="Arial"/>
          <w:sz w:val="16"/>
          <w:szCs w:val="16"/>
          <w:color w:val="auto"/>
        </w:rPr>
        <w:t xml:space="preserve">Webcast: </w:t>
      </w:r>
      <w:r>
        <w:rPr>
          <w:rFonts w:ascii="Arial" w:cs="Arial" w:eastAsia="Arial" w:hAnsi="Arial"/>
          <w:sz w:val="16"/>
          <w:szCs w:val="16"/>
          <w:i w:val="1"/>
          <w:iCs w:val="1"/>
          <w:color w:val="auto"/>
        </w:rPr>
        <w:t>www.virtualshareholdermeeting.com/HSY2021</w:t>
      </w:r>
    </w:p>
    <w:p>
      <w:pPr>
        <w:spacing w:after="0" w:line="17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Phone: 1-877-328-2502 (listen only mode)</w:t>
      </w:r>
    </w:p>
    <w:p>
      <w:pPr>
        <w:spacing w:after="0" w:line="316"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6"/>
          <w:szCs w:val="16"/>
          <w:color w:val="auto"/>
        </w:rPr>
        <w:t>March 18,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3F000B"/>
        </w:rPr>
        <w:t>VOTING MATTERS AND BOARD RECOMMENDATIONS</w:t>
      </w:r>
    </w:p>
    <w:p>
      <w:pPr>
        <w:spacing w:after="0" w:line="200" w:lineRule="exact"/>
        <w:rPr>
          <w:sz w:val="20"/>
          <w:szCs w:val="20"/>
          <w:color w:val="auto"/>
        </w:rPr>
      </w:pP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80" w:type="dxa"/>
            <w:vAlign w:val="bottom"/>
            <w:tcBorders>
              <w:left w:val="single" w:sz="8" w:color="3F000B"/>
            </w:tcBorders>
            <w:shd w:val="clear" w:color="auto" w:fill="3F000B"/>
          </w:tcPr>
          <w:p>
            <w:pPr>
              <w:spacing w:after="0"/>
              <w:rPr>
                <w:sz w:val="19"/>
                <w:szCs w:val="19"/>
                <w:color w:val="auto"/>
              </w:rPr>
            </w:pPr>
          </w:p>
        </w:tc>
        <w:tc>
          <w:tcPr>
            <w:tcW w:w="4800" w:type="dxa"/>
            <w:vAlign w:val="bottom"/>
            <w:tcBorders>
              <w:right w:val="single" w:sz="8" w:color="DADADA"/>
            </w:tcBorders>
            <w:vMerge w:val="restart"/>
            <w:shd w:val="clear" w:color="auto" w:fill="3F000B"/>
          </w:tcPr>
          <w:p>
            <w:pPr>
              <w:ind w:left="1320"/>
              <w:spacing w:after="0"/>
              <w:rPr>
                <w:sz w:val="20"/>
                <w:szCs w:val="20"/>
                <w:color w:val="auto"/>
              </w:rPr>
            </w:pPr>
            <w:r>
              <w:rPr>
                <w:rFonts w:ascii="Arial" w:cs="Arial" w:eastAsia="Arial" w:hAnsi="Arial"/>
                <w:sz w:val="18"/>
                <w:szCs w:val="18"/>
                <w:b w:val="1"/>
                <w:bCs w:val="1"/>
                <w:color w:val="FFFFFF"/>
              </w:rPr>
              <w:t>Voting Matter</w:t>
            </w:r>
          </w:p>
        </w:tc>
        <w:tc>
          <w:tcPr>
            <w:tcW w:w="27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Board Vote</w:t>
            </w:r>
          </w:p>
        </w:tc>
        <w:tc>
          <w:tcPr>
            <w:tcW w:w="2660" w:type="dxa"/>
            <w:vAlign w:val="bottom"/>
            <w:tcBorders>
              <w:right w:val="single" w:sz="8" w:color="542121"/>
            </w:tcBorders>
            <w:gridSpan w:val="3"/>
            <w:shd w:val="clear" w:color="auto" w:fill="3F000B"/>
          </w:tcPr>
          <w:p>
            <w:pPr>
              <w:jc w:val="center"/>
              <w:ind w:right="20"/>
              <w:spacing w:after="0"/>
              <w:rPr>
                <w:sz w:val="20"/>
                <w:szCs w:val="20"/>
                <w:color w:val="auto"/>
              </w:rPr>
            </w:pPr>
            <w:r>
              <w:rPr>
                <w:rFonts w:ascii="Arial" w:cs="Arial" w:eastAsia="Arial" w:hAnsi="Arial"/>
                <w:sz w:val="18"/>
                <w:szCs w:val="18"/>
                <w:b w:val="1"/>
                <w:bCs w:val="1"/>
                <w:color w:val="FFFFFF"/>
                <w:w w:val="91"/>
              </w:rPr>
              <w:t>Page Number with</w:t>
            </w:r>
          </w:p>
        </w:tc>
        <w:tc>
          <w:tcPr>
            <w:tcW w:w="0" w:type="dxa"/>
            <w:vAlign w:val="bottom"/>
          </w:tcPr>
          <w:p>
            <w:pPr>
              <w:spacing w:after="0"/>
              <w:rPr>
                <w:sz w:val="1"/>
                <w:szCs w:val="1"/>
                <w:color w:val="auto"/>
              </w:rPr>
            </w:pPr>
          </w:p>
        </w:tc>
      </w:tr>
      <w:tr>
        <w:trPr>
          <w:trHeight w:val="236"/>
        </w:trPr>
        <w:tc>
          <w:tcPr>
            <w:tcW w:w="1080" w:type="dxa"/>
            <w:vAlign w:val="bottom"/>
            <w:tcBorders>
              <w:left w:val="single" w:sz="8" w:color="3F000B"/>
              <w:bottom w:val="single" w:sz="8" w:color="3F000B"/>
            </w:tcBorders>
            <w:shd w:val="clear" w:color="auto" w:fill="3F000B"/>
          </w:tcPr>
          <w:p>
            <w:pPr>
              <w:spacing w:after="0"/>
              <w:rPr>
                <w:sz w:val="20"/>
                <w:szCs w:val="20"/>
                <w:color w:val="auto"/>
              </w:rPr>
            </w:pPr>
          </w:p>
        </w:tc>
        <w:tc>
          <w:tcPr>
            <w:tcW w:w="4800" w:type="dxa"/>
            <w:vAlign w:val="bottom"/>
            <w:tcBorders>
              <w:bottom w:val="single" w:sz="8" w:color="3F000B"/>
              <w:right w:val="single" w:sz="8" w:color="DADADA"/>
            </w:tcBorders>
            <w:vMerge w:val="continue"/>
            <w:shd w:val="clear" w:color="auto" w:fill="3F000B"/>
          </w:tcPr>
          <w:p>
            <w:pPr>
              <w:spacing w:after="0"/>
              <w:rPr>
                <w:sz w:val="20"/>
                <w:szCs w:val="20"/>
                <w:color w:val="auto"/>
              </w:rPr>
            </w:pPr>
          </w:p>
        </w:tc>
        <w:tc>
          <w:tcPr>
            <w:tcW w:w="27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Recommendation</w:t>
            </w:r>
          </w:p>
        </w:tc>
        <w:tc>
          <w:tcPr>
            <w:tcW w:w="2660" w:type="dxa"/>
            <w:vAlign w:val="bottom"/>
            <w:tcBorders>
              <w:bottom w:val="single" w:sz="8" w:color="3F000B"/>
              <w:right w:val="single" w:sz="8" w:color="542121"/>
            </w:tcBorders>
            <w:gridSpan w:val="3"/>
            <w:shd w:val="clear" w:color="auto" w:fill="3F000B"/>
          </w:tcPr>
          <w:p>
            <w:pPr>
              <w:jc w:val="center"/>
              <w:ind w:right="60"/>
              <w:spacing w:after="0"/>
              <w:rPr>
                <w:sz w:val="20"/>
                <w:szCs w:val="20"/>
                <w:color w:val="auto"/>
              </w:rPr>
            </w:pPr>
            <w:r>
              <w:rPr>
                <w:rFonts w:ascii="Arial" w:cs="Arial" w:eastAsia="Arial" w:hAnsi="Arial"/>
                <w:sz w:val="18"/>
                <w:szCs w:val="18"/>
                <w:b w:val="1"/>
                <w:bCs w:val="1"/>
                <w:color w:val="FFFFFF"/>
                <w:w w:val="95"/>
              </w:rPr>
              <w:t>More Information</w:t>
            </w:r>
          </w:p>
        </w:tc>
        <w:tc>
          <w:tcPr>
            <w:tcW w:w="0" w:type="dxa"/>
            <w:vAlign w:val="bottom"/>
          </w:tcPr>
          <w:p>
            <w:pPr>
              <w:spacing w:after="0"/>
              <w:rPr>
                <w:sz w:val="1"/>
                <w:szCs w:val="1"/>
                <w:color w:val="auto"/>
              </w:rPr>
            </w:pPr>
          </w:p>
        </w:tc>
      </w:tr>
      <w:tr>
        <w:trPr>
          <w:trHeight w:val="230"/>
        </w:trPr>
        <w:tc>
          <w:tcPr>
            <w:tcW w:w="1080" w:type="dxa"/>
            <w:vAlign w:val="bottom"/>
            <w:tcBorders>
              <w:left w:val="single" w:sz="8" w:color="3F000B"/>
            </w:tcBorders>
          </w:tcPr>
          <w:p>
            <w:pPr>
              <w:ind w:left="40"/>
              <w:spacing w:after="0"/>
              <w:rPr>
                <w:sz w:val="20"/>
                <w:szCs w:val="20"/>
                <w:color w:val="auto"/>
              </w:rPr>
            </w:pPr>
            <w:r>
              <w:rPr>
                <w:rFonts w:ascii="Arial" w:cs="Arial" w:eastAsia="Arial" w:hAnsi="Arial"/>
                <w:sz w:val="18"/>
                <w:szCs w:val="18"/>
                <w:b w:val="1"/>
                <w:bCs w:val="1"/>
                <w:color w:val="auto"/>
              </w:rPr>
              <w:t>Proposal 1:</w:t>
            </w:r>
          </w:p>
        </w:tc>
        <w:tc>
          <w:tcPr>
            <w:tcW w:w="4800" w:type="dxa"/>
            <w:vAlign w:val="bottom"/>
            <w:tcBorders>
              <w:right w:val="single" w:sz="8" w:color="542121"/>
            </w:tcBorders>
          </w:tcPr>
          <w:p>
            <w:pPr>
              <w:ind w:left="180"/>
              <w:spacing w:after="0"/>
              <w:rPr>
                <w:sz w:val="20"/>
                <w:szCs w:val="20"/>
                <w:color w:val="auto"/>
              </w:rPr>
            </w:pPr>
            <w:r>
              <w:rPr>
                <w:rFonts w:ascii="Arial" w:cs="Arial" w:eastAsia="Arial" w:hAnsi="Arial"/>
                <w:sz w:val="18"/>
                <w:szCs w:val="18"/>
                <w:b w:val="1"/>
                <w:bCs w:val="1"/>
                <w:color w:val="auto"/>
              </w:rPr>
              <w:t>Election of Directors</w:t>
            </w:r>
          </w:p>
        </w:tc>
        <w:tc>
          <w:tcPr>
            <w:tcW w:w="2700" w:type="dxa"/>
            <w:vAlign w:val="bottom"/>
            <w:tcBorders>
              <w:right w:val="single" w:sz="8" w:color="542121"/>
            </w:tcBorders>
          </w:tcPr>
          <w:p>
            <w:pPr>
              <w:jc w:val="center"/>
              <w:spacing w:after="0"/>
              <w:rPr>
                <w:sz w:val="20"/>
                <w:szCs w:val="20"/>
                <w:color w:val="auto"/>
              </w:rPr>
            </w:pPr>
            <w:r>
              <w:rPr>
                <w:rFonts w:ascii="Arial" w:cs="Arial" w:eastAsia="Arial" w:hAnsi="Arial"/>
                <w:sz w:val="18"/>
                <w:szCs w:val="18"/>
                <w:b w:val="1"/>
                <w:bCs w:val="1"/>
                <w:color w:val="auto"/>
                <w:w w:val="90"/>
              </w:rPr>
              <w:t>FOR each nominee</w:t>
            </w:r>
          </w:p>
        </w:tc>
        <w:tc>
          <w:tcPr>
            <w:tcW w:w="1400" w:type="dxa"/>
            <w:vAlign w:val="bottom"/>
            <w:gridSpan w:val="2"/>
          </w:tcPr>
          <w:p>
            <w:pPr>
              <w:jc w:val="center"/>
              <w:ind w:left="1130"/>
              <w:spacing w:after="0"/>
              <w:rPr>
                <w:rFonts w:ascii="Arial" w:cs="Arial" w:eastAsia="Arial" w:hAnsi="Arial"/>
                <w:sz w:val="18"/>
                <w:szCs w:val="18"/>
                <w:b w:val="1"/>
                <w:bCs w:val="1"/>
                <w:color w:val="0000FF"/>
                <w:w w:val="89"/>
              </w:rPr>
            </w:pPr>
            <w:hyperlink w:anchor="page29">
              <w:r>
                <w:rPr>
                  <w:rFonts w:ascii="Arial" w:cs="Arial" w:eastAsia="Arial" w:hAnsi="Arial"/>
                  <w:sz w:val="18"/>
                  <w:szCs w:val="18"/>
                  <w:b w:val="1"/>
                  <w:bCs w:val="1"/>
                  <w:color w:val="0000FF"/>
                  <w:w w:val="89"/>
                </w:rPr>
                <w:t>27</w:t>
              </w:r>
            </w:hyperlink>
          </w:p>
        </w:tc>
        <w:tc>
          <w:tcPr>
            <w:tcW w:w="1260" w:type="dxa"/>
            <w:vAlign w:val="bottom"/>
            <w:tcBorders>
              <w:right w:val="single" w:sz="8" w:color="3F000B"/>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80" w:type="dxa"/>
            <w:vAlign w:val="bottom"/>
            <w:tcBorders>
              <w:left w:val="single" w:sz="8" w:color="3F000B"/>
            </w:tcBorders>
          </w:tcPr>
          <w:p>
            <w:pPr>
              <w:spacing w:after="0"/>
              <w:rPr>
                <w:sz w:val="4"/>
                <w:szCs w:val="4"/>
                <w:color w:val="auto"/>
              </w:rPr>
            </w:pPr>
          </w:p>
        </w:tc>
        <w:tc>
          <w:tcPr>
            <w:tcW w:w="4800" w:type="dxa"/>
            <w:vAlign w:val="bottom"/>
            <w:tcBorders>
              <w:right w:val="single" w:sz="8" w:color="542121"/>
            </w:tcBorders>
          </w:tcPr>
          <w:p>
            <w:pPr>
              <w:spacing w:after="0"/>
              <w:rPr>
                <w:sz w:val="4"/>
                <w:szCs w:val="4"/>
                <w:color w:val="auto"/>
              </w:rPr>
            </w:pPr>
          </w:p>
        </w:tc>
        <w:tc>
          <w:tcPr>
            <w:tcW w:w="2700" w:type="dxa"/>
            <w:vAlign w:val="bottom"/>
            <w:tcBorders>
              <w:right w:val="single" w:sz="8" w:color="542121"/>
            </w:tcBorders>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60" w:type="dxa"/>
            <w:vAlign w:val="bottom"/>
            <w:tcBorders>
              <w:right w:val="single" w:sz="8" w:color="3F000B"/>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80" w:type="dxa"/>
            <w:vAlign w:val="bottom"/>
            <w:tcBorders>
              <w:left w:val="single" w:sz="8" w:color="3F000B"/>
              <w:bottom w:val="single" w:sz="8" w:color="DADADA"/>
            </w:tcBorders>
            <w:shd w:val="clear" w:color="auto" w:fill="DADADA"/>
          </w:tcPr>
          <w:p>
            <w:pPr>
              <w:ind w:left="40"/>
              <w:spacing w:after="0"/>
              <w:rPr>
                <w:sz w:val="20"/>
                <w:szCs w:val="20"/>
                <w:color w:val="auto"/>
              </w:rPr>
            </w:pPr>
            <w:r>
              <w:rPr>
                <w:rFonts w:ascii="Arial" w:cs="Arial" w:eastAsia="Arial" w:hAnsi="Arial"/>
                <w:sz w:val="18"/>
                <w:szCs w:val="18"/>
                <w:b w:val="1"/>
                <w:bCs w:val="1"/>
                <w:color w:val="auto"/>
              </w:rPr>
              <w:t>Proposal 2:</w:t>
            </w:r>
          </w:p>
        </w:tc>
        <w:tc>
          <w:tcPr>
            <w:tcW w:w="4800" w:type="dxa"/>
            <w:vAlign w:val="bottom"/>
            <w:tcBorders>
              <w:bottom w:val="single" w:sz="8" w:color="DADADA"/>
              <w:right w:val="single" w:sz="8" w:color="542121"/>
            </w:tcBorders>
            <w:shd w:val="clear" w:color="auto" w:fill="DADADA"/>
          </w:tcPr>
          <w:p>
            <w:pPr>
              <w:ind w:left="180"/>
              <w:spacing w:after="0"/>
              <w:rPr>
                <w:sz w:val="20"/>
                <w:szCs w:val="20"/>
                <w:color w:val="auto"/>
              </w:rPr>
            </w:pPr>
            <w:r>
              <w:rPr>
                <w:rFonts w:ascii="Arial" w:cs="Arial" w:eastAsia="Arial" w:hAnsi="Arial"/>
                <w:sz w:val="18"/>
                <w:szCs w:val="18"/>
                <w:b w:val="1"/>
                <w:bCs w:val="1"/>
                <w:color w:val="auto"/>
              </w:rPr>
              <w:t>Ratification of Appointment of Independent Auditors</w:t>
            </w:r>
          </w:p>
        </w:tc>
        <w:tc>
          <w:tcPr>
            <w:tcW w:w="2700" w:type="dxa"/>
            <w:vAlign w:val="bottom"/>
            <w:tcBorders>
              <w:bottom w:val="single" w:sz="8" w:color="DADADA"/>
              <w:right w:val="single" w:sz="8" w:color="542121"/>
            </w:tcBorders>
            <w:shd w:val="clear" w:color="auto" w:fill="DADADA"/>
          </w:tcPr>
          <w:p>
            <w:pPr>
              <w:jc w:val="center"/>
              <w:spacing w:after="0"/>
              <w:rPr>
                <w:sz w:val="20"/>
                <w:szCs w:val="20"/>
                <w:color w:val="auto"/>
              </w:rPr>
            </w:pPr>
            <w:r>
              <w:rPr>
                <w:rFonts w:ascii="Arial" w:cs="Arial" w:eastAsia="Arial" w:hAnsi="Arial"/>
                <w:sz w:val="18"/>
                <w:szCs w:val="18"/>
                <w:b w:val="1"/>
                <w:bCs w:val="1"/>
                <w:color w:val="auto"/>
                <w:w w:val="99"/>
              </w:rPr>
              <w:t>FOR</w:t>
            </w:r>
          </w:p>
        </w:tc>
        <w:tc>
          <w:tcPr>
            <w:tcW w:w="1220" w:type="dxa"/>
            <w:vAlign w:val="bottom"/>
            <w:tcBorders>
              <w:bottom w:val="single" w:sz="8" w:color="DADADA"/>
            </w:tcBorders>
            <w:shd w:val="clear" w:color="auto" w:fill="DADADA"/>
          </w:tcPr>
          <w:p>
            <w:pPr>
              <w:spacing w:after="0"/>
              <w:rPr>
                <w:sz w:val="24"/>
                <w:szCs w:val="24"/>
                <w:color w:val="auto"/>
              </w:rPr>
            </w:pPr>
          </w:p>
        </w:tc>
        <w:tc>
          <w:tcPr>
            <w:tcW w:w="180" w:type="dxa"/>
            <w:vAlign w:val="bottom"/>
            <w:tcBorders>
              <w:bottom w:val="single" w:sz="8" w:color="0000FF"/>
            </w:tcBorders>
            <w:shd w:val="clear" w:color="auto" w:fill="DADADA"/>
          </w:tcPr>
          <w:p>
            <w:pPr>
              <w:jc w:val="center"/>
              <w:spacing w:after="0"/>
              <w:rPr>
                <w:rFonts w:ascii="Arial" w:cs="Arial" w:eastAsia="Arial" w:hAnsi="Arial"/>
                <w:sz w:val="18"/>
                <w:szCs w:val="18"/>
                <w:b w:val="1"/>
                <w:bCs w:val="1"/>
                <w:color w:val="0000FF"/>
                <w:w w:val="89"/>
              </w:rPr>
            </w:pPr>
            <w:hyperlink w:anchor="page48">
              <w:r>
                <w:rPr>
                  <w:rFonts w:ascii="Arial" w:cs="Arial" w:eastAsia="Arial" w:hAnsi="Arial"/>
                  <w:sz w:val="18"/>
                  <w:szCs w:val="18"/>
                  <w:b w:val="1"/>
                  <w:bCs w:val="1"/>
                  <w:color w:val="0000FF"/>
                  <w:w w:val="89"/>
                </w:rPr>
                <w:t>45</w:t>
              </w:r>
            </w:hyperlink>
          </w:p>
        </w:tc>
        <w:tc>
          <w:tcPr>
            <w:tcW w:w="1260" w:type="dxa"/>
            <w:vAlign w:val="bottom"/>
            <w:tcBorders>
              <w:bottom w:val="single" w:sz="8" w:color="DADADA"/>
              <w:right w:val="single" w:sz="8" w:color="3F000B"/>
            </w:tcBorders>
            <w:shd w:val="clear" w:color="auto" w:fill="DADAD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Borders>
              <w:left w:val="single" w:sz="8" w:color="3F000B"/>
            </w:tcBorders>
          </w:tcPr>
          <w:p>
            <w:pPr>
              <w:ind w:left="40"/>
              <w:spacing w:after="0"/>
              <w:rPr>
                <w:sz w:val="20"/>
                <w:szCs w:val="20"/>
                <w:color w:val="auto"/>
              </w:rPr>
            </w:pPr>
            <w:r>
              <w:rPr>
                <w:rFonts w:ascii="Arial" w:cs="Arial" w:eastAsia="Arial" w:hAnsi="Arial"/>
                <w:sz w:val="18"/>
                <w:szCs w:val="18"/>
                <w:b w:val="1"/>
                <w:bCs w:val="1"/>
                <w:color w:val="auto"/>
              </w:rPr>
              <w:t>Proposal 3:</w:t>
            </w:r>
          </w:p>
        </w:tc>
        <w:tc>
          <w:tcPr>
            <w:tcW w:w="4800" w:type="dxa"/>
            <w:vAlign w:val="bottom"/>
            <w:tcBorders>
              <w:right w:val="single" w:sz="8" w:color="542121"/>
            </w:tcBorders>
          </w:tcPr>
          <w:p>
            <w:pPr>
              <w:ind w:left="180"/>
              <w:spacing w:after="0"/>
              <w:rPr>
                <w:sz w:val="20"/>
                <w:szCs w:val="20"/>
                <w:color w:val="auto"/>
              </w:rPr>
            </w:pPr>
            <w:r>
              <w:rPr>
                <w:rFonts w:ascii="Arial" w:cs="Arial" w:eastAsia="Arial" w:hAnsi="Arial"/>
                <w:sz w:val="18"/>
                <w:szCs w:val="18"/>
                <w:b w:val="1"/>
                <w:bCs w:val="1"/>
                <w:color w:val="auto"/>
              </w:rPr>
              <w:t>Advise on Named Executive Officer Compensation</w:t>
            </w:r>
          </w:p>
        </w:tc>
        <w:tc>
          <w:tcPr>
            <w:tcW w:w="2700" w:type="dxa"/>
            <w:vAlign w:val="bottom"/>
            <w:tcBorders>
              <w:right w:val="single" w:sz="8" w:color="542121"/>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400" w:type="dxa"/>
            <w:vAlign w:val="bottom"/>
            <w:gridSpan w:val="2"/>
          </w:tcPr>
          <w:p>
            <w:pPr>
              <w:jc w:val="center"/>
              <w:ind w:left="1130"/>
              <w:spacing w:after="0"/>
              <w:rPr>
                <w:rFonts w:ascii="Arial" w:cs="Arial" w:eastAsia="Arial" w:hAnsi="Arial"/>
                <w:sz w:val="18"/>
                <w:szCs w:val="18"/>
                <w:b w:val="1"/>
                <w:bCs w:val="1"/>
                <w:color w:val="0000FF"/>
                <w:w w:val="89"/>
              </w:rPr>
            </w:pPr>
            <w:hyperlink w:anchor="page88">
              <w:r>
                <w:rPr>
                  <w:rFonts w:ascii="Arial" w:cs="Arial" w:eastAsia="Arial" w:hAnsi="Arial"/>
                  <w:sz w:val="18"/>
                  <w:szCs w:val="18"/>
                  <w:b w:val="1"/>
                  <w:bCs w:val="1"/>
                  <w:color w:val="0000FF"/>
                  <w:w w:val="89"/>
                </w:rPr>
                <w:t>85</w:t>
              </w:r>
            </w:hyperlink>
          </w:p>
        </w:tc>
        <w:tc>
          <w:tcPr>
            <w:tcW w:w="1260" w:type="dxa"/>
            <w:vAlign w:val="bottom"/>
            <w:tcBorders>
              <w:right w:val="single" w:sz="8" w:color="3F000B"/>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80" w:type="dxa"/>
            <w:vAlign w:val="bottom"/>
            <w:tcBorders>
              <w:left w:val="single" w:sz="8" w:color="3F000B"/>
              <w:bottom w:val="single" w:sz="8" w:color="3F000B"/>
            </w:tcBorders>
          </w:tcPr>
          <w:p>
            <w:pPr>
              <w:spacing w:after="0"/>
              <w:rPr>
                <w:sz w:val="4"/>
                <w:szCs w:val="4"/>
                <w:color w:val="auto"/>
              </w:rPr>
            </w:pPr>
          </w:p>
        </w:tc>
        <w:tc>
          <w:tcPr>
            <w:tcW w:w="4800" w:type="dxa"/>
            <w:vAlign w:val="bottom"/>
            <w:tcBorders>
              <w:bottom w:val="single" w:sz="8" w:color="3F000B"/>
              <w:right w:val="single" w:sz="8" w:color="542121"/>
            </w:tcBorders>
          </w:tcPr>
          <w:p>
            <w:pPr>
              <w:spacing w:after="0"/>
              <w:rPr>
                <w:sz w:val="4"/>
                <w:szCs w:val="4"/>
                <w:color w:val="auto"/>
              </w:rPr>
            </w:pPr>
          </w:p>
        </w:tc>
        <w:tc>
          <w:tcPr>
            <w:tcW w:w="2700" w:type="dxa"/>
            <w:vAlign w:val="bottom"/>
            <w:tcBorders>
              <w:bottom w:val="single" w:sz="8" w:color="3F000B"/>
              <w:right w:val="single" w:sz="8" w:color="542121"/>
            </w:tcBorders>
          </w:tcPr>
          <w:p>
            <w:pPr>
              <w:spacing w:after="0"/>
              <w:rPr>
                <w:sz w:val="4"/>
                <w:szCs w:val="4"/>
                <w:color w:val="auto"/>
              </w:rPr>
            </w:pPr>
          </w:p>
        </w:tc>
        <w:tc>
          <w:tcPr>
            <w:tcW w:w="1220" w:type="dxa"/>
            <w:vAlign w:val="bottom"/>
            <w:tcBorders>
              <w:bottom w:val="single" w:sz="8" w:color="3F000B"/>
            </w:tcBorders>
          </w:tcPr>
          <w:p>
            <w:pPr>
              <w:spacing w:after="0"/>
              <w:rPr>
                <w:sz w:val="4"/>
                <w:szCs w:val="4"/>
                <w:color w:val="auto"/>
              </w:rPr>
            </w:pPr>
          </w:p>
        </w:tc>
        <w:tc>
          <w:tcPr>
            <w:tcW w:w="180" w:type="dxa"/>
            <w:vAlign w:val="bottom"/>
            <w:tcBorders>
              <w:top w:val="single" w:sz="8" w:color="0000FF"/>
              <w:bottom w:val="single" w:sz="8" w:color="3F000B"/>
            </w:tcBorders>
          </w:tcPr>
          <w:p>
            <w:pPr>
              <w:spacing w:after="0"/>
              <w:rPr>
                <w:sz w:val="4"/>
                <w:szCs w:val="4"/>
                <w:color w:val="auto"/>
              </w:rPr>
            </w:pPr>
          </w:p>
        </w:tc>
        <w:tc>
          <w:tcPr>
            <w:tcW w:w="1260" w:type="dxa"/>
            <w:vAlign w:val="bottom"/>
            <w:tcBorders>
              <w:bottom w:val="single" w:sz="8" w:color="3F000B"/>
              <w:right w:val="single" w:sz="8" w:color="3F000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This Proxy Statement Summary contains highlights of certain information in this Proxy Statement. Because it is only a summary, it does not contain all the information that you should consider prior to voting. Please review the complete Proxy Statement and the Company’s 2020 Annual Report on Form 10-K that accompanies the Proxy Statement for additional information.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20" w:top="1440" w:right="3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5"/>
          <w:szCs w:val="25"/>
          <w:b w:val="1"/>
          <w:bCs w:val="1"/>
          <w:color w:val="3F000B"/>
        </w:rPr>
        <w:t>OUR DIRECTOR NOMINEES</w:t>
      </w:r>
    </w:p>
    <w:p>
      <w:pPr>
        <w:spacing w:after="0" w:line="34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You have the opportunity to vote on the election of the following 12 nominees for director. Additional information regarding each director nominee’s experience, skills and qualifications to serve as a member of the Company’s Board of Directors (the “Board”) can be found in the Proxy Statement under Proposal No.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15175" cy="4834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483489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Borders>
              <w:top w:val="single" w:sz="8" w:color="3F000B"/>
              <w:right w:val="single" w:sz="8" w:color="DADADA"/>
            </w:tcBorders>
            <w:vMerge w:val="restart"/>
            <w:shd w:val="clear" w:color="auto" w:fill="3F000B"/>
          </w:tcPr>
          <w:p>
            <w:pPr>
              <w:ind w:left="960"/>
              <w:spacing w:after="0"/>
              <w:rPr>
                <w:sz w:val="20"/>
                <w:szCs w:val="20"/>
                <w:color w:val="auto"/>
              </w:rPr>
            </w:pPr>
            <w:r>
              <w:rPr>
                <w:rFonts w:ascii="Arial" w:cs="Arial" w:eastAsia="Arial" w:hAnsi="Arial"/>
                <w:sz w:val="16"/>
                <w:szCs w:val="16"/>
                <w:b w:val="1"/>
                <w:bCs w:val="1"/>
                <w:color w:val="FFFFFF"/>
              </w:rPr>
              <w:t>Name</w:t>
            </w:r>
          </w:p>
        </w:tc>
        <w:tc>
          <w:tcPr>
            <w:tcW w:w="600" w:type="dxa"/>
            <w:vAlign w:val="bottom"/>
            <w:tcBorders>
              <w:top w:val="single" w:sz="8" w:color="3F000B"/>
            </w:tcBorders>
            <w:vMerge w:val="restart"/>
            <w:shd w:val="clear" w:color="auto" w:fill="3F000B"/>
          </w:tcPr>
          <w:p>
            <w:pPr>
              <w:ind w:left="160"/>
              <w:spacing w:after="0"/>
              <w:rPr>
                <w:sz w:val="20"/>
                <w:szCs w:val="20"/>
                <w:color w:val="auto"/>
              </w:rPr>
            </w:pPr>
            <w:r>
              <w:rPr>
                <w:rFonts w:ascii="Arial" w:cs="Arial" w:eastAsia="Arial" w:hAnsi="Arial"/>
                <w:sz w:val="16"/>
                <w:szCs w:val="16"/>
                <w:b w:val="1"/>
                <w:bCs w:val="1"/>
                <w:color w:val="FFFFFF"/>
              </w:rPr>
              <w:t>Age</w:t>
            </w:r>
          </w:p>
        </w:tc>
        <w:tc>
          <w:tcPr>
            <w:tcW w:w="980" w:type="dxa"/>
            <w:vAlign w:val="bottom"/>
            <w:tcBorders>
              <w:top w:val="single" w:sz="8" w:color="3F000B"/>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5"/>
              </w:rPr>
              <w:t>Years on</w:t>
            </w:r>
          </w:p>
        </w:tc>
        <w:tc>
          <w:tcPr>
            <w:tcW w:w="3880" w:type="dxa"/>
            <w:vAlign w:val="bottom"/>
            <w:tcBorders>
              <w:top w:val="single" w:sz="8" w:color="3F000B"/>
              <w:right w:val="single" w:sz="8" w:color="DADADA"/>
            </w:tcBorders>
            <w:vMerge w:val="restart"/>
            <w:shd w:val="clear" w:color="auto" w:fill="3F000B"/>
          </w:tcPr>
          <w:p>
            <w:pPr>
              <w:ind w:left="1660"/>
              <w:spacing w:after="0"/>
              <w:rPr>
                <w:sz w:val="20"/>
                <w:szCs w:val="20"/>
                <w:color w:val="auto"/>
              </w:rPr>
            </w:pPr>
            <w:r>
              <w:rPr>
                <w:rFonts w:ascii="Arial" w:cs="Arial" w:eastAsia="Arial" w:hAnsi="Arial"/>
                <w:sz w:val="16"/>
                <w:szCs w:val="16"/>
                <w:b w:val="1"/>
                <w:bCs w:val="1"/>
                <w:color w:val="FFFFFF"/>
              </w:rPr>
              <w:t>Position</w:t>
            </w:r>
          </w:p>
        </w:tc>
        <w:tc>
          <w:tcPr>
            <w:tcW w:w="1400" w:type="dxa"/>
            <w:vAlign w:val="bottom"/>
            <w:tcBorders>
              <w:top w:val="single" w:sz="8" w:color="3F000B"/>
              <w:right w:val="single" w:sz="8" w:color="DADADA"/>
            </w:tcBorders>
            <w:vMerge w:val="restart"/>
            <w:shd w:val="clear" w:color="auto" w:fill="3F000B"/>
          </w:tcPr>
          <w:p>
            <w:pPr>
              <w:ind w:left="240"/>
              <w:spacing w:after="0"/>
              <w:rPr>
                <w:sz w:val="20"/>
                <w:szCs w:val="20"/>
                <w:color w:val="auto"/>
              </w:rPr>
            </w:pPr>
            <w:r>
              <w:rPr>
                <w:rFonts w:ascii="Arial" w:cs="Arial" w:eastAsia="Arial" w:hAnsi="Arial"/>
                <w:sz w:val="16"/>
                <w:szCs w:val="16"/>
                <w:b w:val="1"/>
                <w:bCs w:val="1"/>
                <w:color w:val="FFFFFF"/>
              </w:rPr>
              <w:t>Independent</w:t>
            </w:r>
          </w:p>
        </w:tc>
        <w:tc>
          <w:tcPr>
            <w:tcW w:w="2020" w:type="dxa"/>
            <w:vAlign w:val="bottom"/>
            <w:tcBorders>
              <w:top w:val="single" w:sz="8" w:color="3F000B"/>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91"/>
              </w:rPr>
              <w:t>Committee</w:t>
            </w:r>
          </w:p>
        </w:tc>
        <w:tc>
          <w:tcPr>
            <w:tcW w:w="20" w:type="dxa"/>
            <w:vAlign w:val="bottom"/>
            <w:tcBorders>
              <w:top w:val="single" w:sz="8" w:color="3F000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3F000B"/>
              <w:right w:val="single" w:sz="8" w:color="DADADA"/>
            </w:tcBorders>
            <w:vMerge w:val="continue"/>
            <w:shd w:val="clear" w:color="auto" w:fill="3F000B"/>
          </w:tcPr>
          <w:p>
            <w:pPr>
              <w:spacing w:after="0"/>
              <w:rPr>
                <w:sz w:val="19"/>
                <w:szCs w:val="19"/>
                <w:color w:val="auto"/>
              </w:rPr>
            </w:pPr>
          </w:p>
        </w:tc>
        <w:tc>
          <w:tcPr>
            <w:tcW w:w="600" w:type="dxa"/>
            <w:vAlign w:val="bottom"/>
            <w:tcBorders>
              <w:bottom w:val="single" w:sz="8" w:color="3F000B"/>
            </w:tcBorders>
            <w:vMerge w:val="continue"/>
            <w:shd w:val="clear" w:color="auto" w:fill="3F000B"/>
          </w:tcPr>
          <w:p>
            <w:pPr>
              <w:spacing w:after="0"/>
              <w:rPr>
                <w:sz w:val="19"/>
                <w:szCs w:val="19"/>
                <w:color w:val="auto"/>
              </w:rPr>
            </w:pPr>
          </w:p>
        </w:tc>
        <w:tc>
          <w:tcPr>
            <w:tcW w:w="980" w:type="dxa"/>
            <w:vAlign w:val="bottom"/>
            <w:tcBorders>
              <w:bottom w:val="single" w:sz="8" w:color="3F000B"/>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90"/>
              </w:rPr>
              <w:t>Board</w:t>
            </w:r>
          </w:p>
        </w:tc>
        <w:tc>
          <w:tcPr>
            <w:tcW w:w="3880" w:type="dxa"/>
            <w:vAlign w:val="bottom"/>
            <w:tcBorders>
              <w:bottom w:val="single" w:sz="8" w:color="3F000B"/>
              <w:right w:val="single" w:sz="8" w:color="DADADA"/>
            </w:tcBorders>
            <w:vMerge w:val="continue"/>
            <w:shd w:val="clear" w:color="auto" w:fill="3F000B"/>
          </w:tcPr>
          <w:p>
            <w:pPr>
              <w:spacing w:after="0"/>
              <w:rPr>
                <w:sz w:val="19"/>
                <w:szCs w:val="19"/>
                <w:color w:val="auto"/>
              </w:rPr>
            </w:pPr>
          </w:p>
        </w:tc>
        <w:tc>
          <w:tcPr>
            <w:tcW w:w="1400" w:type="dxa"/>
            <w:vAlign w:val="bottom"/>
            <w:tcBorders>
              <w:bottom w:val="single" w:sz="8" w:color="3F000B"/>
              <w:right w:val="single" w:sz="8" w:color="DADADA"/>
            </w:tcBorders>
            <w:vMerge w:val="continue"/>
            <w:shd w:val="clear" w:color="auto" w:fill="3F000B"/>
          </w:tcPr>
          <w:p>
            <w:pPr>
              <w:spacing w:after="0"/>
              <w:rPr>
                <w:sz w:val="19"/>
                <w:szCs w:val="19"/>
                <w:color w:val="auto"/>
              </w:rPr>
            </w:pPr>
          </w:p>
        </w:tc>
        <w:tc>
          <w:tcPr>
            <w:tcW w:w="2020" w:type="dxa"/>
            <w:vAlign w:val="bottom"/>
            <w:tcBorders>
              <w:bottom w:val="single" w:sz="8" w:color="3F000B"/>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93"/>
              </w:rPr>
              <w:t>Memberships*</w:t>
            </w:r>
          </w:p>
        </w:tc>
        <w:tc>
          <w:tcPr>
            <w:tcW w:w="20" w:type="dxa"/>
            <w:vAlign w:val="bottom"/>
            <w:tcBorders>
              <w:bottom w:val="single" w:sz="8" w:color="3F000B"/>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886" w:right="359" w:bottom="1440" w:gutter="0" w:footer="0" w:header="0"/>
        </w:sect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Pamela M. Arway</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67</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89"/>
              </w:rPr>
              <w:t>11</w:t>
            </w:r>
          </w:p>
        </w:tc>
      </w:tr>
      <w:tr>
        <w:trPr>
          <w:trHeight w:val="594"/>
        </w:trPr>
        <w:tc>
          <w:tcPr>
            <w:tcW w:w="2040" w:type="dxa"/>
            <w:vAlign w:val="bottom"/>
          </w:tcPr>
          <w:p>
            <w:pPr>
              <w:spacing w:after="0"/>
              <w:rPr>
                <w:sz w:val="20"/>
                <w:szCs w:val="20"/>
                <w:color w:val="auto"/>
              </w:rPr>
            </w:pPr>
            <w:r>
              <w:rPr>
                <w:rFonts w:ascii="Arial" w:cs="Arial" w:eastAsia="Arial" w:hAnsi="Arial"/>
                <w:sz w:val="18"/>
                <w:szCs w:val="18"/>
                <w:color w:val="auto"/>
              </w:rPr>
              <w:t>James W. Brown</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69</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4</w:t>
            </w:r>
          </w:p>
        </w:tc>
      </w:tr>
      <w:tr>
        <w:trPr>
          <w:trHeight w:val="486"/>
        </w:trPr>
        <w:tc>
          <w:tcPr>
            <w:tcW w:w="2040" w:type="dxa"/>
            <w:vAlign w:val="bottom"/>
          </w:tcPr>
          <w:p>
            <w:pPr>
              <w:spacing w:after="0"/>
              <w:rPr>
                <w:sz w:val="20"/>
                <w:szCs w:val="20"/>
                <w:color w:val="auto"/>
              </w:rPr>
            </w:pPr>
            <w:r>
              <w:rPr>
                <w:rFonts w:ascii="Arial" w:cs="Arial" w:eastAsia="Arial" w:hAnsi="Arial"/>
                <w:sz w:val="18"/>
                <w:szCs w:val="18"/>
                <w:color w:val="auto"/>
              </w:rPr>
              <w:t>Michele G. Buck**</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4</w:t>
            </w:r>
          </w:p>
        </w:tc>
      </w:tr>
      <w:tr>
        <w:trPr>
          <w:trHeight w:val="486"/>
        </w:trPr>
        <w:tc>
          <w:tcPr>
            <w:tcW w:w="2040" w:type="dxa"/>
            <w:vAlign w:val="bottom"/>
          </w:tcPr>
          <w:p>
            <w:pPr>
              <w:spacing w:after="0"/>
              <w:rPr>
                <w:sz w:val="20"/>
                <w:szCs w:val="20"/>
                <w:color w:val="auto"/>
              </w:rPr>
            </w:pPr>
            <w:r>
              <w:rPr>
                <w:rFonts w:ascii="Arial" w:cs="Arial" w:eastAsia="Arial" w:hAnsi="Arial"/>
                <w:sz w:val="18"/>
                <w:szCs w:val="18"/>
                <w:color w:val="auto"/>
              </w:rPr>
              <w:t>Victor L. Crawford</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1</w:t>
            </w:r>
          </w:p>
        </w:tc>
      </w:tr>
      <w:tr>
        <w:trPr>
          <w:trHeight w:val="486"/>
        </w:trPr>
        <w:tc>
          <w:tcPr>
            <w:tcW w:w="2040" w:type="dxa"/>
            <w:vAlign w:val="bottom"/>
          </w:tcPr>
          <w:p>
            <w:pPr>
              <w:spacing w:after="0"/>
              <w:rPr>
                <w:sz w:val="20"/>
                <w:szCs w:val="20"/>
                <w:color w:val="auto"/>
              </w:rPr>
            </w:pPr>
            <w:r>
              <w:rPr>
                <w:rFonts w:ascii="Arial" w:cs="Arial" w:eastAsia="Arial" w:hAnsi="Arial"/>
                <w:sz w:val="18"/>
                <w:szCs w:val="18"/>
                <w:color w:val="auto"/>
              </w:rPr>
              <w:t>Robert M. Dutkowsky</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0</w:t>
            </w:r>
          </w:p>
        </w:tc>
      </w:tr>
      <w:tr>
        <w:trPr>
          <w:trHeight w:val="594"/>
        </w:trPr>
        <w:tc>
          <w:tcPr>
            <w:tcW w:w="2040" w:type="dxa"/>
            <w:vAlign w:val="bottom"/>
          </w:tcPr>
          <w:p>
            <w:pPr>
              <w:spacing w:after="0"/>
              <w:rPr>
                <w:sz w:val="20"/>
                <w:szCs w:val="20"/>
                <w:color w:val="auto"/>
              </w:rPr>
            </w:pPr>
            <w:r>
              <w:rPr>
                <w:rFonts w:ascii="Arial" w:cs="Arial" w:eastAsia="Arial" w:hAnsi="Arial"/>
                <w:sz w:val="18"/>
                <w:szCs w:val="18"/>
                <w:color w:val="auto"/>
              </w:rPr>
              <w:t>Mary Kay Haben</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8</w:t>
            </w:r>
          </w:p>
        </w:tc>
      </w:tr>
      <w:tr>
        <w:trPr>
          <w:trHeight w:val="594"/>
        </w:trPr>
        <w:tc>
          <w:tcPr>
            <w:tcW w:w="2040" w:type="dxa"/>
            <w:vAlign w:val="bottom"/>
          </w:tcPr>
          <w:p>
            <w:pPr>
              <w:spacing w:after="0"/>
              <w:rPr>
                <w:sz w:val="20"/>
                <w:szCs w:val="20"/>
                <w:color w:val="auto"/>
              </w:rPr>
            </w:pPr>
            <w:r>
              <w:rPr>
                <w:rFonts w:ascii="Arial" w:cs="Arial" w:eastAsia="Arial" w:hAnsi="Arial"/>
                <w:sz w:val="18"/>
                <w:szCs w:val="18"/>
                <w:color w:val="auto"/>
              </w:rPr>
              <w:t>James C. Katzman</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3</w:t>
            </w:r>
          </w:p>
        </w:tc>
      </w:tr>
      <w:tr>
        <w:trPr>
          <w:trHeight w:val="486"/>
        </w:trPr>
        <w:tc>
          <w:tcPr>
            <w:tcW w:w="2040" w:type="dxa"/>
            <w:vAlign w:val="bottom"/>
          </w:tcPr>
          <w:p>
            <w:pPr>
              <w:spacing w:after="0"/>
              <w:rPr>
                <w:sz w:val="20"/>
                <w:szCs w:val="20"/>
                <w:color w:val="auto"/>
              </w:rPr>
            </w:pPr>
            <w:r>
              <w:rPr>
                <w:rFonts w:ascii="Arial" w:cs="Arial" w:eastAsia="Arial" w:hAnsi="Arial"/>
                <w:sz w:val="18"/>
                <w:szCs w:val="18"/>
                <w:color w:val="auto"/>
              </w:rPr>
              <w:t>M. Diane Koken</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4</w:t>
            </w:r>
          </w:p>
        </w:tc>
      </w:tr>
      <w:tr>
        <w:trPr>
          <w:trHeight w:val="594"/>
        </w:trPr>
        <w:tc>
          <w:tcPr>
            <w:tcW w:w="2040" w:type="dxa"/>
            <w:vAlign w:val="bottom"/>
          </w:tcPr>
          <w:p>
            <w:pPr>
              <w:spacing w:after="0"/>
              <w:rPr>
                <w:sz w:val="20"/>
                <w:szCs w:val="20"/>
                <w:color w:val="auto"/>
              </w:rPr>
            </w:pPr>
            <w:r>
              <w:rPr>
                <w:rFonts w:ascii="Arial" w:cs="Arial" w:eastAsia="Arial" w:hAnsi="Arial"/>
                <w:sz w:val="18"/>
                <w:szCs w:val="18"/>
                <w:color w:val="auto"/>
              </w:rPr>
              <w:t>Robert M. Malcolm</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89"/>
              </w:rPr>
              <w:t>10</w:t>
            </w:r>
          </w:p>
        </w:tc>
      </w:tr>
      <w:tr>
        <w:trPr>
          <w:trHeight w:val="918"/>
        </w:trPr>
        <w:tc>
          <w:tcPr>
            <w:tcW w:w="2040" w:type="dxa"/>
            <w:vAlign w:val="bottom"/>
          </w:tcPr>
          <w:p>
            <w:pPr>
              <w:spacing w:after="0"/>
              <w:rPr>
                <w:sz w:val="20"/>
                <w:szCs w:val="20"/>
                <w:color w:val="auto"/>
              </w:rPr>
            </w:pPr>
            <w:r>
              <w:rPr>
                <w:rFonts w:ascii="Arial" w:cs="Arial" w:eastAsia="Arial" w:hAnsi="Arial"/>
                <w:sz w:val="18"/>
                <w:szCs w:val="18"/>
                <w:color w:val="auto"/>
              </w:rPr>
              <w:t>Anthony J. Palmer***</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89"/>
              </w:rPr>
              <w:t>10</w:t>
            </w:r>
          </w:p>
        </w:tc>
      </w:tr>
      <w:tr>
        <w:trPr>
          <w:trHeight w:val="810"/>
        </w:trPr>
        <w:tc>
          <w:tcPr>
            <w:tcW w:w="2040" w:type="dxa"/>
            <w:vAlign w:val="bottom"/>
          </w:tcPr>
          <w:p>
            <w:pPr>
              <w:spacing w:after="0"/>
              <w:rPr>
                <w:sz w:val="20"/>
                <w:szCs w:val="20"/>
                <w:color w:val="auto"/>
              </w:rPr>
            </w:pPr>
            <w:r>
              <w:rPr>
                <w:rFonts w:ascii="Arial" w:cs="Arial" w:eastAsia="Arial" w:hAnsi="Arial"/>
                <w:sz w:val="18"/>
                <w:szCs w:val="18"/>
                <w:color w:val="auto"/>
              </w:rPr>
              <w:t>Juan R. Perez</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54</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2</w:t>
            </w:r>
          </w:p>
        </w:tc>
      </w:tr>
      <w:tr>
        <w:trPr>
          <w:trHeight w:val="486"/>
        </w:trPr>
        <w:tc>
          <w:tcPr>
            <w:tcW w:w="2040" w:type="dxa"/>
            <w:vAlign w:val="bottom"/>
          </w:tcPr>
          <w:p>
            <w:pPr>
              <w:spacing w:after="0"/>
              <w:rPr>
                <w:sz w:val="20"/>
                <w:szCs w:val="20"/>
                <w:color w:val="auto"/>
              </w:rPr>
            </w:pPr>
            <w:r>
              <w:rPr>
                <w:rFonts w:ascii="Arial" w:cs="Arial" w:eastAsia="Arial" w:hAnsi="Arial"/>
                <w:sz w:val="18"/>
                <w:szCs w:val="18"/>
                <w:color w:val="auto"/>
              </w:rPr>
              <w:t>Wendy L. Schoppert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54</w:t>
            </w:r>
          </w:p>
        </w:tc>
        <w:tc>
          <w:tcPr>
            <w:tcW w:w="480" w:type="dxa"/>
            <w:vAlign w:val="bottom"/>
          </w:tcPr>
          <w:p>
            <w:pPr>
              <w:jc w:val="center"/>
              <w:ind w:left="210"/>
              <w:spacing w:after="0"/>
              <w:rPr>
                <w:sz w:val="20"/>
                <w:szCs w:val="20"/>
                <w:color w:val="auto"/>
              </w:rPr>
            </w:pPr>
            <w:r>
              <w:rPr>
                <w:rFonts w:ascii="Arial" w:cs="Arial" w:eastAsia="Arial" w:hAnsi="Arial"/>
                <w:sz w:val="18"/>
                <w:szCs w:val="18"/>
                <w:color w:val="auto"/>
                <w:w w:val="99"/>
              </w:rPr>
              <w:t>4</w:t>
            </w: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Former President, Japan/Asia Pacific/Australia Region, American Express International, Inc.</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Director, Hershey Trust Company; Member, Board of Managers, Milton Hershey School</w:t>
      </w:r>
    </w:p>
    <w:p>
      <w:pPr>
        <w:spacing w:after="0" w:line="8" w:lineRule="exact"/>
        <w:rPr>
          <w:sz w:val="20"/>
          <w:szCs w:val="20"/>
          <w:color w:val="auto"/>
        </w:rPr>
      </w:pPr>
    </w:p>
    <w:p>
      <w:pPr>
        <w:ind w:right="640"/>
        <w:spacing w:after="0" w:line="316" w:lineRule="auto"/>
        <w:rPr>
          <w:sz w:val="20"/>
          <w:szCs w:val="20"/>
          <w:color w:val="auto"/>
        </w:rPr>
      </w:pPr>
      <w:r>
        <w:rPr>
          <w:rFonts w:ascii="Arial" w:cs="Arial" w:eastAsia="Arial" w:hAnsi="Arial"/>
          <w:sz w:val="16"/>
          <w:szCs w:val="16"/>
          <w:color w:val="auto"/>
        </w:rPr>
        <w:t>Chairman of the Board, President and Chief Executive Officer, The Hershey Company</w:t>
      </w:r>
    </w:p>
    <w:p>
      <w:pPr>
        <w:spacing w:after="0" w:line="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Chief Executive Officer, Pharmaceutical Segment, Cardinal Health, Inc.</w:t>
      </w:r>
    </w:p>
    <w:p>
      <w:pPr>
        <w:spacing w:after="0" w:line="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Former Executive Chairman and Chief Executive Officer, Tech Data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Former President, North America, Wm. Wrigley Jr.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Director, Hershey Trust Company; Member, Board of Managers, Milton Hershey School</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Chairman of the Board, Hershey Trust Company and Milton Hershey School</w:t>
      </w:r>
    </w:p>
    <w:p>
      <w:pPr>
        <w:spacing w:after="0" w:line="1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Former President, Global Marketing, Sales &amp; Innovation, Diageo PLC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TropicSport</w:t>
      </w:r>
    </w:p>
    <w:p>
      <w:pPr>
        <w:spacing w:after="0" w:line="3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Chief Information and Engineering Officer, United Parcel Service, Inc.</w:t>
      </w:r>
    </w:p>
    <w:p>
      <w:pPr>
        <w:spacing w:after="0" w:line="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Former Executive Vice President and Chief Financial Officer, Sleep Number Corporation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Arial" w:cs="Arial" w:eastAsia="Arial" w:hAnsi="Arial"/>
          <w:sz w:val="18"/>
          <w:szCs w:val="18"/>
          <w:color w:val="auto"/>
        </w:rPr>
        <w:t>Compensation+</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Executive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Finance &amp; Risk</w:t>
      </w:r>
    </w:p>
    <w:p>
      <w:pPr>
        <w:spacing w:after="0" w:line="4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Audit</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Governance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Audit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Compensation</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&amp; Risk</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Governance</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Compensation</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Executive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Governance+</w:t>
      </w:r>
    </w:p>
    <w:p>
      <w:pPr>
        <w:spacing w:after="0" w:line="4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Finance &amp; Risk</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Governance</w:t>
      </w:r>
    </w:p>
    <w:p>
      <w:pPr>
        <w:spacing w:after="0" w:line="4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Audit</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Compensation</w:t>
      </w:r>
    </w:p>
    <w:p>
      <w:pPr>
        <w:spacing w:after="0" w:line="4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Audit</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Executive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Finance &amp; Risk+</w:t>
      </w:r>
    </w:p>
    <w:p>
      <w:pPr>
        <w:spacing w:after="0" w:line="4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Audit****</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Executive</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Finance &amp; Risk****</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Governance</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Compensation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&amp; Risk</w:t>
      </w:r>
    </w:p>
    <w:p>
      <w:pPr>
        <w:spacing w:after="0" w:line="4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Audit</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Finance &amp; Risk</w:t>
      </w:r>
    </w:p>
    <w:p>
      <w:pPr>
        <w:spacing w:after="0" w:line="139" w:lineRule="exact"/>
        <w:rPr>
          <w:sz w:val="20"/>
          <w:szCs w:val="20"/>
          <w:color w:val="auto"/>
        </w:rPr>
      </w:pPr>
    </w:p>
    <w:p>
      <w:pPr>
        <w:sectPr>
          <w:pgSz w:w="11900" w:h="16838" w:orient="portrait"/>
          <w:cols w:equalWidth="0" w:num="4">
            <w:col w:w="3500" w:space="420"/>
            <w:col w:w="3820" w:space="600"/>
            <w:col w:w="380" w:space="720"/>
            <w:col w:w="1780"/>
          </w:cols>
          <w:pgMar w:left="320" w:top="886"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279" w:lineRule="exact"/>
        <w:rPr>
          <w:sz w:val="20"/>
          <w:szCs w:val="20"/>
          <w:color w:val="auto"/>
        </w:rPr>
      </w:pPr>
    </w:p>
    <w:p>
      <w:pPr>
        <w:ind w:left="760" w:right="6340" w:hanging="734"/>
        <w:spacing w:after="0" w:line="303" w:lineRule="auto"/>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Compensation = Compensation and Executive Organization Committee Finance &amp; Risk = Finance and Risk Management Committee</w:t>
      </w:r>
    </w:p>
    <w:p>
      <w:pPr>
        <w:spacing w:after="0" w:line="1" w:lineRule="exact"/>
        <w:rPr>
          <w:sz w:val="20"/>
          <w:szCs w:val="20"/>
          <w:color w:val="auto"/>
        </w:rPr>
      </w:pPr>
    </w:p>
    <w:p>
      <w:pPr>
        <w:ind w:left="760" w:hanging="734"/>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Chairman of the Board</w:t>
      </w:r>
    </w:p>
    <w:p>
      <w:pPr>
        <w:spacing w:after="0" w:line="55" w:lineRule="exact"/>
        <w:rPr>
          <w:rFonts w:ascii="Arial" w:cs="Arial" w:eastAsia="Arial" w:hAnsi="Arial"/>
          <w:sz w:val="14"/>
          <w:szCs w:val="14"/>
          <w:color w:val="auto"/>
        </w:rPr>
      </w:pPr>
    </w:p>
    <w:p>
      <w:pPr>
        <w:ind w:left="760" w:hanging="734"/>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55" w:lineRule="exact"/>
        <w:rPr>
          <w:rFonts w:ascii="Arial" w:cs="Arial" w:eastAsia="Arial" w:hAnsi="Arial"/>
          <w:sz w:val="14"/>
          <w:szCs w:val="14"/>
          <w:color w:val="auto"/>
        </w:rPr>
      </w:pPr>
    </w:p>
    <w:p>
      <w:pPr>
        <w:ind w:left="760" w:right="360" w:hanging="734"/>
        <w:spacing w:after="0" w:line="273"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Palmer, as our Lead Independent Director, is an ex-officio member of the Audit Committee, the Compensation and Executive Organization Committee and the Finance and Risk Management Committee</w:t>
      </w:r>
    </w:p>
    <w:p>
      <w:pPr>
        <w:spacing w:after="0" w:line="12" w:lineRule="exact"/>
        <w:rPr>
          <w:sz w:val="20"/>
          <w:szCs w:val="20"/>
          <w:color w:val="auto"/>
        </w:rPr>
      </w:pPr>
    </w:p>
    <w:p>
      <w:pPr>
        <w:ind w:left="760" w:hanging="734"/>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Committee Chair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86" w:right="359" w:bottom="1440" w:gutter="0" w:footer="0" w:header="0"/>
          <w:type w:val="continuous"/>
        </w:sectPr>
      </w:pPr>
    </w:p>
    <w:bookmarkStart w:id="5" w:name="page6"/>
    <w:bookmarkEnd w:id="5"/>
    <w:p>
      <w:pPr>
        <w:jc w:val="right"/>
        <w:ind w:right="2419"/>
        <w:spacing w:after="0"/>
        <w:rPr>
          <w:sz w:val="20"/>
          <w:szCs w:val="20"/>
          <w:color w:val="auto"/>
        </w:rPr>
      </w:pPr>
      <w:r>
        <w:rPr>
          <w:rFonts w:ascii="Arial" w:cs="Arial" w:eastAsia="Arial" w:hAnsi="Arial"/>
          <w:sz w:val="25"/>
          <w:szCs w:val="25"/>
          <w:b w:val="1"/>
          <w:bCs w:val="1"/>
          <w:color w:val="3F000B"/>
        </w:rPr>
        <w:t>GOVERNANCE HIGHLIGHTS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Composition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3F000B"/>
        </w:rPr>
        <w:t>Over 50% of director nominees are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157480</wp:posOffset>
            </wp:positionV>
            <wp:extent cx="5314950" cy="3000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49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20" w:type="dxa"/>
        <w:tblCellMar>
          <w:top w:w="0" w:type="dxa"/>
          <w:left w:w="0" w:type="dxa"/>
          <w:bottom w:w="0" w:type="dxa"/>
          <w:right w:w="0" w:type="dxa"/>
        </w:tblCellMar>
      </w:tblPr>
      <w:tr>
        <w:trPr>
          <w:trHeight w:val="236"/>
        </w:trPr>
        <w:tc>
          <w:tcPr>
            <w:tcW w:w="340" w:type="dxa"/>
            <w:vAlign w:val="bottom"/>
            <w:tcBorders>
              <w:top w:val="single" w:sz="8" w:color="3F000B"/>
              <w:bottom w:val="single" w:sz="8" w:color="3F000B"/>
            </w:tcBorders>
            <w:shd w:val="clear" w:color="auto" w:fill="3F000B"/>
          </w:tcPr>
          <w:p>
            <w:pPr>
              <w:spacing w:after="0"/>
              <w:rPr>
                <w:sz w:val="20"/>
                <w:szCs w:val="20"/>
                <w:color w:val="auto"/>
              </w:rPr>
            </w:pPr>
          </w:p>
        </w:tc>
        <w:tc>
          <w:tcPr>
            <w:tcW w:w="98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Female</w:t>
            </w:r>
          </w:p>
        </w:tc>
        <w:tc>
          <w:tcPr>
            <w:tcW w:w="340" w:type="dxa"/>
            <w:vAlign w:val="bottom"/>
            <w:tcBorders>
              <w:top w:val="single" w:sz="8" w:color="3F000B"/>
              <w:bottom w:val="single" w:sz="8" w:color="3F000B"/>
              <w:right w:val="single" w:sz="8" w:color="3F000B"/>
            </w:tcBorders>
            <w:shd w:val="clear" w:color="auto" w:fill="DADADA"/>
          </w:tcPr>
          <w:p>
            <w:pPr>
              <w:spacing w:after="0"/>
              <w:rPr>
                <w:sz w:val="20"/>
                <w:szCs w:val="20"/>
                <w:color w:val="auto"/>
              </w:rPr>
            </w:pPr>
          </w:p>
        </w:tc>
        <w:tc>
          <w:tcPr>
            <w:tcW w:w="1460" w:type="dxa"/>
            <w:vAlign w:val="bottom"/>
            <w:tcBorders>
              <w:right w:val="single" w:sz="8" w:color="3F000B"/>
            </w:tcBorders>
          </w:tcPr>
          <w:p>
            <w:pPr>
              <w:ind w:left="20"/>
              <w:spacing w:after="0"/>
              <w:rPr>
                <w:sz w:val="20"/>
                <w:szCs w:val="20"/>
                <w:color w:val="auto"/>
              </w:rPr>
            </w:pPr>
            <w:r>
              <w:rPr>
                <w:rFonts w:ascii="Arial" w:cs="Arial" w:eastAsia="Arial" w:hAnsi="Arial"/>
                <w:sz w:val="18"/>
                <w:szCs w:val="18"/>
                <w:color w:val="auto"/>
              </w:rPr>
              <w:t>Racial/Ethnic</w:t>
            </w:r>
          </w:p>
        </w:tc>
        <w:tc>
          <w:tcPr>
            <w:tcW w:w="320" w:type="dxa"/>
            <w:vAlign w:val="bottom"/>
            <w:tcBorders>
              <w:top w:val="single" w:sz="8" w:color="3F000B"/>
              <w:bottom w:val="single" w:sz="8" w:color="3F000B"/>
              <w:right w:val="single" w:sz="8" w:color="3F000B"/>
            </w:tcBorders>
            <w:shd w:val="clear" w:color="auto" w:fill="929292"/>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Non-Diverse</w:t>
            </w:r>
          </w:p>
        </w:tc>
        <w:tc>
          <w:tcPr>
            <w:tcW w:w="340" w:type="dxa"/>
            <w:vAlign w:val="bottom"/>
            <w:tcBorders>
              <w:top w:val="single" w:sz="8" w:color="3F000B"/>
              <w:bottom w:val="single" w:sz="8" w:color="3F000B"/>
            </w:tcBorders>
            <w:shd w:val="clear" w:color="auto" w:fill="3F000B"/>
          </w:tcPr>
          <w:p>
            <w:pPr>
              <w:spacing w:after="0"/>
              <w:rPr>
                <w:sz w:val="20"/>
                <w:szCs w:val="20"/>
                <w:color w:val="auto"/>
              </w:rPr>
            </w:pPr>
          </w:p>
        </w:tc>
        <w:tc>
          <w:tcPr>
            <w:tcW w:w="1060" w:type="dxa"/>
            <w:vAlign w:val="bottom"/>
            <w:tcBorders>
              <w:right w:val="single" w:sz="8" w:color="3F000B"/>
            </w:tcBorders>
          </w:tcPr>
          <w:p>
            <w:pPr>
              <w:jc w:val="right"/>
              <w:ind w:right="530"/>
              <w:spacing w:after="0"/>
              <w:rPr>
                <w:sz w:val="20"/>
                <w:szCs w:val="20"/>
                <w:color w:val="auto"/>
              </w:rPr>
            </w:pPr>
            <w:r>
              <w:rPr>
                <w:rFonts w:ascii="Arial" w:cs="Arial" w:eastAsia="Arial" w:hAnsi="Arial"/>
                <w:sz w:val="18"/>
                <w:szCs w:val="18"/>
                <w:color w:val="auto"/>
                <w:w w:val="91"/>
              </w:rPr>
              <w:t>50-59</w:t>
            </w:r>
          </w:p>
        </w:tc>
        <w:tc>
          <w:tcPr>
            <w:tcW w:w="320" w:type="dxa"/>
            <w:vAlign w:val="bottom"/>
            <w:tcBorders>
              <w:top w:val="single" w:sz="8" w:color="3F000B"/>
              <w:bottom w:val="single" w:sz="8" w:color="3F000B"/>
              <w:right w:val="single" w:sz="8" w:color="3F000B"/>
            </w:tcBorders>
            <w:shd w:val="clear" w:color="auto" w:fill="DADADA"/>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1"/>
              </w:rPr>
              <w:t>60-69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3F000B"/>
        </w:rPr>
        <w:t>Strong focus on board refreshment and independence</w:t>
      </w:r>
    </w:p>
    <w:p>
      <w:pPr>
        <w:spacing w:after="0" w:line="253" w:lineRule="exact"/>
        <w:rPr>
          <w:sz w:val="20"/>
          <w:szCs w:val="20"/>
          <w:color w:val="auto"/>
        </w:rPr>
      </w:pPr>
    </w:p>
    <w:p>
      <w:pPr>
        <w:ind w:left="4720"/>
        <w:spacing w:after="0"/>
        <w:rPr>
          <w:sz w:val="20"/>
          <w:szCs w:val="20"/>
          <w:color w:val="auto"/>
        </w:rPr>
      </w:pPr>
      <w:r>
        <w:rPr>
          <w:rFonts w:ascii="Arial" w:cs="Arial" w:eastAsia="Arial" w:hAnsi="Arial"/>
          <w:sz w:val="25"/>
          <w:szCs w:val="25"/>
          <w:b w:val="1"/>
          <w:bCs w:val="1"/>
          <w:color w:val="3F000B"/>
        </w:rPr>
        <w:t>Director Tenure</w:t>
      </w:r>
    </w:p>
    <w:p>
      <w:pPr>
        <w:spacing w:after="0" w:line="38" w:lineRule="exact"/>
        <w:rPr>
          <w:sz w:val="20"/>
          <w:szCs w:val="20"/>
          <w:color w:val="auto"/>
        </w:rPr>
      </w:pPr>
    </w:p>
    <w:p>
      <w:pPr>
        <w:ind w:left="4280"/>
        <w:spacing w:after="0"/>
        <w:rPr>
          <w:sz w:val="20"/>
          <w:szCs w:val="20"/>
          <w:color w:val="auto"/>
        </w:rPr>
      </w:pPr>
      <w:r>
        <w:rPr>
          <w:rFonts w:ascii="Arial" w:cs="Arial" w:eastAsia="Arial" w:hAnsi="Arial"/>
          <w:sz w:val="25"/>
          <w:szCs w:val="25"/>
          <w:b w:val="1"/>
          <w:bCs w:val="1"/>
          <w:color w:val="3F000B"/>
        </w:rPr>
        <w:t>Average Tenure: 5 Years</w:t>
      </w:r>
    </w:p>
    <w:p>
      <w:pPr>
        <w:spacing w:after="0" w:line="166"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 xml:space="preserve">0 - 2 Years </w:t>
      </w:r>
      <w:r>
        <w:rPr>
          <w:sz w:val="1"/>
          <w:szCs w:val="1"/>
          <w:color w:val="auto"/>
        </w:rPr>
        <w:drawing>
          <wp:inline distT="0" distB="0" distL="0" distR="0">
            <wp:extent cx="342900" cy="196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 cy="196850"/>
                    </a:xfrm>
                    <a:prstGeom prst="rect">
                      <a:avLst/>
                    </a:prstGeom>
                    <a:noFill/>
                    <a:ln>
                      <a:noFill/>
                    </a:ln>
                  </pic:spPr>
                </pic:pic>
              </a:graphicData>
            </a:graphic>
          </wp:inline>
        </w:drawing>
        <w:drawing>
          <wp:inline distT="0" distB="0" distL="0" distR="0">
            <wp:extent cx="171450" cy="196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196850"/>
                    </a:xfrm>
                    <a:prstGeom prst="rect">
                      <a:avLst/>
                    </a:prstGeom>
                    <a:noFill/>
                    <a:ln>
                      <a:noFill/>
                    </a:ln>
                  </pic:spPr>
                </pic:pic>
              </a:graphicData>
            </a:graphic>
          </wp:inline>
        </w:drawing>
      </w:r>
    </w:p>
    <w:p>
      <w:pPr>
        <w:spacing w:after="0" w:line="210"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 xml:space="preserve">3 - 6 Years </w:t>
      </w:r>
      <w:r>
        <w:rPr>
          <w:sz w:val="1"/>
          <w:szCs w:val="1"/>
          <w:color w:val="auto"/>
        </w:rPr>
        <w:drawing>
          <wp:inline distT="0" distB="0" distL="0" distR="0">
            <wp:extent cx="342900" cy="1968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 cy="196850"/>
                    </a:xfrm>
                    <a:prstGeom prst="rect">
                      <a:avLst/>
                    </a:prstGeom>
                    <a:noFill/>
                    <a:ln>
                      <a:noFill/>
                    </a:ln>
                  </pic:spPr>
                </pic:pic>
              </a:graphicData>
            </a:graphic>
          </wp:inline>
        </w:drawing>
        <w:drawing>
          <wp:inline distT="0" distB="0" distL="0" distR="0">
            <wp:extent cx="342900" cy="196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196850"/>
                    </a:xfrm>
                    <a:prstGeom prst="rect">
                      <a:avLst/>
                    </a:prstGeom>
                    <a:noFill/>
                    <a:ln>
                      <a:noFill/>
                    </a:ln>
                  </pic:spPr>
                </pic:pic>
              </a:graphicData>
            </a:graphic>
          </wp:inline>
        </w:drawing>
        <w:drawing>
          <wp:inline distT="0" distB="0" distL="0" distR="0">
            <wp:extent cx="171450" cy="196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96850"/>
                    </a:xfrm>
                    <a:prstGeom prst="rect">
                      <a:avLst/>
                    </a:prstGeom>
                    <a:noFill/>
                    <a:ln>
                      <a:noFill/>
                    </a:ln>
                  </pic:spPr>
                </pic:pic>
              </a:graphicData>
            </a:graphic>
          </wp:inline>
        </w:drawing>
      </w:r>
    </w:p>
    <w:p>
      <w:pPr>
        <w:spacing w:after="0" w:line="223"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 xml:space="preserve">7 - 10 Years </w:t>
      </w:r>
      <w:r>
        <w:rPr>
          <w:sz w:val="1"/>
          <w:szCs w:val="1"/>
          <w:color w:val="auto"/>
        </w:rPr>
        <w:drawing>
          <wp:inline distT="0" distB="0" distL="0" distR="0">
            <wp:extent cx="342900" cy="1968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196850"/>
                    </a:xfrm>
                    <a:prstGeom prst="rect">
                      <a:avLst/>
                    </a:prstGeom>
                    <a:noFill/>
                    <a:ln>
                      <a:noFill/>
                    </a:ln>
                  </pic:spPr>
                </pic:pic>
              </a:graphicData>
            </a:graphic>
          </wp:inline>
        </w:drawing>
        <w:drawing>
          <wp:inline distT="0" distB="0" distL="0" distR="0">
            <wp:extent cx="171450" cy="196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96850"/>
                    </a:xfrm>
                    <a:prstGeom prst="rect">
                      <a:avLst/>
                    </a:prstGeom>
                    <a:noFill/>
                    <a:ln>
                      <a:noFill/>
                    </a:ln>
                  </pic:spPr>
                </pic:pic>
              </a:graphicData>
            </a:graphic>
          </wp:inline>
        </w:drawing>
      </w:r>
    </w:p>
    <w:p>
      <w:pPr>
        <w:spacing w:after="0" w:line="223"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 xml:space="preserve">11+ Years </w:t>
      </w:r>
      <w:r>
        <w:rPr>
          <w:sz w:val="1"/>
          <w:szCs w:val="1"/>
          <w:color w:val="auto"/>
        </w:rPr>
        <w:drawing>
          <wp:inline distT="0" distB="0" distL="0" distR="0">
            <wp:extent cx="171450" cy="196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1968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356235</wp:posOffset>
            </wp:positionV>
            <wp:extent cx="2520315" cy="87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031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59"/>
        <w:spacing w:after="0"/>
        <w:rPr>
          <w:sz w:val="20"/>
          <w:szCs w:val="20"/>
          <w:color w:val="auto"/>
        </w:rPr>
      </w:pPr>
      <w:r>
        <w:rPr>
          <w:rFonts w:ascii="Arial" w:cs="Arial" w:eastAsia="Arial" w:hAnsi="Arial"/>
          <w:sz w:val="36"/>
          <w:szCs w:val="36"/>
          <w:b w:val="1"/>
          <w:bCs w:val="1"/>
          <w:color w:val="3F000B"/>
        </w:rPr>
        <w:t>11</w:t>
      </w:r>
    </w:p>
    <w:p>
      <w:pPr>
        <w:jc w:val="center"/>
        <w:ind w:right="1059"/>
        <w:spacing w:after="0" w:line="203" w:lineRule="auto"/>
        <w:rPr>
          <w:sz w:val="20"/>
          <w:szCs w:val="20"/>
          <w:color w:val="auto"/>
        </w:rPr>
      </w:pPr>
      <w:r>
        <w:rPr>
          <w:rFonts w:ascii="Arial" w:cs="Arial" w:eastAsia="Arial" w:hAnsi="Arial"/>
          <w:sz w:val="36"/>
          <w:szCs w:val="36"/>
          <w:b w:val="1"/>
          <w:bCs w:val="1"/>
          <w:color w:val="3F000B"/>
        </w:rPr>
        <w:t>Independent</w:t>
      </w:r>
    </w:p>
    <w:p>
      <w:pPr>
        <w:spacing w:after="0" w:line="1" w:lineRule="exact"/>
        <w:rPr>
          <w:sz w:val="20"/>
          <w:szCs w:val="20"/>
          <w:color w:val="auto"/>
        </w:rPr>
      </w:pPr>
    </w:p>
    <w:p>
      <w:pPr>
        <w:jc w:val="center"/>
        <w:ind w:right="1059"/>
        <w:spacing w:after="0"/>
        <w:rPr>
          <w:sz w:val="20"/>
          <w:szCs w:val="20"/>
          <w:color w:val="auto"/>
        </w:rPr>
      </w:pPr>
      <w:r>
        <w:rPr>
          <w:rFonts w:ascii="Arial" w:cs="Arial" w:eastAsia="Arial" w:hAnsi="Arial"/>
          <w:sz w:val="36"/>
          <w:szCs w:val="36"/>
          <w:b w:val="1"/>
          <w:bCs w:val="1"/>
          <w:color w:val="3F000B"/>
        </w:rPr>
        <w:t>Director Nominees</w:t>
      </w:r>
    </w:p>
    <w:p>
      <w:pPr>
        <w:sectPr>
          <w:pgSz w:w="11900" w:h="16838" w:orient="portrait"/>
          <w:cols w:equalWidth="0" w:num="1">
            <w:col w:w="10139"/>
          </w:cols>
          <w:pgMar w:left="320" w:top="9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39"/>
          </w:cols>
          <w:pgMar w:left="320" w:top="927" w:right="1440"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22"/>
          <w:szCs w:val="22"/>
          <w:b w:val="1"/>
          <w:bCs w:val="1"/>
          <w:color w:val="FFFFFF"/>
        </w:rPr>
        <w:t>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5" w:lineRule="exact"/>
        <w:rPr>
          <w:sz w:val="20"/>
          <w:szCs w:val="20"/>
          <w:color w:val="auto"/>
        </w:rPr>
      </w:pPr>
    </w:p>
    <w:p>
      <w:pPr>
        <w:ind w:right="160"/>
        <w:spacing w:after="0" w:line="315" w:lineRule="auto"/>
        <w:rPr>
          <w:sz w:val="20"/>
          <w:szCs w:val="20"/>
          <w:color w:val="auto"/>
        </w:rPr>
      </w:pPr>
      <w:r>
        <w:rPr>
          <w:rFonts w:ascii="Arial" w:cs="Arial" w:eastAsia="Arial" w:hAnsi="Arial"/>
          <w:sz w:val="25"/>
          <w:szCs w:val="25"/>
          <w:b w:val="1"/>
          <w:bCs w:val="1"/>
          <w:color w:val="3F000B"/>
        </w:rPr>
        <w:t>Director nominees have appropriate mix of experiences, skills, qualifications and backgrounds to drive strategy and risk oversight</w:t>
      </w:r>
    </w:p>
    <w:p>
      <w:pPr>
        <w:spacing w:after="0" w:line="151" w:lineRule="exact"/>
        <w:rPr>
          <w:sz w:val="20"/>
          <w:szCs w:val="20"/>
          <w:color w:val="auto"/>
        </w:rPr>
      </w:pPr>
    </w:p>
    <w:p>
      <w:pPr>
        <w:spacing w:after="0"/>
        <w:tabs>
          <w:tab w:leader="none" w:pos="2640" w:val="left"/>
        </w:tabs>
        <w:rPr>
          <w:sz w:val="20"/>
          <w:szCs w:val="20"/>
          <w:color w:val="auto"/>
        </w:rPr>
      </w:pPr>
      <w:r>
        <w:rPr>
          <w:rFonts w:ascii="Arial" w:cs="Arial" w:eastAsia="Arial" w:hAnsi="Arial"/>
          <w:sz w:val="22"/>
          <w:szCs w:val="22"/>
          <w:color w:val="auto"/>
        </w:rPr>
        <w:t>Risk Management</w:t>
      </w:r>
      <w:r>
        <w:rPr>
          <w:sz w:val="20"/>
          <w:szCs w:val="20"/>
          <w:color w:val="auto"/>
        </w:rPr>
        <w:tab/>
      </w:r>
      <w:r>
        <w:rPr>
          <w:rFonts w:ascii="Arial" w:cs="Arial" w:eastAsia="Arial" w:hAnsi="Arial"/>
          <w:sz w:val="19"/>
          <w:szCs w:val="19"/>
          <w:color w:val="auto"/>
        </w:rPr>
        <w:t>Operational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45770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5770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60" w:type="dxa"/>
            <w:vAlign w:val="bottom"/>
          </w:tcPr>
          <w:p>
            <w:pPr>
              <w:spacing w:after="0"/>
              <w:rPr>
                <w:sz w:val="20"/>
                <w:szCs w:val="20"/>
                <w:color w:val="auto"/>
              </w:rPr>
            </w:pPr>
            <w:r>
              <w:rPr>
                <w:rFonts w:ascii="Arial" w:cs="Arial" w:eastAsia="Arial" w:hAnsi="Arial"/>
                <w:sz w:val="22"/>
                <w:szCs w:val="22"/>
                <w:color w:val="auto"/>
              </w:rPr>
              <w:t>Innovation Experience</w:t>
            </w:r>
          </w:p>
        </w:tc>
        <w:tc>
          <w:tcPr>
            <w:tcW w:w="8520" w:type="dxa"/>
            <w:vAlign w:val="bottom"/>
            <w:gridSpan w:val="2"/>
          </w:tcPr>
          <w:p>
            <w:pPr>
              <w:ind w:left="240"/>
              <w:spacing w:after="0"/>
              <w:rPr>
                <w:sz w:val="20"/>
                <w:szCs w:val="20"/>
                <w:color w:val="auto"/>
              </w:rPr>
            </w:pPr>
            <w:r>
              <w:rPr>
                <w:rFonts w:ascii="Arial" w:cs="Arial" w:eastAsia="Arial" w:hAnsi="Arial"/>
                <w:sz w:val="22"/>
                <w:szCs w:val="22"/>
                <w:color w:val="auto"/>
              </w:rPr>
              <w:t>International Experience</w:t>
            </w:r>
          </w:p>
        </w:tc>
      </w:tr>
      <w:tr>
        <w:trPr>
          <w:trHeight w:val="918"/>
        </w:trPr>
        <w:tc>
          <w:tcPr>
            <w:tcW w:w="2660" w:type="dxa"/>
            <w:vAlign w:val="bottom"/>
          </w:tcPr>
          <w:p>
            <w:pPr>
              <w:spacing w:after="0"/>
              <w:rPr>
                <w:sz w:val="20"/>
                <w:szCs w:val="20"/>
                <w:color w:val="auto"/>
              </w:rPr>
            </w:pPr>
            <w:r>
              <w:rPr>
                <w:rFonts w:ascii="Arial" w:cs="Arial" w:eastAsia="Arial" w:hAnsi="Arial"/>
                <w:sz w:val="22"/>
                <w:szCs w:val="22"/>
                <w:color w:val="auto"/>
                <w:w w:val="95"/>
              </w:rPr>
              <w:t>Consumer Packaged Goods</w:t>
            </w:r>
          </w:p>
        </w:tc>
        <w:tc>
          <w:tcPr>
            <w:tcW w:w="4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22"/>
                <w:szCs w:val="22"/>
                <w:color w:val="auto"/>
              </w:rPr>
              <w:t>Financial/Investment Leadership</w:t>
            </w:r>
          </w:p>
        </w:tc>
      </w:tr>
      <w:tr>
        <w:trPr>
          <w:trHeight w:val="932"/>
        </w:trPr>
        <w:tc>
          <w:tcPr>
            <w:tcW w:w="2660" w:type="dxa"/>
            <w:vAlign w:val="bottom"/>
          </w:tcPr>
          <w:p>
            <w:pPr>
              <w:spacing w:after="0"/>
              <w:rPr>
                <w:sz w:val="20"/>
                <w:szCs w:val="20"/>
                <w:color w:val="auto"/>
              </w:rPr>
            </w:pPr>
            <w:r>
              <w:rPr>
                <w:rFonts w:ascii="Arial" w:cs="Arial" w:eastAsia="Arial" w:hAnsi="Arial"/>
                <w:sz w:val="22"/>
                <w:szCs w:val="22"/>
                <w:color w:val="auto"/>
              </w:rPr>
              <w:t>Mergers &amp; Acquisitions</w:t>
            </w:r>
          </w:p>
        </w:tc>
        <w:tc>
          <w:tcPr>
            <w:tcW w:w="420" w:type="dxa"/>
            <w:vAlign w:val="bottom"/>
          </w:tcPr>
          <w:p>
            <w:pPr>
              <w:spacing w:after="0"/>
              <w:rPr>
                <w:sz w:val="24"/>
                <w:szCs w:val="24"/>
                <w:color w:val="auto"/>
              </w:rPr>
            </w:pPr>
          </w:p>
        </w:tc>
        <w:tc>
          <w:tcPr>
            <w:tcW w:w="8100" w:type="dxa"/>
            <w:vAlign w:val="bottom"/>
          </w:tcPr>
          <w:p>
            <w:pPr>
              <w:ind w:left="80"/>
              <w:spacing w:after="0"/>
              <w:rPr>
                <w:sz w:val="20"/>
                <w:szCs w:val="20"/>
                <w:color w:val="auto"/>
              </w:rPr>
            </w:pPr>
            <w:r>
              <w:rPr>
                <w:rFonts w:ascii="Arial" w:cs="Arial" w:eastAsia="Arial" w:hAnsi="Arial"/>
                <w:sz w:val="22"/>
                <w:szCs w:val="22"/>
                <w:color w:val="auto"/>
              </w:rPr>
              <w:t>Technology Experience</w:t>
            </w:r>
          </w:p>
        </w:tc>
      </w:tr>
      <w:tr>
        <w:trPr>
          <w:trHeight w:val="931"/>
        </w:trPr>
        <w:tc>
          <w:tcPr>
            <w:tcW w:w="3080" w:type="dxa"/>
            <w:vAlign w:val="bottom"/>
            <w:gridSpan w:val="2"/>
          </w:tcPr>
          <w:p>
            <w:pPr>
              <w:spacing w:after="0"/>
              <w:rPr>
                <w:sz w:val="20"/>
                <w:szCs w:val="20"/>
                <w:color w:val="auto"/>
              </w:rPr>
            </w:pPr>
            <w:r>
              <w:rPr>
                <w:rFonts w:ascii="Arial" w:cs="Arial" w:eastAsia="Arial" w:hAnsi="Arial"/>
                <w:sz w:val="22"/>
                <w:szCs w:val="22"/>
                <w:color w:val="auto"/>
                <w:w w:val="92"/>
              </w:rPr>
              <w:t>Government Relations/Regulatory</w:t>
            </w:r>
          </w:p>
        </w:tc>
        <w:tc>
          <w:tcPr>
            <w:tcW w:w="8100" w:type="dxa"/>
            <w:vAlign w:val="bottom"/>
          </w:tcPr>
          <w:p>
            <w:pPr>
              <w:ind w:left="760"/>
              <w:spacing w:after="0"/>
              <w:rPr>
                <w:sz w:val="20"/>
                <w:szCs w:val="20"/>
                <w:color w:val="auto"/>
              </w:rPr>
            </w:pPr>
            <w:r>
              <w:rPr>
                <w:rFonts w:ascii="Arial" w:cs="Arial" w:eastAsia="Arial" w:hAnsi="Arial"/>
                <w:sz w:val="22"/>
                <w:szCs w:val="22"/>
                <w:color w:val="auto"/>
              </w:rPr>
              <w:t>Supply Chain</w:t>
            </w:r>
          </w:p>
        </w:tc>
      </w:tr>
      <w:tr>
        <w:trPr>
          <w:trHeight w:val="678"/>
        </w:trPr>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270"/>
        </w:trPr>
        <w:tc>
          <w:tcPr>
            <w:tcW w:w="2660" w:type="dxa"/>
            <w:vAlign w:val="bottom"/>
            <w:shd w:val="clear" w:color="auto" w:fill="3F000B"/>
          </w:tcPr>
          <w:p>
            <w:pPr>
              <w:ind w:left="20"/>
              <w:spacing w:after="0"/>
              <w:rPr>
                <w:sz w:val="20"/>
                <w:szCs w:val="20"/>
                <w:color w:val="auto"/>
              </w:rPr>
            </w:pPr>
            <w:r>
              <w:rPr>
                <w:rFonts w:ascii="Arial" w:cs="Arial" w:eastAsia="Arial" w:hAnsi="Arial"/>
                <w:sz w:val="22"/>
                <w:szCs w:val="22"/>
                <w:color w:val="FFFFFF"/>
              </w:rPr>
              <w:t>Corporate Governance</w:t>
            </w:r>
          </w:p>
        </w:tc>
        <w:tc>
          <w:tcPr>
            <w:tcW w:w="420" w:type="dxa"/>
            <w:vAlign w:val="bottom"/>
            <w:shd w:val="clear" w:color="auto" w:fill="3F000B"/>
          </w:tcPr>
          <w:p>
            <w:pPr>
              <w:spacing w:after="0"/>
              <w:rPr>
                <w:sz w:val="23"/>
                <w:szCs w:val="23"/>
                <w:color w:val="auto"/>
              </w:rPr>
            </w:pPr>
          </w:p>
        </w:tc>
        <w:tc>
          <w:tcPr>
            <w:tcW w:w="8100" w:type="dxa"/>
            <w:vAlign w:val="bottom"/>
            <w:shd w:val="clear" w:color="auto" w:fill="3F000B"/>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-2374265</wp:posOffset>
            </wp:positionV>
            <wp:extent cx="4568825"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6882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-1791335</wp:posOffset>
            </wp:positionV>
            <wp:extent cx="445770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5770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445770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5770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445770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57700"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115175" cy="1465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65580"/>
                    </a:xfrm>
                    <a:prstGeom prst="rect">
                      <a:avLst/>
                    </a:prstGeom>
                    <a:noFill/>
                  </pic:spPr>
                </pic:pic>
              </a:graphicData>
            </a:graphic>
          </wp:anchor>
        </w:drawing>
      </w:r>
    </w:p>
    <w:p>
      <w:pPr>
        <w:sectPr>
          <w:pgSz w:w="11900" w:h="16838" w:orient="portrait"/>
          <w:cols w:equalWidth="0" w:num="1">
            <w:col w:w="11180"/>
          </w:cols>
          <w:pgMar w:left="320" w:top="1125" w:right="3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Board Structure Ensures</w:t>
      </w:r>
    </w:p>
    <w:p>
      <w:pPr>
        <w:ind w:left="40"/>
        <w:spacing w:after="0"/>
        <w:rPr>
          <w:sz w:val="20"/>
          <w:szCs w:val="20"/>
          <w:color w:val="auto"/>
        </w:rPr>
      </w:pPr>
      <w:r>
        <w:rPr>
          <w:rFonts w:ascii="Arial" w:cs="Arial" w:eastAsia="Arial" w:hAnsi="Arial"/>
          <w:sz w:val="18"/>
          <w:szCs w:val="18"/>
          <w:color w:val="FFFFFF"/>
        </w:rPr>
        <w:t>Strong Oversight</w:t>
      </w:r>
    </w:p>
    <w:p>
      <w:pPr>
        <w:spacing w:after="0" w:line="169" w:lineRule="exact"/>
        <w:rPr>
          <w:sz w:val="20"/>
          <w:szCs w:val="20"/>
          <w:color w:val="auto"/>
        </w:rPr>
      </w:pPr>
    </w:p>
    <w:p>
      <w:pPr>
        <w:ind w:left="200" w:right="700" w:hanging="161"/>
        <w:spacing w:after="0" w:line="235"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Four standing independent Board committees</w:t>
      </w:r>
    </w:p>
    <w:p>
      <w:pPr>
        <w:ind w:left="200" w:hanging="161"/>
        <w:spacing w:after="0"/>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Strong Lead Independent Director position</w:t>
      </w:r>
    </w:p>
    <w:p>
      <w:pPr>
        <w:spacing w:after="0" w:line="45" w:lineRule="exact"/>
        <w:rPr>
          <w:rFonts w:ascii="Arial" w:cs="Arial" w:eastAsia="Arial" w:hAnsi="Arial"/>
          <w:sz w:val="16"/>
          <w:szCs w:val="16"/>
          <w:color w:val="auto"/>
        </w:rPr>
      </w:pPr>
    </w:p>
    <w:p>
      <w:pPr>
        <w:ind w:left="200" w:right="200" w:hanging="161"/>
        <w:spacing w:after="0" w:line="212"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meet separately at each</w:t>
      </w:r>
    </w:p>
    <w:p>
      <w:pPr>
        <w:ind w:left="200"/>
        <w:spacing w:after="0"/>
        <w:rPr>
          <w:rFonts w:ascii="Arial" w:cs="Arial" w:eastAsia="Arial" w:hAnsi="Arial"/>
          <w:sz w:val="18"/>
          <w:szCs w:val="18"/>
          <w:color w:val="auto"/>
        </w:rPr>
      </w:pPr>
      <w:r>
        <w:rPr>
          <w:rFonts w:ascii="Arial" w:cs="Arial" w:eastAsia="Arial" w:hAnsi="Arial"/>
          <w:sz w:val="18"/>
          <w:szCs w:val="18"/>
          <w:color w:val="auto"/>
        </w:rPr>
        <w:t>regularly-scheduled Board meeting</w:t>
      </w:r>
    </w:p>
    <w:p>
      <w:pPr>
        <w:spacing w:after="0" w:line="7" w:lineRule="exact"/>
        <w:rPr>
          <w:rFonts w:ascii="Arial" w:cs="Arial" w:eastAsia="Arial" w:hAnsi="Arial"/>
          <w:sz w:val="18"/>
          <w:szCs w:val="18"/>
          <w:color w:val="auto"/>
        </w:rPr>
      </w:pPr>
    </w:p>
    <w:p>
      <w:pPr>
        <w:ind w:left="200" w:hanging="161"/>
        <w:spacing w:after="0" w:line="257" w:lineRule="auto"/>
        <w:tabs>
          <w:tab w:leader="none" w:pos="1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Frequent Board and committee meetings to ensure awareness and alignment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7"/>
        <w:spacing w:after="0"/>
        <w:rPr>
          <w:sz w:val="20"/>
          <w:szCs w:val="20"/>
          <w:color w:val="auto"/>
        </w:rPr>
      </w:pPr>
      <w:r>
        <w:rPr>
          <w:rFonts w:ascii="Arial" w:cs="Arial" w:eastAsia="Arial" w:hAnsi="Arial"/>
          <w:sz w:val="18"/>
          <w:szCs w:val="18"/>
          <w:color w:val="FFFFFF"/>
        </w:rPr>
        <w:t>Policies and Practices</w:t>
      </w:r>
    </w:p>
    <w:p>
      <w:pPr>
        <w:ind w:left="7"/>
        <w:spacing w:after="0" w:line="203" w:lineRule="auto"/>
        <w:rPr>
          <w:sz w:val="20"/>
          <w:szCs w:val="20"/>
          <w:color w:val="auto"/>
        </w:rPr>
      </w:pPr>
      <w:r>
        <w:rPr>
          <w:rFonts w:ascii="Arial" w:cs="Arial" w:eastAsia="Arial" w:hAnsi="Arial"/>
          <w:sz w:val="18"/>
          <w:szCs w:val="18"/>
          <w:color w:val="FFFFFF"/>
        </w:rPr>
        <w:t>Align to High Corporate</w:t>
      </w:r>
    </w:p>
    <w:p>
      <w:pPr>
        <w:ind w:left="7"/>
        <w:spacing w:after="0"/>
        <w:rPr>
          <w:sz w:val="20"/>
          <w:szCs w:val="20"/>
          <w:color w:val="auto"/>
        </w:rPr>
      </w:pPr>
      <w:r>
        <w:rPr>
          <w:rFonts w:ascii="Arial" w:cs="Arial" w:eastAsia="Arial" w:hAnsi="Arial"/>
          <w:sz w:val="18"/>
          <w:szCs w:val="18"/>
          <w:color w:val="FFFFFF"/>
        </w:rPr>
        <w:t>Governance Standards</w:t>
      </w:r>
    </w:p>
    <w:p>
      <w:pPr>
        <w:spacing w:after="0" w:line="74" w:lineRule="exact"/>
        <w:rPr>
          <w:sz w:val="20"/>
          <w:szCs w:val="20"/>
          <w:color w:val="auto"/>
        </w:rPr>
      </w:pPr>
    </w:p>
    <w:p>
      <w:pPr>
        <w:ind w:left="167" w:hanging="167"/>
        <w:spacing w:after="0"/>
        <w:tabs>
          <w:tab w:leader="none" w:pos="1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directors elected annually</w:t>
      </w:r>
    </w:p>
    <w:p>
      <w:pPr>
        <w:spacing w:after="0" w:line="23" w:lineRule="exact"/>
        <w:rPr>
          <w:rFonts w:ascii="Arial" w:cs="Arial" w:eastAsia="Arial" w:hAnsi="Arial"/>
          <w:sz w:val="18"/>
          <w:szCs w:val="18"/>
          <w:color w:val="auto"/>
        </w:rPr>
      </w:pPr>
    </w:p>
    <w:p>
      <w:pPr>
        <w:ind w:left="167" w:hanging="167"/>
        <w:spacing w:after="0" w:line="234" w:lineRule="auto"/>
        <w:tabs>
          <w:tab w:leader="none" w:pos="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Highly qualified directors reflect broad mix of skills, experiences and attributes</w:t>
      </w:r>
    </w:p>
    <w:p>
      <w:pPr>
        <w:spacing w:after="0" w:line="1" w:lineRule="exact"/>
        <w:rPr>
          <w:rFonts w:ascii="Arial" w:cs="Arial" w:eastAsia="Arial" w:hAnsi="Arial"/>
          <w:sz w:val="18"/>
          <w:szCs w:val="18"/>
          <w:color w:val="auto"/>
        </w:rPr>
      </w:pPr>
    </w:p>
    <w:p>
      <w:pPr>
        <w:ind w:left="167" w:right="360" w:hanging="167"/>
        <w:spacing w:after="0" w:line="288" w:lineRule="auto"/>
        <w:tabs>
          <w:tab w:leader="none" w:pos="1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Active role in risk oversight, including separate risk management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FFFFFF"/>
        </w:rPr>
        <w:t>Strong Alignment with</w:t>
      </w:r>
    </w:p>
    <w:p>
      <w:pPr>
        <w:spacing w:after="0"/>
        <w:rPr>
          <w:sz w:val="20"/>
          <w:szCs w:val="20"/>
          <w:color w:val="auto"/>
        </w:rPr>
      </w:pPr>
      <w:r>
        <w:rPr>
          <w:rFonts w:ascii="Arial" w:cs="Arial" w:eastAsia="Arial" w:hAnsi="Arial"/>
          <w:sz w:val="18"/>
          <w:szCs w:val="18"/>
          <w:color w:val="FFFFFF"/>
        </w:rPr>
        <w:t>Stockholders’ Interests</w:t>
      </w:r>
    </w:p>
    <w:p>
      <w:pPr>
        <w:spacing w:after="0" w:line="169"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Strong clawback and anti-hedging policies</w:t>
      </w:r>
    </w:p>
    <w:p>
      <w:pPr>
        <w:spacing w:after="0" w:line="46" w:lineRule="exact"/>
        <w:rPr>
          <w:rFonts w:ascii="Arial" w:cs="Arial" w:eastAsia="Arial" w:hAnsi="Arial"/>
          <w:sz w:val="16"/>
          <w:szCs w:val="16"/>
          <w:color w:val="auto"/>
        </w:rPr>
      </w:pPr>
    </w:p>
    <w:p>
      <w:pPr>
        <w:ind w:left="160" w:hanging="152"/>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stock ownership requirements</w:t>
      </w:r>
    </w:p>
    <w:p>
      <w:pPr>
        <w:spacing w:after="0" w:line="45" w:lineRule="exact"/>
        <w:rPr>
          <w:rFonts w:ascii="Arial" w:cs="Arial" w:eastAsia="Arial" w:hAnsi="Arial"/>
          <w:sz w:val="16"/>
          <w:szCs w:val="16"/>
          <w:color w:val="auto"/>
        </w:rPr>
      </w:pPr>
    </w:p>
    <w:p>
      <w:pPr>
        <w:ind w:left="180" w:right="720" w:hanging="172"/>
        <w:spacing w:after="0" w:line="234" w:lineRule="auto"/>
        <w:tabs>
          <w:tab w:leader="none" w:pos="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advisory vote on executive compensation</w:t>
      </w:r>
    </w:p>
    <w:p>
      <w:pPr>
        <w:spacing w:after="0" w:line="1" w:lineRule="exact"/>
        <w:rPr>
          <w:rFonts w:ascii="Arial" w:cs="Arial" w:eastAsia="Arial" w:hAnsi="Arial"/>
          <w:sz w:val="18"/>
          <w:szCs w:val="18"/>
          <w:color w:val="auto"/>
        </w:rPr>
      </w:pPr>
    </w:p>
    <w:p>
      <w:pPr>
        <w:ind w:left="340" w:right="240" w:hanging="170"/>
        <w:spacing w:after="0" w:line="234" w:lineRule="auto"/>
        <w:tabs>
          <w:tab w:leader="none" w:pos="3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Greater than 90% stockholder approval every year</w:t>
      </w:r>
    </w:p>
    <w:p>
      <w:pPr>
        <w:spacing w:after="0" w:line="566" w:lineRule="exact"/>
        <w:rPr>
          <w:sz w:val="20"/>
          <w:szCs w:val="20"/>
          <w:color w:val="auto"/>
        </w:rPr>
      </w:pPr>
    </w:p>
    <w:p>
      <w:pPr>
        <w:sectPr>
          <w:pgSz w:w="11900" w:h="16838" w:orient="portrait"/>
          <w:cols w:equalWidth="0" w:num="3">
            <w:col w:w="3300" w:space="573"/>
            <w:col w:w="3307" w:space="600"/>
            <w:col w:w="3400"/>
          </w:cols>
          <w:pgMar w:left="320" w:top="1125" w:right="39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80"/>
          </w:cols>
          <w:pgMar w:left="320" w:top="1125" w:right="399" w:bottom="1440" w:gutter="0" w:footer="0" w:header="0"/>
          <w:type w:val="continuous"/>
        </w:sectPr>
      </w:pPr>
    </w:p>
    <w:bookmarkStart w:id="7" w:name="page8"/>
    <w:bookmarkEnd w:id="7"/>
    <w:p>
      <w:pPr>
        <w:jc w:val="center"/>
        <w:ind w:right="60"/>
        <w:spacing w:after="0"/>
        <w:rPr>
          <w:sz w:val="20"/>
          <w:szCs w:val="20"/>
          <w:color w:val="auto"/>
        </w:rPr>
      </w:pPr>
      <w:r>
        <w:rPr>
          <w:rFonts w:ascii="Arial" w:cs="Arial" w:eastAsia="Arial" w:hAnsi="Arial"/>
          <w:sz w:val="24"/>
          <w:szCs w:val="24"/>
          <w:b w:val="1"/>
          <w:bCs w:val="1"/>
          <w:color w:val="3F000B"/>
        </w:rPr>
        <w:t>COMPANY STRATEGY AND 2020 BUSINESS HIGHLIGHTS</w:t>
      </w:r>
    </w:p>
    <w:p>
      <w:pPr>
        <w:sectPr>
          <w:pgSz w:w="11900" w:h="16838" w:orient="portrait"/>
          <w:cols w:equalWidth="0" w:num="1">
            <w:col w:w="11000"/>
          </w:cols>
          <w:pgMar w:left="480" w:top="886" w:right="419" w:bottom="1440" w:gutter="0" w:footer="0" w:header="0"/>
        </w:sectPr>
      </w:pPr>
    </w:p>
    <w:p>
      <w:pPr>
        <w:spacing w:after="0" w:line="320" w:lineRule="exact"/>
        <w:rPr>
          <w:sz w:val="20"/>
          <w:szCs w:val="20"/>
          <w:color w:val="auto"/>
        </w:rPr>
      </w:pPr>
    </w:p>
    <w:p>
      <w:pPr>
        <w:ind w:left="2580"/>
        <w:spacing w:after="0"/>
        <w:rPr>
          <w:sz w:val="20"/>
          <w:szCs w:val="20"/>
          <w:color w:val="auto"/>
        </w:rPr>
      </w:pPr>
      <w:r>
        <w:rPr>
          <w:rFonts w:ascii="Arial" w:cs="Arial" w:eastAsia="Arial" w:hAnsi="Arial"/>
          <w:sz w:val="45"/>
          <w:szCs w:val="45"/>
          <w:b w:val="1"/>
          <w:bCs w:val="1"/>
          <w:color w:val="3F000B"/>
        </w:rPr>
        <w:t>16,880</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45"/>
          <w:szCs w:val="45"/>
          <w:b w:val="1"/>
          <w:bCs w:val="1"/>
          <w:color w:val="3F000B"/>
        </w:rPr>
        <w:t>$8.1B</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47"/>
          <w:szCs w:val="47"/>
          <w:b w:val="1"/>
          <w:bCs w:val="1"/>
          <w:color w:val="3F000B"/>
        </w:rPr>
        <w:t>90+</w:t>
      </w:r>
    </w:p>
    <w:p>
      <w:pPr>
        <w:spacing w:after="0" w:line="111" w:lineRule="exact"/>
        <w:rPr>
          <w:sz w:val="20"/>
          <w:szCs w:val="20"/>
          <w:color w:val="auto"/>
        </w:rPr>
      </w:pPr>
    </w:p>
    <w:p>
      <w:pPr>
        <w:sectPr>
          <w:pgSz w:w="11900" w:h="16838" w:orient="portrait"/>
          <w:cols w:equalWidth="0" w:num="3">
            <w:col w:w="4120" w:space="720"/>
            <w:col w:w="1680" w:space="720"/>
            <w:col w:w="3760"/>
          </w:cols>
          <w:pgMar w:left="480" w:top="886" w:right="419" w:bottom="1440" w:gutter="0" w:footer="0" w:header="0"/>
          <w:type w:val="continuous"/>
        </w:sectPr>
      </w:pPr>
    </w:p>
    <w:p>
      <w:pPr>
        <w:ind w:left="2240"/>
        <w:spacing w:after="0"/>
        <w:tabs>
          <w:tab w:leader="none" w:pos="4440" w:val="left"/>
        </w:tabs>
        <w:rPr>
          <w:sz w:val="20"/>
          <w:szCs w:val="20"/>
          <w:color w:val="auto"/>
        </w:rPr>
      </w:pPr>
      <w:r>
        <w:rPr>
          <w:rFonts w:ascii="Arial" w:cs="Arial" w:eastAsia="Arial" w:hAnsi="Arial"/>
          <w:sz w:val="18"/>
          <w:szCs w:val="18"/>
          <w:color w:val="3F000B"/>
        </w:rPr>
        <w:t>EMPLOYEES GLOBALLY</w:t>
      </w:r>
      <w:r>
        <w:rPr>
          <w:sz w:val="20"/>
          <w:szCs w:val="20"/>
          <w:color w:val="auto"/>
        </w:rPr>
        <w:tab/>
      </w:r>
      <w:r>
        <w:rPr>
          <w:rFonts w:ascii="Arial" w:cs="Arial" w:eastAsia="Arial" w:hAnsi="Arial"/>
          <w:sz w:val="17"/>
          <w:szCs w:val="17"/>
          <w:color w:val="3F000B"/>
        </w:rPr>
        <w:t>IN ANNUAL REVENUES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3F000B"/>
        </w:rPr>
        <w:t>BRANDS</w:t>
      </w:r>
    </w:p>
    <w:p>
      <w:pPr>
        <w:spacing w:after="0" w:line="203" w:lineRule="exact"/>
        <w:rPr>
          <w:sz w:val="20"/>
          <w:szCs w:val="20"/>
          <w:color w:val="auto"/>
        </w:rPr>
      </w:pPr>
    </w:p>
    <w:p>
      <w:pPr>
        <w:sectPr>
          <w:pgSz w:w="11900" w:h="16838" w:orient="portrait"/>
          <w:cols w:equalWidth="0" w:num="2">
            <w:col w:w="6560" w:space="720"/>
            <w:col w:w="3720"/>
          </w:cols>
          <w:pgMar w:left="480" w:top="886" w:right="419" w:bottom="1440" w:gutter="0" w:footer="0" w:header="0"/>
          <w:type w:val="continuous"/>
        </w:sectPr>
      </w:pPr>
    </w:p>
    <w:p>
      <w:pPr>
        <w:spacing w:after="0" w:line="128"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FFFFFF"/>
        </w:rPr>
        <w:t>Our vision is to be an innovative snacking powerhouse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-167640</wp:posOffset>
            </wp:positionV>
            <wp:extent cx="697801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78015" cy="188595"/>
                    </a:xfrm>
                    <a:prstGeom prst="rect">
                      <a:avLst/>
                    </a:prstGeom>
                    <a:noFill/>
                  </pic:spPr>
                </pic:pic>
              </a:graphicData>
            </a:graphic>
          </wp:anchor>
        </w:drawing>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3F000B"/>
        </w:rPr>
        <w:t>We are focused on four strategic imperatives to ensure the Company’s success now and in the future: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60" w:type="dxa"/>
            <w:vAlign w:val="bottom"/>
          </w:tcPr>
          <w:p>
            <w:pPr>
              <w:jc w:val="center"/>
              <w:ind w:left="10"/>
              <w:spacing w:after="0"/>
              <w:rPr>
                <w:sz w:val="20"/>
                <w:szCs w:val="20"/>
                <w:color w:val="auto"/>
              </w:rPr>
            </w:pPr>
            <w:r>
              <w:rPr>
                <w:rFonts w:ascii="Arial" w:cs="Arial" w:eastAsia="Arial" w:hAnsi="Arial"/>
                <w:sz w:val="18"/>
                <w:szCs w:val="18"/>
                <w:color w:val="auto"/>
                <w:w w:val="89"/>
              </w:rPr>
              <w:t>Responsibly manage our operations to</w:t>
            </w:r>
          </w:p>
        </w:tc>
        <w:tc>
          <w:tcPr>
            <w:tcW w:w="0" w:type="dxa"/>
            <w:vAlign w:val="bottom"/>
          </w:tcPr>
          <w:p>
            <w:pPr>
              <w:spacing w:after="0"/>
              <w:rPr>
                <w:sz w:val="1"/>
                <w:szCs w:val="1"/>
                <w:color w:val="auto"/>
              </w:rPr>
            </w:pPr>
          </w:p>
        </w:tc>
      </w:tr>
      <w:tr>
        <w:trPr>
          <w:trHeight w:val="216"/>
        </w:trPr>
        <w:tc>
          <w:tcPr>
            <w:tcW w:w="268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Drive core confection business and</w:t>
            </w: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3"/>
              </w:rPr>
              <w:t>Deliver profitable, international</w:t>
            </w:r>
          </w:p>
        </w:tc>
        <w:tc>
          <w:tcPr>
            <w:tcW w:w="2700" w:type="dxa"/>
            <w:vAlign w:val="bottom"/>
            <w:vMerge w:val="restart"/>
          </w:tcPr>
          <w:p>
            <w:pPr>
              <w:jc w:val="center"/>
              <w:spacing w:after="0"/>
              <w:rPr>
                <w:sz w:val="20"/>
                <w:szCs w:val="20"/>
                <w:color w:val="auto"/>
              </w:rPr>
            </w:pPr>
            <w:r>
              <w:rPr>
                <w:rFonts w:ascii="Arial" w:cs="Arial" w:eastAsia="Arial" w:hAnsi="Arial"/>
                <w:sz w:val="18"/>
                <w:szCs w:val="18"/>
                <w:color w:val="auto"/>
                <w:w w:val="90"/>
              </w:rPr>
              <w:t>Expand competitive advantage</w:t>
            </w:r>
          </w:p>
        </w:tc>
        <w:tc>
          <w:tcPr>
            <w:tcW w:w="2860" w:type="dxa"/>
            <w:vAlign w:val="bottom"/>
          </w:tcPr>
          <w:p>
            <w:pPr>
              <w:jc w:val="center"/>
              <w:ind w:left="10"/>
              <w:spacing w:after="0"/>
              <w:rPr>
                <w:sz w:val="20"/>
                <w:szCs w:val="20"/>
                <w:color w:val="auto"/>
              </w:rPr>
            </w:pPr>
            <w:r>
              <w:rPr>
                <w:rFonts w:ascii="Arial" w:cs="Arial" w:eastAsia="Arial" w:hAnsi="Arial"/>
                <w:sz w:val="18"/>
                <w:szCs w:val="18"/>
                <w:color w:val="auto"/>
                <w:w w:val="84"/>
              </w:rPr>
              <w:t>ensure the</w:t>
            </w:r>
          </w:p>
        </w:tc>
        <w:tc>
          <w:tcPr>
            <w:tcW w:w="0" w:type="dxa"/>
            <w:vAlign w:val="bottom"/>
          </w:tcPr>
          <w:p>
            <w:pPr>
              <w:spacing w:after="0"/>
              <w:rPr>
                <w:sz w:val="1"/>
                <w:szCs w:val="1"/>
                <w:color w:val="auto"/>
              </w:rPr>
            </w:pPr>
          </w:p>
        </w:tc>
      </w:tr>
      <w:tr>
        <w:trPr>
          <w:trHeight w:val="108"/>
        </w:trPr>
        <w:tc>
          <w:tcPr>
            <w:tcW w:w="2680" w:type="dxa"/>
            <w:vAlign w:val="bottom"/>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2860" w:type="dxa"/>
            <w:vAlign w:val="bottom"/>
            <w:vMerge w:val="restart"/>
          </w:tcPr>
          <w:p>
            <w:pPr>
              <w:jc w:val="center"/>
              <w:ind w:left="10"/>
              <w:spacing w:after="0"/>
              <w:rPr>
                <w:sz w:val="20"/>
                <w:szCs w:val="20"/>
                <w:color w:val="auto"/>
              </w:rPr>
            </w:pPr>
            <w:r>
              <w:rPr>
                <w:rFonts w:ascii="Arial" w:cs="Arial" w:eastAsia="Arial" w:hAnsi="Arial"/>
                <w:sz w:val="18"/>
                <w:szCs w:val="18"/>
                <w:color w:val="auto"/>
                <w:w w:val="93"/>
              </w:rPr>
              <w:t>long-term sustainability</w:t>
            </w:r>
          </w:p>
        </w:tc>
        <w:tc>
          <w:tcPr>
            <w:tcW w:w="0" w:type="dxa"/>
            <w:vAlign w:val="bottom"/>
          </w:tcPr>
          <w:p>
            <w:pPr>
              <w:spacing w:after="0"/>
              <w:rPr>
                <w:sz w:val="1"/>
                <w:szCs w:val="1"/>
                <w:color w:val="auto"/>
              </w:rPr>
            </w:pPr>
          </w:p>
        </w:tc>
      </w:tr>
      <w:tr>
        <w:trPr>
          <w:trHeight w:val="108"/>
        </w:trPr>
        <w:tc>
          <w:tcPr>
            <w:tcW w:w="26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broaden participation in snacking</w:t>
            </w: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2"/>
              </w:rPr>
              <w:t>growth</w:t>
            </w:r>
          </w:p>
        </w:tc>
        <w:tc>
          <w:tcPr>
            <w:tcW w:w="2700" w:type="dxa"/>
            <w:vAlign w:val="bottom"/>
            <w:vMerge w:val="restart"/>
          </w:tcPr>
          <w:p>
            <w:pPr>
              <w:jc w:val="center"/>
              <w:spacing w:after="0"/>
              <w:rPr>
                <w:sz w:val="20"/>
                <w:szCs w:val="20"/>
                <w:color w:val="auto"/>
              </w:rPr>
            </w:pPr>
            <w:r>
              <w:rPr>
                <w:rFonts w:ascii="Arial" w:cs="Arial" w:eastAsia="Arial" w:hAnsi="Arial"/>
                <w:sz w:val="18"/>
                <w:szCs w:val="18"/>
                <w:color w:val="auto"/>
                <w:w w:val="92"/>
              </w:rPr>
              <w:t>through differentiated capabilities</w:t>
            </w: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8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2860" w:type="dxa"/>
            <w:vAlign w:val="bottom"/>
            <w:vMerge w:val="restart"/>
          </w:tcPr>
          <w:p>
            <w:pPr>
              <w:jc w:val="center"/>
              <w:ind w:left="10"/>
              <w:spacing w:after="0"/>
              <w:rPr>
                <w:sz w:val="20"/>
                <w:szCs w:val="20"/>
                <w:color w:val="auto"/>
              </w:rPr>
            </w:pPr>
            <w:r>
              <w:rPr>
                <w:rFonts w:ascii="Arial" w:cs="Arial" w:eastAsia="Arial" w:hAnsi="Arial"/>
                <w:sz w:val="18"/>
                <w:szCs w:val="18"/>
                <w:color w:val="auto"/>
                <w:w w:val="90"/>
              </w:rPr>
              <w:t>of our business, our planet</w:t>
            </w:r>
          </w:p>
        </w:tc>
        <w:tc>
          <w:tcPr>
            <w:tcW w:w="0" w:type="dxa"/>
            <w:vAlign w:val="bottom"/>
          </w:tcPr>
          <w:p>
            <w:pPr>
              <w:spacing w:after="0"/>
              <w:rPr>
                <w:sz w:val="1"/>
                <w:szCs w:val="1"/>
                <w:color w:val="auto"/>
              </w:rPr>
            </w:pPr>
          </w:p>
        </w:tc>
      </w:tr>
      <w:tr>
        <w:trPr>
          <w:trHeight w:val="94"/>
        </w:trPr>
        <w:tc>
          <w:tcPr>
            <w:tcW w:w="26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60" w:type="dxa"/>
            <w:vAlign w:val="bottom"/>
          </w:tcPr>
          <w:p>
            <w:pPr>
              <w:jc w:val="center"/>
              <w:ind w:left="10"/>
              <w:spacing w:after="0"/>
              <w:rPr>
                <w:sz w:val="20"/>
                <w:szCs w:val="20"/>
                <w:color w:val="auto"/>
              </w:rPr>
            </w:pPr>
            <w:r>
              <w:rPr>
                <w:rFonts w:ascii="Arial" w:cs="Arial" w:eastAsia="Arial" w:hAnsi="Arial"/>
                <w:sz w:val="18"/>
                <w:szCs w:val="18"/>
                <w:color w:val="auto"/>
                <w:w w:val="89"/>
              </w:rPr>
              <w:t>and our people</w:t>
            </w:r>
          </w:p>
        </w:tc>
        <w:tc>
          <w:tcPr>
            <w:tcW w:w="0" w:type="dxa"/>
            <w:vAlign w:val="bottom"/>
          </w:tcPr>
          <w:p>
            <w:pPr>
              <w:spacing w:after="0"/>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760" w:type="dxa"/>
            <w:vAlign w:val="bottom"/>
            <w:shd w:val="clear" w:color="auto" w:fill="3F000B"/>
          </w:tcPr>
          <w:p>
            <w:pPr>
              <w:spacing w:after="0"/>
              <w:rPr>
                <w:sz w:val="24"/>
                <w:szCs w:val="24"/>
                <w:color w:val="auto"/>
              </w:rPr>
            </w:pPr>
          </w:p>
        </w:tc>
        <w:tc>
          <w:tcPr>
            <w:tcW w:w="7180" w:type="dxa"/>
            <w:vAlign w:val="bottom"/>
            <w:shd w:val="clear" w:color="auto" w:fill="3F000B"/>
          </w:tcPr>
          <w:p>
            <w:pPr>
              <w:ind w:left="140"/>
              <w:spacing w:after="0"/>
              <w:rPr>
                <w:sz w:val="20"/>
                <w:szCs w:val="20"/>
                <w:color w:val="auto"/>
              </w:rPr>
            </w:pPr>
            <w:r>
              <w:rPr>
                <w:rFonts w:ascii="Arial" w:cs="Arial" w:eastAsia="Arial" w:hAnsi="Arial"/>
                <w:sz w:val="25"/>
                <w:szCs w:val="25"/>
                <w:b w:val="1"/>
                <w:bCs w:val="1"/>
                <w:color w:val="FFFFFF"/>
              </w:rPr>
              <w:t>2020 Performance Highlights</w:t>
            </w:r>
          </w:p>
        </w:tc>
        <w:tc>
          <w:tcPr>
            <w:tcW w:w="0" w:type="dxa"/>
            <w:vAlign w:val="bottom"/>
          </w:tcPr>
          <w:p>
            <w:pPr>
              <w:spacing w:after="0"/>
              <w:rPr>
                <w:sz w:val="1"/>
                <w:szCs w:val="1"/>
                <w:color w:val="auto"/>
              </w:rPr>
            </w:pPr>
          </w:p>
        </w:tc>
      </w:tr>
      <w:tr>
        <w:trPr>
          <w:trHeight w:val="566"/>
        </w:trPr>
        <w:tc>
          <w:tcPr>
            <w:tcW w:w="3760" w:type="dxa"/>
            <w:vAlign w:val="bottom"/>
          </w:tcPr>
          <w:p>
            <w:pPr>
              <w:jc w:val="right"/>
              <w:ind w:right="289"/>
              <w:spacing w:after="0" w:line="566" w:lineRule="exact"/>
              <w:rPr>
                <w:sz w:val="20"/>
                <w:szCs w:val="20"/>
                <w:color w:val="auto"/>
              </w:rPr>
            </w:pPr>
            <w:r>
              <w:rPr>
                <w:rFonts w:ascii="Arial" w:cs="Arial" w:eastAsia="Arial" w:hAnsi="Arial"/>
                <w:sz w:val="50"/>
                <w:szCs w:val="50"/>
                <w:b w:val="1"/>
                <w:bCs w:val="1"/>
                <w:color w:val="3F000B"/>
              </w:rPr>
              <w:t>2.0%</w:t>
            </w:r>
          </w:p>
        </w:tc>
        <w:tc>
          <w:tcPr>
            <w:tcW w:w="7180" w:type="dxa"/>
            <w:vAlign w:val="bottom"/>
          </w:tcPr>
          <w:p>
            <w:pPr>
              <w:jc w:val="center"/>
              <w:ind w:left="1541"/>
              <w:spacing w:after="0" w:line="566" w:lineRule="exact"/>
              <w:rPr>
                <w:sz w:val="20"/>
                <w:szCs w:val="20"/>
                <w:color w:val="auto"/>
              </w:rPr>
            </w:pPr>
            <w:r>
              <w:rPr>
                <w:rFonts w:ascii="Arial" w:cs="Arial" w:eastAsia="Arial" w:hAnsi="Arial"/>
                <w:sz w:val="50"/>
                <w:szCs w:val="50"/>
                <w:b w:val="1"/>
                <w:bCs w:val="1"/>
                <w:color w:val="3F000B"/>
                <w:w w:val="99"/>
              </w:rPr>
              <w:t>8.8%</w:t>
            </w:r>
          </w:p>
        </w:tc>
        <w:tc>
          <w:tcPr>
            <w:tcW w:w="0" w:type="dxa"/>
            <w:vAlign w:val="bottom"/>
          </w:tcPr>
          <w:p>
            <w:pPr>
              <w:spacing w:after="0"/>
              <w:rPr>
                <w:sz w:val="1"/>
                <w:szCs w:val="1"/>
                <w:color w:val="auto"/>
              </w:rPr>
            </w:pPr>
          </w:p>
        </w:tc>
      </w:tr>
      <w:tr>
        <w:trPr>
          <w:trHeight w:val="211"/>
        </w:trPr>
        <w:tc>
          <w:tcPr>
            <w:tcW w:w="3760" w:type="dxa"/>
            <w:vAlign w:val="bottom"/>
            <w:vMerge w:val="restart"/>
          </w:tcPr>
          <w:p>
            <w:pPr>
              <w:jc w:val="center"/>
              <w:ind w:left="1529"/>
              <w:spacing w:after="0"/>
              <w:rPr>
                <w:sz w:val="20"/>
                <w:szCs w:val="20"/>
                <w:color w:val="auto"/>
              </w:rPr>
            </w:pPr>
            <w:r>
              <w:rPr>
                <w:rFonts w:ascii="Arial" w:cs="Arial" w:eastAsia="Arial" w:hAnsi="Arial"/>
                <w:sz w:val="18"/>
                <w:szCs w:val="18"/>
                <w:color w:val="3F000B"/>
                <w:w w:val="95"/>
              </w:rPr>
              <w:t>NET SALES GROWTH</w:t>
            </w:r>
          </w:p>
        </w:tc>
        <w:tc>
          <w:tcPr>
            <w:tcW w:w="7180" w:type="dxa"/>
            <w:vAlign w:val="bottom"/>
          </w:tcPr>
          <w:p>
            <w:pPr>
              <w:jc w:val="center"/>
              <w:ind w:left="1561"/>
              <w:spacing w:after="0"/>
              <w:rPr>
                <w:sz w:val="20"/>
                <w:szCs w:val="20"/>
                <w:color w:val="auto"/>
              </w:rPr>
            </w:pPr>
            <w:r>
              <w:rPr>
                <w:rFonts w:ascii="Arial" w:cs="Arial" w:eastAsia="Arial" w:hAnsi="Arial"/>
                <w:sz w:val="18"/>
                <w:szCs w:val="18"/>
                <w:color w:val="3F000B"/>
                <w:w w:val="94"/>
              </w:rPr>
              <w:t>ADJUSTED EARNINGS PER</w:t>
            </w:r>
          </w:p>
        </w:tc>
        <w:tc>
          <w:tcPr>
            <w:tcW w:w="0" w:type="dxa"/>
            <w:vAlign w:val="bottom"/>
          </w:tcPr>
          <w:p>
            <w:pPr>
              <w:spacing w:after="0"/>
              <w:rPr>
                <w:sz w:val="1"/>
                <w:szCs w:val="1"/>
                <w:color w:val="auto"/>
              </w:rPr>
            </w:pPr>
          </w:p>
        </w:tc>
      </w:tr>
      <w:tr>
        <w:trPr>
          <w:trHeight w:val="128"/>
        </w:trPr>
        <w:tc>
          <w:tcPr>
            <w:tcW w:w="3760" w:type="dxa"/>
            <w:vAlign w:val="bottom"/>
            <w:vMerge w:val="continue"/>
          </w:tcPr>
          <w:p>
            <w:pPr>
              <w:spacing w:after="0"/>
              <w:rPr>
                <w:sz w:val="11"/>
                <w:szCs w:val="11"/>
                <w:color w:val="auto"/>
              </w:rPr>
            </w:pPr>
          </w:p>
        </w:tc>
        <w:tc>
          <w:tcPr>
            <w:tcW w:w="7180" w:type="dxa"/>
            <w:vAlign w:val="bottom"/>
            <w:vMerge w:val="restart"/>
          </w:tcPr>
          <w:p>
            <w:pPr>
              <w:jc w:val="center"/>
              <w:ind w:left="1561"/>
              <w:spacing w:after="0"/>
              <w:rPr>
                <w:sz w:val="20"/>
                <w:szCs w:val="20"/>
                <w:color w:val="auto"/>
              </w:rPr>
            </w:pPr>
            <w:r>
              <w:rPr>
                <w:rFonts w:ascii="Arial" w:cs="Arial" w:eastAsia="Arial" w:hAnsi="Arial"/>
                <w:sz w:val="18"/>
                <w:szCs w:val="18"/>
                <w:color w:val="3F000B"/>
                <w:w w:val="95"/>
              </w:rPr>
              <w:t>SHARE-DILUTED GROWTH</w:t>
            </w:r>
            <w:r>
              <w:rPr>
                <w:rFonts w:ascii="Arial" w:cs="Arial" w:eastAsia="Arial" w:hAnsi="Arial"/>
                <w:sz w:val="23"/>
                <w:szCs w:val="23"/>
                <w:color w:val="3F000B"/>
                <w:w w:val="95"/>
                <w:vertAlign w:val="superscript"/>
              </w:rPr>
              <w:t>(1)</w:t>
            </w: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7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FFFFFF"/>
        </w:rPr>
        <w:t>Over the last three years, we have delivered advantaged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-156845</wp:posOffset>
            </wp:positionV>
            <wp:extent cx="703770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34290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25"/>
          <w:szCs w:val="25"/>
          <w:b w:val="1"/>
          <w:bCs w:val="1"/>
          <w:color w:val="FFFFFF"/>
        </w:rPr>
        <w:t>Total Shareholder Return versus our peer group</w:t>
      </w: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3F000B"/>
        </w:rPr>
        <w:t>Total Shareholder Return</w:t>
      </w:r>
    </w:p>
    <w:p>
      <w:pPr>
        <w:jc w:val="center"/>
        <w:ind w:right="80"/>
        <w:spacing w:after="0"/>
        <w:rPr>
          <w:sz w:val="20"/>
          <w:szCs w:val="20"/>
          <w:color w:val="auto"/>
        </w:rPr>
      </w:pPr>
      <w:r>
        <w:rPr>
          <w:rFonts w:ascii="Arial" w:cs="Arial" w:eastAsia="Arial" w:hAnsi="Arial"/>
          <w:sz w:val="18"/>
          <w:szCs w:val="18"/>
          <w:b w:val="1"/>
          <w:bCs w:val="1"/>
          <w:color w:val="3F000B"/>
        </w:rPr>
        <w:t>December Average 2017 through December Average 2020</w:t>
      </w:r>
      <w:r>
        <w:rPr>
          <w:rFonts w:ascii="Arial" w:cs="Arial" w:eastAsia="Arial" w:hAnsi="Arial"/>
          <w:sz w:val="23"/>
          <w:szCs w:val="23"/>
          <w:b w:val="1"/>
          <w:bCs w:val="1"/>
          <w:color w:val="3F000B"/>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27940</wp:posOffset>
            </wp:positionV>
            <wp:extent cx="4020185" cy="1482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2018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0" w:right="20" w:hanging="330"/>
        <w:spacing w:after="0" w:line="268" w:lineRule="auto"/>
        <w:tabs>
          <w:tab w:leader="none" w:pos="332" w:val="left"/>
        </w:tabs>
        <w:numPr>
          <w:ilvl w:val="0"/>
          <w:numId w:val="16"/>
        </w:numPr>
        <w:rPr>
          <w:rFonts w:ascii="Arial" w:cs="Arial" w:eastAsia="Arial" w:hAnsi="Arial"/>
          <w:sz w:val="13"/>
          <w:szCs w:val="13"/>
          <w:color w:val="auto"/>
        </w:rPr>
      </w:pPr>
      <w:r>
        <w:rPr>
          <w:rFonts w:ascii="Arial" w:cs="Arial" w:eastAsia="Arial" w:hAnsi="Arial"/>
          <w:sz w:val="13"/>
          <w:szCs w:val="13"/>
          <w:color w:val="auto"/>
        </w:rPr>
        <w:t>While we report our financial results in accordance with U.S. generally accepted accounting principles (“GAAP”), we also use non-GAAP financial measures in order to provide additional information to investors to facilitate the comparison of past and present performance. Some of the financial targets under our short- and long-term incentive programs are also based on non-GAAP financial measures. Non-GAAP financial measures are used by management in evaluating results of operations internally and in assessing the impact of known trends and uncertainties on our business, but they are not intended to replace the presentation of financial results in accordance with GAAP. Adjusted earnings per share-diluted is a non-GAAP financial measure. We define adjusted earnings per share-diluted as diluted earnings per share of the Company’s common stock (“Common Stock”), excluding costs associated with business realignment activities, acquisition-related costs and benefits, long-lived and intangible asset impairment charges, gains and losses associated with mark-to-market commodity derivatives, pension settlement charges relating to Company-directed initiatives and an adjustment to a reserve associated with a prior year facility closure.</w:t>
      </w:r>
    </w:p>
    <w:p>
      <w:pPr>
        <w:spacing w:after="0" w:line="73" w:lineRule="exact"/>
        <w:rPr>
          <w:rFonts w:ascii="Arial" w:cs="Arial" w:eastAsia="Arial" w:hAnsi="Arial"/>
          <w:sz w:val="13"/>
          <w:szCs w:val="13"/>
          <w:color w:val="auto"/>
        </w:rPr>
      </w:pPr>
    </w:p>
    <w:p>
      <w:pPr>
        <w:ind w:left="340" w:hanging="330"/>
        <w:spacing w:after="0" w:line="273"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our 2018-2020 Performance Stock Unit awards, Total Shareholder Return was measured based on the average closing price of the Common Stock in the month of December 2017 as compared to the average closing price of the Common Stock in the month of December 2020.</w:t>
      </w: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80" w:top="886" w:right="41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25"/>
          <w:szCs w:val="25"/>
          <w:b w:val="1"/>
          <w:bCs w:val="1"/>
          <w:color w:val="3F000B"/>
        </w:rPr>
        <w:t>EXECUTIVE COMPENSATION HIGHLIGHTS</w:t>
      </w:r>
    </w:p>
    <w:p>
      <w:pPr>
        <w:spacing w:after="0" w:line="34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strategic plan and the financial metrics we establish to help achieve and measure success against that plan serve as the foundation of our executive compensation program. Our executive compensation program is intended to provide competitive compensation based on performance and contributions to the Company, to incentivize, attract and retain key executives, to align the interests of our executive officers and our stockholders and to drive stockholder value over the long term. To achieve these objectives, our executive compensation program includes the following key features:</w:t>
      </w:r>
    </w:p>
    <w:p>
      <w:pPr>
        <w:spacing w:after="0" w:line="99" w:lineRule="exact"/>
        <w:rPr>
          <w:sz w:val="20"/>
          <w:szCs w:val="20"/>
          <w:color w:val="auto"/>
        </w:rPr>
      </w:pPr>
    </w:p>
    <w:p>
      <w:pPr>
        <w:ind w:left="460" w:right="380" w:hanging="331"/>
        <w:spacing w:after="0" w:line="282"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3F000B"/>
        </w:rPr>
        <w:t>We Pay for Performance</w:t>
      </w:r>
      <w:r>
        <w:rPr>
          <w:rFonts w:ascii="Arial" w:cs="Arial" w:eastAsia="Arial" w:hAnsi="Arial"/>
          <w:sz w:val="18"/>
          <w:szCs w:val="18"/>
          <w:b w:val="1"/>
          <w:bCs w:val="1"/>
          <w:color w:val="3F000B"/>
        </w:rPr>
        <w:t xml:space="preserve"> </w:t>
      </w:r>
      <w:r>
        <w:rPr>
          <w:rFonts w:ascii="Arial" w:cs="Arial" w:eastAsia="Arial" w:hAnsi="Arial"/>
          <w:sz w:val="18"/>
          <w:szCs w:val="18"/>
          <w:color w:val="000000"/>
        </w:rPr>
        <w:t>by aligning our short- and long-term incentive compensation plans with business strategies to reward executives who</w:t>
      </w:r>
      <w:r>
        <w:rPr>
          <w:rFonts w:ascii="Arial" w:cs="Arial" w:eastAsia="Arial" w:hAnsi="Arial"/>
          <w:sz w:val="18"/>
          <w:szCs w:val="18"/>
          <w:b w:val="1"/>
          <w:bCs w:val="1"/>
          <w:color w:val="3F000B"/>
        </w:rPr>
        <w:t xml:space="preserve"> </w:t>
      </w:r>
      <w:r>
        <w:rPr>
          <w:rFonts w:ascii="Arial" w:cs="Arial" w:eastAsia="Arial" w:hAnsi="Arial"/>
          <w:sz w:val="18"/>
          <w:szCs w:val="18"/>
          <w:color w:val="000000"/>
        </w:rPr>
        <w:t>achieve or exceed applicable Company and business division goals.</w:t>
      </w:r>
    </w:p>
    <w:p>
      <w:pPr>
        <w:spacing w:after="0" w:line="57" w:lineRule="exact"/>
        <w:rPr>
          <w:rFonts w:ascii="Arial" w:cs="Arial" w:eastAsia="Arial" w:hAnsi="Arial"/>
          <w:sz w:val="18"/>
          <w:szCs w:val="18"/>
          <w:color w:val="auto"/>
        </w:rPr>
      </w:pPr>
    </w:p>
    <w:p>
      <w:pPr>
        <w:ind w:left="1100" w:hanging="323"/>
        <w:spacing w:after="0" w:line="311" w:lineRule="auto"/>
        <w:tabs>
          <w:tab w:leader="none" w:pos="1096"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target total direct compensation mix in 2020 for our Chief Executive Officer (“CEO”) and our other named executive officers (“NEOs”), excluding Kevin R. Walling, our former Senior Vice President, Chief Human Resources Officer and Mary Beth West, our former Senior Vice President, Chief Growth Officer, who both retired from the Company on February 29, 2020, reflects this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-33020</wp:posOffset>
            </wp:positionV>
            <wp:extent cx="2854325" cy="3086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580"/>
        <w:spacing w:after="0"/>
        <w:tabs>
          <w:tab w:leader="none" w:pos="7020" w:val="left"/>
        </w:tabs>
        <w:rPr>
          <w:sz w:val="20"/>
          <w:szCs w:val="20"/>
          <w:color w:val="auto"/>
        </w:rPr>
      </w:pPr>
      <w:r>
        <w:rPr>
          <w:rFonts w:ascii="Arial" w:cs="Arial" w:eastAsia="Arial" w:hAnsi="Arial"/>
          <w:sz w:val="18"/>
          <w:szCs w:val="18"/>
          <w:b w:val="1"/>
          <w:bCs w:val="1"/>
          <w:color w:val="3F000B"/>
        </w:rPr>
        <w:t>At-Risk Compensation = 87%</w:t>
      </w:r>
      <w:r>
        <w:rPr>
          <w:sz w:val="20"/>
          <w:szCs w:val="20"/>
          <w:color w:val="auto"/>
        </w:rPr>
        <w:tab/>
      </w:r>
      <w:r>
        <w:rPr>
          <w:rFonts w:ascii="Arial" w:cs="Arial" w:eastAsia="Arial" w:hAnsi="Arial"/>
          <w:sz w:val="16"/>
          <w:szCs w:val="16"/>
          <w:b w:val="1"/>
          <w:bCs w:val="1"/>
          <w:color w:val="3F000B"/>
        </w:rPr>
        <w:t>At-Risk Compensation = 71%</w:t>
      </w:r>
    </w:p>
    <w:p>
      <w:pPr>
        <w:spacing w:after="0" w:line="256" w:lineRule="exact"/>
        <w:rPr>
          <w:sz w:val="20"/>
          <w:szCs w:val="20"/>
          <w:color w:val="auto"/>
        </w:rPr>
      </w:pPr>
    </w:p>
    <w:p>
      <w:pPr>
        <w:ind w:left="1100" w:hanging="323"/>
        <w:spacing w:after="0"/>
        <w:tabs>
          <w:tab w:leader="none" w:pos="11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Payouts to our NEOs under our annual cash incentive program for 2020 were 100% performance based.</w:t>
      </w:r>
    </w:p>
    <w:p>
      <w:pPr>
        <w:spacing w:after="0" w:line="23" w:lineRule="exact"/>
        <w:rPr>
          <w:rFonts w:ascii="Arial" w:cs="Arial" w:eastAsia="Arial" w:hAnsi="Arial"/>
          <w:sz w:val="18"/>
          <w:szCs w:val="18"/>
          <w:color w:val="auto"/>
        </w:rPr>
      </w:pPr>
    </w:p>
    <w:p>
      <w:pPr>
        <w:ind w:left="1100" w:right="860" w:hanging="323"/>
        <w:spacing w:after="0" w:line="260" w:lineRule="auto"/>
        <w:tabs>
          <w:tab w:leader="none" w:pos="1096" w:val="left"/>
        </w:tabs>
        <w:numPr>
          <w:ilvl w:val="2"/>
          <w:numId w:val="18"/>
        </w:numPr>
        <w:rPr>
          <w:rFonts w:ascii="Arial" w:cs="Arial" w:eastAsia="Arial" w:hAnsi="Arial"/>
          <w:sz w:val="18"/>
          <w:szCs w:val="18"/>
          <w:color w:val="auto"/>
        </w:rPr>
      </w:pPr>
      <w:r>
        <w:rPr>
          <w:rFonts w:ascii="Arial" w:cs="Arial" w:eastAsia="Arial" w:hAnsi="Arial"/>
          <w:sz w:val="18"/>
          <w:szCs w:val="18"/>
          <w:color w:val="auto"/>
        </w:rPr>
        <w:t>65% of the equity awards granted to our NEOs in 2020 took the form of performance stock units, which will be earned based on achievement of pre-determined performance goals.</w:t>
      </w:r>
    </w:p>
    <w:p>
      <w:pPr>
        <w:spacing w:after="0" w:line="73" w:lineRule="exact"/>
        <w:rPr>
          <w:rFonts w:ascii="Arial" w:cs="Arial" w:eastAsia="Arial" w:hAnsi="Arial"/>
          <w:sz w:val="18"/>
          <w:szCs w:val="18"/>
          <w:color w:val="auto"/>
        </w:rPr>
      </w:pPr>
    </w:p>
    <w:p>
      <w:pPr>
        <w:ind w:left="500" w:right="40" w:hanging="330"/>
        <w:spacing w:after="0" w:line="282" w:lineRule="auto"/>
        <w:tabs>
          <w:tab w:leader="none" w:pos="495" w:val="left"/>
        </w:tabs>
        <w:numPr>
          <w:ilvl w:val="1"/>
          <w:numId w:val="18"/>
        </w:numPr>
        <w:rPr>
          <w:rFonts w:ascii="Arial" w:cs="Arial" w:eastAsia="Arial" w:hAnsi="Arial"/>
          <w:sz w:val="18"/>
          <w:szCs w:val="18"/>
          <w:color w:val="auto"/>
        </w:rPr>
      </w:pPr>
      <w:r>
        <w:rPr>
          <w:rFonts w:ascii="Arial" w:cs="Arial" w:eastAsia="Arial" w:hAnsi="Arial"/>
          <w:sz w:val="18"/>
          <w:szCs w:val="18"/>
          <w:b w:val="1"/>
          <w:bCs w:val="1"/>
          <w:u w:val="single" w:color="auto"/>
          <w:color w:val="3F000B"/>
        </w:rPr>
        <w:t>We Pay Competitively</w:t>
      </w:r>
      <w:r>
        <w:rPr>
          <w:rFonts w:ascii="Arial" w:cs="Arial" w:eastAsia="Arial" w:hAnsi="Arial"/>
          <w:sz w:val="18"/>
          <w:szCs w:val="18"/>
          <w:b w:val="1"/>
          <w:bCs w:val="1"/>
          <w:color w:val="3F000B"/>
        </w:rPr>
        <w:t xml:space="preserve"> </w:t>
      </w:r>
      <w:r>
        <w:rPr>
          <w:rFonts w:ascii="Arial" w:cs="Arial" w:eastAsia="Arial" w:hAnsi="Arial"/>
          <w:sz w:val="18"/>
          <w:szCs w:val="18"/>
          <w:color w:val="000000"/>
        </w:rPr>
        <w:t>by targeting total direct compensation for our executive officers, in aggregate, at competitive pay levels using the median of</w:t>
      </w:r>
      <w:r>
        <w:rPr>
          <w:rFonts w:ascii="Arial" w:cs="Arial" w:eastAsia="Arial" w:hAnsi="Arial"/>
          <w:sz w:val="18"/>
          <w:szCs w:val="18"/>
          <w:b w:val="1"/>
          <w:bCs w:val="1"/>
          <w:color w:val="3F000B"/>
        </w:rPr>
        <w:t xml:space="preserve"> </w:t>
      </w:r>
      <w:r>
        <w:rPr>
          <w:rFonts w:ascii="Arial" w:cs="Arial" w:eastAsia="Arial" w:hAnsi="Arial"/>
          <w:sz w:val="18"/>
          <w:szCs w:val="18"/>
          <w:color w:val="000000"/>
        </w:rPr>
        <w:t>our peer group for reference.</w:t>
      </w:r>
    </w:p>
    <w:p>
      <w:pPr>
        <w:spacing w:after="0" w:line="57" w:lineRule="exact"/>
        <w:rPr>
          <w:rFonts w:ascii="Arial" w:cs="Arial" w:eastAsia="Arial" w:hAnsi="Arial"/>
          <w:sz w:val="18"/>
          <w:szCs w:val="18"/>
          <w:color w:val="auto"/>
        </w:rPr>
      </w:pPr>
    </w:p>
    <w:p>
      <w:pPr>
        <w:ind w:left="1100" w:right="60" w:hanging="323"/>
        <w:spacing w:after="0" w:line="258" w:lineRule="auto"/>
        <w:tabs>
          <w:tab w:leader="none" w:pos="1096" w:val="left"/>
        </w:tabs>
        <w:numPr>
          <w:ilvl w:val="2"/>
          <w:numId w:val="18"/>
        </w:numPr>
        <w:rPr>
          <w:rFonts w:ascii="Arial" w:cs="Arial" w:eastAsia="Arial" w:hAnsi="Arial"/>
          <w:sz w:val="18"/>
          <w:szCs w:val="18"/>
          <w:color w:val="auto"/>
        </w:rPr>
      </w:pPr>
      <w:r>
        <w:rPr>
          <w:rFonts w:ascii="Arial" w:cs="Arial" w:eastAsia="Arial" w:hAnsi="Arial"/>
          <w:sz w:val="18"/>
          <w:szCs w:val="18"/>
          <w:color w:val="auto"/>
        </w:rPr>
        <w:t>We regularly review and, as appropriate, make changes to our peer group to ensure it is representative of our market for talent, our business portfolio, our overall size and our global footprint.</w:t>
      </w:r>
    </w:p>
    <w:p>
      <w:pPr>
        <w:spacing w:after="0" w:line="1" w:lineRule="exact"/>
        <w:rPr>
          <w:rFonts w:ascii="Arial" w:cs="Arial" w:eastAsia="Arial" w:hAnsi="Arial"/>
          <w:sz w:val="18"/>
          <w:szCs w:val="18"/>
          <w:color w:val="auto"/>
        </w:rPr>
      </w:pPr>
    </w:p>
    <w:p>
      <w:pPr>
        <w:ind w:left="1100" w:hanging="323"/>
        <w:spacing w:after="0"/>
        <w:tabs>
          <w:tab w:leader="none" w:pos="11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We do not provide excessive benefits and perquisites to our executives.</w:t>
      </w:r>
    </w:p>
    <w:p>
      <w:pPr>
        <w:spacing w:after="0" w:line="98" w:lineRule="exact"/>
        <w:rPr>
          <w:rFonts w:ascii="Arial" w:cs="Arial" w:eastAsia="Arial" w:hAnsi="Arial"/>
          <w:sz w:val="18"/>
          <w:szCs w:val="18"/>
          <w:color w:val="auto"/>
        </w:rPr>
      </w:pPr>
    </w:p>
    <w:p>
      <w:pPr>
        <w:ind w:left="460" w:right="20" w:hanging="331"/>
        <w:spacing w:after="0" w:line="282"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3F000B"/>
        </w:rPr>
        <w:t>We Align Our Compensation Program with Stockholder Interests</w:t>
      </w:r>
      <w:r>
        <w:rPr>
          <w:rFonts w:ascii="Arial" w:cs="Arial" w:eastAsia="Arial" w:hAnsi="Arial"/>
          <w:sz w:val="18"/>
          <w:szCs w:val="18"/>
          <w:b w:val="1"/>
          <w:bCs w:val="1"/>
          <w:color w:val="3F000B"/>
        </w:rPr>
        <w:t xml:space="preserve"> </w:t>
      </w:r>
      <w:r>
        <w:rPr>
          <w:rFonts w:ascii="Arial" w:cs="Arial" w:eastAsia="Arial" w:hAnsi="Arial"/>
          <w:sz w:val="18"/>
          <w:szCs w:val="18"/>
          <w:color w:val="000000"/>
        </w:rPr>
        <w:t>by providing a significant amount of each NEO’s compensation opportunity in</w:t>
      </w:r>
      <w:r>
        <w:rPr>
          <w:rFonts w:ascii="Arial" w:cs="Arial" w:eastAsia="Arial" w:hAnsi="Arial"/>
          <w:sz w:val="18"/>
          <w:szCs w:val="18"/>
          <w:b w:val="1"/>
          <w:bCs w:val="1"/>
          <w:color w:val="3F000B"/>
        </w:rPr>
        <w:t xml:space="preserve"> </w:t>
      </w:r>
      <w:r>
        <w:rPr>
          <w:rFonts w:ascii="Arial" w:cs="Arial" w:eastAsia="Arial" w:hAnsi="Arial"/>
          <w:sz w:val="18"/>
          <w:szCs w:val="18"/>
          <w:color w:val="000000"/>
        </w:rPr>
        <w:t>the form of equity and requiring executive stock ownership.</w:t>
      </w:r>
    </w:p>
    <w:p>
      <w:pPr>
        <w:spacing w:after="0" w:line="57" w:lineRule="exact"/>
        <w:rPr>
          <w:rFonts w:ascii="Arial" w:cs="Arial" w:eastAsia="Arial" w:hAnsi="Arial"/>
          <w:sz w:val="18"/>
          <w:szCs w:val="18"/>
          <w:color w:val="auto"/>
        </w:rPr>
      </w:pPr>
    </w:p>
    <w:p>
      <w:pPr>
        <w:ind w:left="1100" w:right="440" w:hanging="323"/>
        <w:spacing w:after="0" w:line="258" w:lineRule="auto"/>
        <w:tabs>
          <w:tab w:leader="none" w:pos="1096" w:val="left"/>
        </w:tabs>
        <w:numPr>
          <w:ilvl w:val="2"/>
          <w:numId w:val="18"/>
        </w:numPr>
        <w:rPr>
          <w:rFonts w:ascii="Arial" w:cs="Arial" w:eastAsia="Arial" w:hAnsi="Arial"/>
          <w:sz w:val="18"/>
          <w:szCs w:val="18"/>
          <w:color w:val="auto"/>
        </w:rPr>
      </w:pPr>
      <w:r>
        <w:rPr>
          <w:rFonts w:ascii="Arial" w:cs="Arial" w:eastAsia="Arial" w:hAnsi="Arial"/>
          <w:sz w:val="18"/>
          <w:szCs w:val="18"/>
          <w:color w:val="auto"/>
        </w:rPr>
        <w:t>Equity grants represented 67% of our CEO’s 2020 target total direct compensation and, on average, 51% of the 2020 target total direct compensation for our other NEOs, excluding Mr. Walling and Ms. West.</w:t>
      </w:r>
    </w:p>
    <w:p>
      <w:pPr>
        <w:spacing w:after="0" w:line="1" w:lineRule="exact"/>
        <w:rPr>
          <w:rFonts w:ascii="Arial" w:cs="Arial" w:eastAsia="Arial" w:hAnsi="Arial"/>
          <w:sz w:val="18"/>
          <w:szCs w:val="18"/>
          <w:color w:val="auto"/>
        </w:rPr>
      </w:pPr>
    </w:p>
    <w:p>
      <w:pPr>
        <w:ind w:left="1100" w:hanging="323"/>
        <w:spacing w:after="0"/>
        <w:tabs>
          <w:tab w:leader="none" w:pos="11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Stock ownership requirements for our NEOs range from 6x salary (for our CEO) to 3x salary (for NEOs other than our CEO).</w:t>
      </w:r>
    </w:p>
    <w:p>
      <w:pPr>
        <w:sectPr>
          <w:pgSz w:w="11900" w:h="16838" w:orient="portrait"/>
          <w:cols w:equalWidth="0" w:num="1">
            <w:col w:w="11200"/>
          </w:cols>
          <w:pgMar w:left="320" w:top="64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00"/>
          </w:cols>
          <w:pgMar w:left="320" w:top="643" w:right="37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45"/>
          <w:szCs w:val="45"/>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23430" cy="36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36893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p>
      <w:pPr>
        <w:spacing w:after="0" w:line="25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The Board of Directors (the “Board”) of The Hershey Company (the “Company,” “we,” or “us”) is furnishing this Proxy Statement and the accompanying form of proxy in connection with the solicitation of proxies for the 2021 Annual Meeting of Stockholders of the Company (the “Annual Meeting”). The Annual Meeting will be held on May 17, 2021, beginning at 10:00 a.m., Eastern Daylight Time (“EDT”). Due to the ongoing public health impact of the coronavirus pandemic (“COVID-19”), this year’s Annual Meeting will again be a virtual meeting conducted solely via live webcast. You will be able to attend the Annual Meeting, vote your shares electronically and submit questions during the meeting by visiting </w:t>
      </w:r>
      <w:r>
        <w:rPr>
          <w:rFonts w:ascii="Arial" w:cs="Arial" w:eastAsia="Arial" w:hAnsi="Arial"/>
          <w:sz w:val="18"/>
          <w:szCs w:val="18"/>
          <w:i w:val="1"/>
          <w:iCs w:val="1"/>
          <w:color w:val="auto"/>
        </w:rPr>
        <w:t>www.virtualshareholdermeeting.com/HSY2021</w:t>
      </w:r>
      <w:r>
        <w:rPr>
          <w:rFonts w:ascii="Arial" w:cs="Arial" w:eastAsia="Arial" w:hAnsi="Arial"/>
          <w:sz w:val="18"/>
          <w:szCs w:val="18"/>
          <w:color w:val="auto"/>
        </w:rPr>
        <w:t>. You may also listen to the Annual Meeting by calling 1-877-328-2502. You will not be able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in person.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Annual Meeting of Stockholders to be held on May 17, 2021</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The Notice of 2021 Annual Meeting of Stockholders and Proxy Statement, our proxy card, our Annual Report on Form 10-K and other annual meeting materials are available free of charge on the internet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We intend to begin mailing our Notice of Internet Availability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Proxy Materials to stockholders on or about April 7, 2021. At that time, we also will begin mailing paper copies of our proxy materials to stockholders who requested them.</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3F000B"/>
        </w:rPr>
        <w:t>QUESTIONS AND ANSWERS ABOUT THE ANNUAL MEETING</w:t>
      </w:r>
    </w:p>
    <w:p>
      <w:pPr>
        <w:spacing w:after="0" w:line="370" w:lineRule="exact"/>
        <w:rPr>
          <w:sz w:val="20"/>
          <w:szCs w:val="20"/>
          <w:color w:val="auto"/>
        </w:rPr>
      </w:pPr>
    </w:p>
    <w:p>
      <w:pPr>
        <w:ind w:left="680" w:hanging="654"/>
        <w:spacing w:after="0"/>
        <w:tabs>
          <w:tab w:leader="none" w:pos="680" w:val="left"/>
        </w:tabs>
        <w:numPr>
          <w:ilvl w:val="0"/>
          <w:numId w:val="19"/>
        </w:numPr>
        <w:rPr>
          <w:rFonts w:ascii="Arial" w:cs="Arial" w:eastAsia="Arial" w:hAnsi="Arial"/>
          <w:sz w:val="22"/>
          <w:szCs w:val="22"/>
          <w:b w:val="1"/>
          <w:bCs w:val="1"/>
          <w:color w:val="3F000B"/>
        </w:rPr>
      </w:pPr>
      <w:r>
        <w:rPr>
          <w:rFonts w:ascii="Arial" w:cs="Arial" w:eastAsia="Arial" w:hAnsi="Arial"/>
          <w:sz w:val="22"/>
          <w:szCs w:val="22"/>
          <w:b w:val="1"/>
          <w:bCs w:val="1"/>
          <w:color w:val="3F000B"/>
        </w:rPr>
        <w:t>Why is this year’s Annual Meeting being held as a virtual-only meeting?</w:t>
      </w:r>
    </w:p>
    <w:p>
      <w:pPr>
        <w:spacing w:after="0" w:line="152" w:lineRule="exact"/>
        <w:rPr>
          <w:sz w:val="20"/>
          <w:szCs w:val="20"/>
          <w:color w:val="auto"/>
        </w:rPr>
      </w:pPr>
    </w:p>
    <w:p>
      <w:pPr>
        <w:ind w:left="680" w:right="240" w:hanging="654"/>
        <w:spacing w:after="0" w:line="259"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This year’s Annual Meeting is again being held as a virtual-only meeting conducted solely via live webcast due to the ongoing public health impact of the coronavirus pandemic COVID-19 and to support the health and well-being of our stockholders, employees and community members. Holding the Annual Meeting as a virtual-only meeting allows us to reach the broadest number of stockholders while maintaining our commitment to health and safety.</w:t>
      </w:r>
    </w:p>
    <w:p>
      <w:pPr>
        <w:spacing w:after="0" w:line="200" w:lineRule="exact"/>
        <w:rPr>
          <w:rFonts w:ascii="Arial" w:cs="Arial" w:eastAsia="Arial" w:hAnsi="Arial"/>
          <w:sz w:val="18"/>
          <w:szCs w:val="18"/>
          <w:b w:val="1"/>
          <w:bCs w:val="1"/>
          <w:color w:val="auto"/>
        </w:rPr>
      </w:pPr>
    </w:p>
    <w:p>
      <w:pPr>
        <w:spacing w:after="0" w:line="256" w:lineRule="exact"/>
        <w:rPr>
          <w:rFonts w:ascii="Arial" w:cs="Arial" w:eastAsia="Arial" w:hAnsi="Arial"/>
          <w:sz w:val="18"/>
          <w:szCs w:val="18"/>
          <w:b w:val="1"/>
          <w:bCs w:val="1"/>
          <w:color w:val="auto"/>
        </w:rPr>
      </w:pPr>
    </w:p>
    <w:p>
      <w:pPr>
        <w:ind w:left="700" w:hanging="640"/>
        <w:spacing w:after="0"/>
        <w:tabs>
          <w:tab w:leader="none" w:pos="700" w:val="left"/>
        </w:tabs>
        <w:numPr>
          <w:ilvl w:val="1"/>
          <w:numId w:val="20"/>
        </w:numPr>
        <w:rPr>
          <w:rFonts w:ascii="Arial" w:cs="Arial" w:eastAsia="Arial" w:hAnsi="Arial"/>
          <w:sz w:val="22"/>
          <w:szCs w:val="22"/>
          <w:b w:val="1"/>
          <w:bCs w:val="1"/>
          <w:color w:val="3F000B"/>
        </w:rPr>
      </w:pPr>
      <w:r>
        <w:rPr>
          <w:rFonts w:ascii="Arial" w:cs="Arial" w:eastAsia="Arial" w:hAnsi="Arial"/>
          <w:sz w:val="22"/>
          <w:szCs w:val="22"/>
          <w:b w:val="1"/>
          <w:bCs w:val="1"/>
          <w:color w:val="3F000B"/>
        </w:rPr>
        <w:t>Who is entitled to attend and vote at the Annual Meeting?</w:t>
      </w:r>
    </w:p>
    <w:p>
      <w:pPr>
        <w:spacing w:after="0" w:line="152" w:lineRule="exact"/>
        <w:rPr>
          <w:sz w:val="20"/>
          <w:szCs w:val="20"/>
          <w:color w:val="auto"/>
        </w:rPr>
      </w:pPr>
    </w:p>
    <w:p>
      <w:pPr>
        <w:jc w:val="both"/>
        <w:ind w:left="700" w:right="100" w:hanging="640"/>
        <w:spacing w:after="0" w:line="286" w:lineRule="auto"/>
        <w:tabs>
          <w:tab w:leader="none" w:pos="70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You can attend and vote at the Annual Meeting if, as of the close of business on March 18, 2021 (the “Record Date”), you were a stockholder of record of the Company’s common stock (“Common Stock”) or Class B common stock (“Class B Common Stock”). As of the Record Date, there were 146,302,245 shares of our Common Stock and 60,613,777 shares of our Class B Common Stock outstanding.</w:t>
      </w:r>
    </w:p>
    <w:p>
      <w:pPr>
        <w:spacing w:after="0" w:line="111" w:lineRule="exact"/>
        <w:rPr>
          <w:rFonts w:ascii="Arial" w:cs="Arial" w:eastAsia="Arial" w:hAnsi="Arial"/>
          <w:sz w:val="17"/>
          <w:szCs w:val="17"/>
          <w:b w:val="1"/>
          <w:bCs w:val="1"/>
          <w:color w:val="auto"/>
        </w:rPr>
      </w:pPr>
    </w:p>
    <w:p>
      <w:pPr>
        <w:ind w:left="700" w:right="28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If you were not a stockholder of record as of the Record Date, you may still attend the Annual Meeting by logging into the webcast as a guest, but you will not be able to vote before or during the meeting.</w:t>
      </w:r>
    </w:p>
    <w:p>
      <w:pPr>
        <w:spacing w:after="0" w:line="200" w:lineRule="exact"/>
        <w:rPr>
          <w:sz w:val="20"/>
          <w:szCs w:val="20"/>
          <w:color w:val="auto"/>
        </w:rPr>
      </w:pPr>
    </w:p>
    <w:p>
      <w:pPr>
        <w:spacing w:after="0" w:line="241" w:lineRule="exact"/>
        <w:rPr>
          <w:sz w:val="20"/>
          <w:szCs w:val="20"/>
          <w:color w:val="auto"/>
        </w:rPr>
      </w:pPr>
    </w:p>
    <w:p>
      <w:pPr>
        <w:ind w:left="680" w:hanging="654"/>
        <w:spacing w:after="0"/>
        <w:tabs>
          <w:tab w:leader="none" w:pos="680" w:val="left"/>
        </w:tabs>
        <w:numPr>
          <w:ilvl w:val="0"/>
          <w:numId w:val="22"/>
        </w:numPr>
        <w:rPr>
          <w:rFonts w:ascii="Arial" w:cs="Arial" w:eastAsia="Arial" w:hAnsi="Arial"/>
          <w:sz w:val="22"/>
          <w:szCs w:val="22"/>
          <w:b w:val="1"/>
          <w:bCs w:val="1"/>
          <w:color w:val="3F000B"/>
        </w:rPr>
      </w:pPr>
      <w:r>
        <w:rPr>
          <w:rFonts w:ascii="Arial" w:cs="Arial" w:eastAsia="Arial" w:hAnsi="Arial"/>
          <w:sz w:val="22"/>
          <w:szCs w:val="22"/>
          <w:b w:val="1"/>
          <w:bCs w:val="1"/>
          <w:color w:val="3F000B"/>
        </w:rPr>
        <w:t>How do I attend the Annual Meeting?</w:t>
      </w:r>
    </w:p>
    <w:p>
      <w:pPr>
        <w:spacing w:after="0" w:line="152" w:lineRule="exact"/>
        <w:rPr>
          <w:sz w:val="20"/>
          <w:szCs w:val="20"/>
          <w:color w:val="auto"/>
        </w:rPr>
      </w:pPr>
    </w:p>
    <w:p>
      <w:pPr>
        <w:ind w:left="680" w:hanging="654"/>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This year’s Annual Meeting will be a virtual-only meeting conducted solely via live webcast.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right="520"/>
        <w:spacing w:after="0" w:line="255" w:lineRule="auto"/>
        <w:rPr>
          <w:sz w:val="20"/>
          <w:szCs w:val="20"/>
          <w:color w:val="auto"/>
        </w:rPr>
      </w:pPr>
      <w:r>
        <w:rPr>
          <w:rFonts w:ascii="Arial" w:cs="Arial" w:eastAsia="Arial" w:hAnsi="Arial"/>
          <w:sz w:val="18"/>
          <w:szCs w:val="18"/>
          <w:color w:val="auto"/>
        </w:rPr>
        <w:t xml:space="preserve">To participate in the Annual Meeting, visit </w:t>
      </w:r>
      <w:r>
        <w:rPr>
          <w:rFonts w:ascii="Arial" w:cs="Arial" w:eastAsia="Arial" w:hAnsi="Arial"/>
          <w:sz w:val="18"/>
          <w:szCs w:val="18"/>
          <w:i w:val="1"/>
          <w:iCs w:val="1"/>
          <w:color w:val="auto"/>
        </w:rPr>
        <w:t>www.virtualshareholdermeeting.com/HSY2021</w:t>
      </w:r>
      <w:r>
        <w:rPr>
          <w:rFonts w:ascii="Arial" w:cs="Arial" w:eastAsia="Arial" w:hAnsi="Arial"/>
          <w:sz w:val="18"/>
          <w:szCs w:val="18"/>
          <w:color w:val="auto"/>
        </w:rPr>
        <w:t xml:space="preserve"> and enter the 16-digit control number included on your Notice of Internet Availability of Proxy Materials or your proxy card. The live webcast will begin at 10:00 a.m. EDT on Monday, May 17, 2021. We encourage you to access the virtual meeting platform at least 15 minutes prior to the start time. If you do not have a 16-digit control number, you will still be able to access the webcast as a guest, but will not be able to vote your shares or ask a question during the meeting. You may also listen to the Annual Meeting by calling 1-877-328-2502, but you will not be able to vote your shares or ask a question telephonically.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982" w:right="359" w:bottom="1440" w:gutter="0" w:footer="0" w:header="0"/>
          <w:type w:val="continuous"/>
        </w:sectPr>
      </w:pPr>
    </w:p>
    <w:bookmarkStart w:id="10" w:name="page11"/>
    <w:bookmarkEnd w:id="10"/>
    <w:p>
      <w:pPr>
        <w:ind w:left="574" w:right="720"/>
        <w:spacing w:after="0" w:line="301" w:lineRule="auto"/>
        <w:rPr>
          <w:sz w:val="20"/>
          <w:szCs w:val="20"/>
          <w:color w:val="auto"/>
        </w:rPr>
      </w:pPr>
      <w:r>
        <w:rPr>
          <w:rFonts w:ascii="Arial" w:cs="Arial" w:eastAsia="Arial" w:hAnsi="Arial"/>
          <w:sz w:val="16"/>
          <w:szCs w:val="16"/>
          <w:color w:val="auto"/>
        </w:rPr>
        <w:t>The virtual meeting platform is fully supported across browsers (Internet Explorer, Firefox, Chrome and Safari) and devices (desktops, laptops, tablets and mobile phones) running the most updated version of applicable software and plugins. Participants should ensure they have a strong WiFi connection wherever they intend to participate in the meeting. Further instructions on how to attend and participate in the Annual Meeting, including how to demonstrate proof of stock ownership, will be posted on the virtual meeting website.</w:t>
      </w:r>
    </w:p>
    <w:p>
      <w:pPr>
        <w:spacing w:after="0" w:line="103" w:lineRule="exact"/>
        <w:rPr>
          <w:sz w:val="20"/>
          <w:szCs w:val="20"/>
          <w:color w:val="auto"/>
        </w:rPr>
      </w:pPr>
    </w:p>
    <w:p>
      <w:pPr>
        <w:jc w:val="both"/>
        <w:ind w:left="574" w:right="660"/>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Technical support will be available on the virtual meeting platform beginning at 9:30 a.m. EDT on the day of the meeting and will remain available until 30 minutes after the meeting has finished.</w:t>
      </w:r>
    </w:p>
    <w:p>
      <w:pPr>
        <w:spacing w:after="0" w:line="200" w:lineRule="exact"/>
        <w:rPr>
          <w:sz w:val="20"/>
          <w:szCs w:val="20"/>
          <w:color w:val="auto"/>
        </w:rPr>
      </w:pPr>
    </w:p>
    <w:p>
      <w:pPr>
        <w:spacing w:after="0" w:line="240" w:lineRule="exact"/>
        <w:rPr>
          <w:sz w:val="20"/>
          <w:szCs w:val="20"/>
          <w:color w:val="auto"/>
        </w:rPr>
      </w:pPr>
    </w:p>
    <w:p>
      <w:pPr>
        <w:ind w:left="674" w:hanging="640"/>
        <w:spacing w:after="0"/>
        <w:tabs>
          <w:tab w:leader="none" w:pos="674" w:val="left"/>
        </w:tabs>
        <w:numPr>
          <w:ilvl w:val="0"/>
          <w:numId w:val="24"/>
        </w:numPr>
        <w:rPr>
          <w:rFonts w:ascii="Arial" w:cs="Arial" w:eastAsia="Arial" w:hAnsi="Arial"/>
          <w:sz w:val="22"/>
          <w:szCs w:val="22"/>
          <w:b w:val="1"/>
          <w:bCs w:val="1"/>
          <w:color w:val="3F000B"/>
        </w:rPr>
      </w:pPr>
      <w:r>
        <w:rPr>
          <w:rFonts w:ascii="Arial" w:cs="Arial" w:eastAsia="Arial" w:hAnsi="Arial"/>
          <w:sz w:val="22"/>
          <w:szCs w:val="22"/>
          <w:b w:val="1"/>
          <w:bCs w:val="1"/>
          <w:color w:val="3F000B"/>
        </w:rPr>
        <w:t>Can I submit questions before or during the Annual Meeting?</w:t>
      </w:r>
    </w:p>
    <w:p>
      <w:pPr>
        <w:spacing w:after="0" w:line="165" w:lineRule="exact"/>
        <w:rPr>
          <w:sz w:val="20"/>
          <w:szCs w:val="20"/>
          <w:color w:val="auto"/>
        </w:rPr>
      </w:pPr>
    </w:p>
    <w:p>
      <w:pPr>
        <w:jc w:val="both"/>
        <w:ind w:left="674" w:right="520" w:hanging="640"/>
        <w:spacing w:after="0" w:line="301" w:lineRule="auto"/>
        <w:tabs>
          <w:tab w:leader="none" w:pos="674"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 xml:space="preserve">Stockholders have multiple opportunities to submit questions for the Annual Meeting. If you wish to submit a question prior to the Annual Meeting, you may log into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and enter your 16-digit control number. Once past the login screen, click on “Question for Management,” type in your question, and click “Submit.” Alternatively, if you wish to submit a question during the Annual Meeting, visit </w:t>
      </w:r>
      <w:r>
        <w:rPr>
          <w:rFonts w:ascii="Arial" w:cs="Arial" w:eastAsia="Arial" w:hAnsi="Arial"/>
          <w:sz w:val="16"/>
          <w:szCs w:val="16"/>
          <w:i w:val="1"/>
          <w:iCs w:val="1"/>
          <w:color w:val="auto"/>
        </w:rPr>
        <w:t>www.virtualshareholdermeeting.com/HSY2021</w:t>
      </w:r>
      <w:r>
        <w:rPr>
          <w:rFonts w:ascii="Arial" w:cs="Arial" w:eastAsia="Arial" w:hAnsi="Arial"/>
          <w:sz w:val="16"/>
          <w:szCs w:val="16"/>
          <w:color w:val="auto"/>
        </w:rPr>
        <w:t>, type your question into the “Ask a Question” field, and click “Submit.”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75" w:lineRule="exact"/>
        <w:rPr>
          <w:rFonts w:ascii="Arial" w:cs="Arial" w:eastAsia="Arial" w:hAnsi="Arial"/>
          <w:sz w:val="16"/>
          <w:szCs w:val="16"/>
          <w:b w:val="1"/>
          <w:bCs w:val="1"/>
          <w:color w:val="auto"/>
        </w:rPr>
      </w:pPr>
    </w:p>
    <w:p>
      <w:pPr>
        <w:ind w:left="674"/>
        <w:spacing w:after="0" w:line="296" w:lineRule="auto"/>
        <w:rPr>
          <w:rFonts w:ascii="Arial" w:cs="Arial" w:eastAsia="Arial" w:hAnsi="Arial"/>
          <w:sz w:val="16"/>
          <w:szCs w:val="16"/>
          <w:b w:val="1"/>
          <w:bCs w:val="1"/>
          <w:color w:val="auto"/>
        </w:rPr>
      </w:pPr>
      <w:r>
        <w:rPr>
          <w:rFonts w:ascii="Arial" w:cs="Arial" w:eastAsia="Arial" w:hAnsi="Arial"/>
          <w:sz w:val="16"/>
          <w:szCs w:val="16"/>
          <w:color w:val="auto"/>
        </w:rPr>
        <w:t xml:space="preserve">Questions pertinent to meeting matters will be answered during the Annual Meeting, subject to time constraints. Questions regarding personal matters, including those relating to employment, product or service issues or suggestions for product innovations may not be considered pertinent to meeting matters and therefore may not be answered. Any questions pertinent to meeting matters that cannot be answered during the meeting due to time constraints will be posted online and answered on the Investors section of our website at </w:t>
      </w:r>
      <w:r>
        <w:rPr>
          <w:rFonts w:ascii="Arial" w:cs="Arial" w:eastAsia="Arial" w:hAnsi="Arial"/>
          <w:sz w:val="16"/>
          <w:szCs w:val="16"/>
          <w:i w:val="1"/>
          <w:iCs w:val="1"/>
          <w:color w:val="auto"/>
        </w:rPr>
        <w:t>www.thehersheycompany.com</w:t>
      </w:r>
      <w:r>
        <w:rPr>
          <w:rFonts w:ascii="Arial" w:cs="Arial" w:eastAsia="Arial" w:hAnsi="Arial"/>
          <w:sz w:val="16"/>
          <w:szCs w:val="16"/>
          <w:color w:val="auto"/>
        </w:rPr>
        <w:t>. The questions and answers will be available as soon as practical after the Annual Meeting and will remain available until one week after posting.</w:t>
      </w:r>
    </w:p>
    <w:p>
      <w:pPr>
        <w:spacing w:after="0" w:line="200" w:lineRule="exact"/>
        <w:rPr>
          <w:sz w:val="20"/>
          <w:szCs w:val="20"/>
          <w:color w:val="auto"/>
        </w:rPr>
      </w:pPr>
    </w:p>
    <w:p>
      <w:pPr>
        <w:spacing w:after="0" w:line="245" w:lineRule="exact"/>
        <w:rPr>
          <w:sz w:val="20"/>
          <w:szCs w:val="20"/>
          <w:color w:val="auto"/>
        </w:rPr>
      </w:pPr>
    </w:p>
    <w:p>
      <w:pPr>
        <w:ind w:left="654" w:hanging="654"/>
        <w:spacing w:after="0"/>
        <w:tabs>
          <w:tab w:leader="none" w:pos="654" w:val="left"/>
        </w:tabs>
        <w:numPr>
          <w:ilvl w:val="0"/>
          <w:numId w:val="26"/>
        </w:numPr>
        <w:rPr>
          <w:rFonts w:ascii="Arial" w:cs="Arial" w:eastAsia="Arial" w:hAnsi="Arial"/>
          <w:sz w:val="19"/>
          <w:szCs w:val="19"/>
          <w:b w:val="1"/>
          <w:bCs w:val="1"/>
          <w:color w:val="3F000B"/>
        </w:rPr>
      </w:pPr>
      <w:r>
        <w:rPr>
          <w:rFonts w:ascii="Arial" w:cs="Arial" w:eastAsia="Arial" w:hAnsi="Arial"/>
          <w:sz w:val="19"/>
          <w:szCs w:val="19"/>
          <w:b w:val="1"/>
          <w:bCs w:val="1"/>
          <w:color w:val="3F000B"/>
        </w:rPr>
        <w:t>What is the difference between a registered stockholder and a stockholder who owns stock in street name?</w:t>
      </w:r>
    </w:p>
    <w:p>
      <w:pPr>
        <w:spacing w:after="0" w:line="213" w:lineRule="exact"/>
        <w:rPr>
          <w:sz w:val="20"/>
          <w:szCs w:val="20"/>
          <w:color w:val="auto"/>
        </w:rPr>
      </w:pPr>
    </w:p>
    <w:p>
      <w:pPr>
        <w:ind w:left="654" w:right="220" w:hanging="654"/>
        <w:spacing w:after="0" w:line="263" w:lineRule="auto"/>
        <w:tabs>
          <w:tab w:leader="none" w:pos="654"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If you hold shares of Common Stock or Class B Common Stock directly in your name on the books of the Company’s transfer agent, you are a </w:t>
      </w:r>
      <w:r>
        <w:rPr>
          <w:rFonts w:ascii="Arial" w:cs="Arial" w:eastAsia="Arial" w:hAnsi="Arial"/>
          <w:sz w:val="18"/>
          <w:szCs w:val="18"/>
          <w:i w:val="1"/>
          <w:iCs w:val="1"/>
          <w:color w:val="auto"/>
        </w:rPr>
        <w:t>registered stockholder</w:t>
      </w:r>
      <w:r>
        <w:rPr>
          <w:rFonts w:ascii="Arial" w:cs="Arial" w:eastAsia="Arial" w:hAnsi="Arial"/>
          <w:sz w:val="18"/>
          <w:szCs w:val="18"/>
          <w:color w:val="auto"/>
        </w:rPr>
        <w:t>. If you own your Company shares indirectly through a broker, bank or other holder of record, then you are a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owner and those shares are held in </w:t>
      </w:r>
      <w:r>
        <w:rPr>
          <w:rFonts w:ascii="Arial" w:cs="Arial" w:eastAsia="Arial" w:hAnsi="Arial"/>
          <w:sz w:val="18"/>
          <w:szCs w:val="18"/>
          <w:i w:val="1"/>
          <w:iCs w:val="1"/>
          <w:color w:val="auto"/>
        </w:rPr>
        <w:t>street name</w:t>
      </w:r>
      <w:r>
        <w:rPr>
          <w:rFonts w:ascii="Arial" w:cs="Arial" w:eastAsia="Arial" w:hAnsi="Arial"/>
          <w:sz w:val="18"/>
          <w:szCs w:val="18"/>
          <w:color w:val="auto"/>
        </w:rPr>
        <w:t>.</w:t>
      </w:r>
    </w:p>
    <w:p>
      <w:pPr>
        <w:spacing w:after="0" w:line="200" w:lineRule="exact"/>
        <w:rPr>
          <w:sz w:val="20"/>
          <w:szCs w:val="20"/>
          <w:color w:val="auto"/>
        </w:rPr>
      </w:pPr>
    </w:p>
    <w:p>
      <w:pPr>
        <w:spacing w:after="0" w:line="267" w:lineRule="exact"/>
        <w:rPr>
          <w:sz w:val="20"/>
          <w:szCs w:val="20"/>
          <w:color w:val="auto"/>
        </w:rPr>
      </w:pPr>
    </w:p>
    <w:p>
      <w:pPr>
        <w:ind w:left="654" w:hanging="654"/>
        <w:spacing w:after="0"/>
        <w:tabs>
          <w:tab w:leader="none" w:pos="654" w:val="left"/>
        </w:tabs>
        <w:numPr>
          <w:ilvl w:val="0"/>
          <w:numId w:val="28"/>
        </w:numPr>
        <w:rPr>
          <w:rFonts w:ascii="Arial" w:cs="Arial" w:eastAsia="Arial" w:hAnsi="Arial"/>
          <w:sz w:val="22"/>
          <w:szCs w:val="22"/>
          <w:b w:val="1"/>
          <w:bCs w:val="1"/>
          <w:color w:val="3F000B"/>
        </w:rPr>
      </w:pPr>
      <w:r>
        <w:rPr>
          <w:rFonts w:ascii="Arial" w:cs="Arial" w:eastAsia="Arial" w:hAnsi="Arial"/>
          <w:sz w:val="22"/>
          <w:szCs w:val="22"/>
          <w:b w:val="1"/>
          <w:bCs w:val="1"/>
          <w:color w:val="3F000B"/>
        </w:rPr>
        <w:t>What are the voting rights of each class of stock?</w:t>
      </w:r>
    </w:p>
    <w:p>
      <w:pPr>
        <w:spacing w:after="0" w:line="179" w:lineRule="exact"/>
        <w:rPr>
          <w:sz w:val="20"/>
          <w:szCs w:val="20"/>
          <w:color w:val="auto"/>
        </w:rPr>
      </w:pPr>
    </w:p>
    <w:p>
      <w:pPr>
        <w:ind w:left="654" w:right="320" w:hanging="654"/>
        <w:spacing w:after="0" w:line="277" w:lineRule="auto"/>
        <w:tabs>
          <w:tab w:leader="none" w:pos="654"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Stockholders are entitled to cast one vote for each share of Common Stock held as of the Record Date, and 10 votes for each share of Class B Common Stock held as of the Record Date. There are no cumulative voting rights.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54"/>
          </w:cols>
          <w:pgMar w:left="346" w:top="1043" w:right="399" w:bottom="1440" w:gutter="0" w:footer="0" w:header="0"/>
        </w:sectPr>
      </w:pPr>
    </w:p>
    <w:bookmarkStart w:id="11" w:name="page12"/>
    <w:bookmarkEnd w:id="11"/>
    <w:p>
      <w:pPr>
        <w:ind w:left="654" w:hanging="654"/>
        <w:spacing w:after="0"/>
        <w:tabs>
          <w:tab w:leader="none" w:pos="654" w:val="left"/>
        </w:tabs>
        <w:numPr>
          <w:ilvl w:val="0"/>
          <w:numId w:val="30"/>
        </w:numPr>
        <w:rPr>
          <w:rFonts w:ascii="Arial" w:cs="Arial" w:eastAsia="Arial" w:hAnsi="Arial"/>
          <w:sz w:val="22"/>
          <w:szCs w:val="22"/>
          <w:b w:val="1"/>
          <w:bCs w:val="1"/>
          <w:color w:val="3F000B"/>
        </w:rPr>
      </w:pPr>
      <w:r>
        <w:rPr>
          <w:rFonts w:ascii="Arial" w:cs="Arial" w:eastAsia="Arial" w:hAnsi="Arial"/>
          <w:sz w:val="22"/>
          <w:szCs w:val="22"/>
          <w:b w:val="1"/>
          <w:bCs w:val="1"/>
          <w:color w:val="3F000B"/>
        </w:rPr>
        <w:t>Can I vote my shares before the Annual Meeting?</w:t>
      </w:r>
    </w:p>
    <w:p>
      <w:pPr>
        <w:spacing w:after="0" w:line="165" w:lineRule="exact"/>
        <w:rPr>
          <w:sz w:val="20"/>
          <w:szCs w:val="20"/>
          <w:color w:val="auto"/>
        </w:rPr>
      </w:pPr>
    </w:p>
    <w:p>
      <w:pPr>
        <w:ind w:left="654" w:hanging="654"/>
        <w:spacing w:after="0"/>
        <w:tabs>
          <w:tab w:leader="none" w:pos="654"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 xml:space="preserve">Yes. If you are a </w:t>
      </w:r>
      <w:r>
        <w:rPr>
          <w:rFonts w:ascii="Arial" w:cs="Arial" w:eastAsia="Arial" w:hAnsi="Arial"/>
          <w:sz w:val="18"/>
          <w:szCs w:val="18"/>
          <w:i w:val="1"/>
          <w:iCs w:val="1"/>
          <w:color w:val="auto"/>
        </w:rPr>
        <w:t>registered stockholder</w:t>
      </w:r>
      <w:r>
        <w:rPr>
          <w:rFonts w:ascii="Arial" w:cs="Arial" w:eastAsia="Arial" w:hAnsi="Arial"/>
          <w:sz w:val="18"/>
          <w:szCs w:val="18"/>
          <w:color w:val="auto"/>
        </w:rPr>
        <w:t>, there are three ways to vote your shares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109220</wp:posOffset>
            </wp:positionV>
            <wp:extent cx="50546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460" cy="445770"/>
                    </a:xfrm>
                    <a:prstGeom prst="rect">
                      <a:avLst/>
                    </a:prstGeom>
                    <a:noFill/>
                  </pic:spPr>
                </pic:pic>
              </a:graphicData>
            </a:graphic>
          </wp:anchor>
        </w:drawing>
      </w:r>
    </w:p>
    <w:p>
      <w:pPr>
        <w:spacing w:after="0" w:line="381" w:lineRule="exact"/>
        <w:rPr>
          <w:sz w:val="20"/>
          <w:szCs w:val="20"/>
          <w:color w:val="auto"/>
        </w:rPr>
      </w:pPr>
    </w:p>
    <w:p>
      <w:pPr>
        <w:ind w:left="1354" w:right="2640" w:hanging="469"/>
        <w:spacing w:after="0" w:line="265" w:lineRule="auto"/>
        <w:tabs>
          <w:tab w:leader="none" w:pos="1354" w:val="left"/>
        </w:tabs>
        <w:numPr>
          <w:ilvl w:val="0"/>
          <w:numId w:val="32"/>
        </w:numPr>
        <w:rPr>
          <w:rFonts w:ascii="Arial" w:cs="Arial" w:eastAsia="Arial" w:hAnsi="Arial"/>
          <w:sz w:val="20"/>
          <w:szCs w:val="20"/>
          <w:color w:val="FFFFFF"/>
        </w:rPr>
      </w:pPr>
      <w:r>
        <w:rPr>
          <w:rFonts w:ascii="Arial" w:cs="Arial" w:eastAsia="Arial" w:hAnsi="Arial"/>
          <w:sz w:val="12"/>
          <w:szCs w:val="12"/>
          <w:color w:val="auto"/>
        </w:rPr>
        <w:t xml:space="preserve">11:59 p.m. EDT on May 16, 2021. Have your Notice of Internet Availability of Proxy Materials or </w:t>
      </w:r>
      <w:r>
        <w:rPr>
          <w:rFonts w:ascii="Arial" w:cs="Arial" w:eastAsia="Arial" w:hAnsi="Arial"/>
          <w:sz w:val="17"/>
          <w:szCs w:val="17"/>
          <w:color w:val="auto"/>
          <w:vertAlign w:val="subscript"/>
        </w:rPr>
        <w:t>proxy card available and follow the instructions on the website to vote your shares.</w:t>
      </w:r>
      <w:r>
        <w:rPr>
          <w:rFonts w:ascii="Arial" w:cs="Arial" w:eastAsia="Arial" w:hAnsi="Arial"/>
          <w:sz w:val="12"/>
          <w:szCs w:val="12"/>
          <w:color w:val="auto"/>
        </w:rPr>
        <w:t>Byinternet</w:t>
      </w:r>
      <w:r>
        <w:rPr>
          <w:rFonts w:ascii="Arial" w:cs="Arial" w:eastAsia="Arial" w:hAnsi="Arial"/>
          <w:sz w:val="12"/>
          <w:szCs w:val="12"/>
          <w:i w:val="1"/>
          <w:iCs w:val="1"/>
          <w:color w:val="auto"/>
        </w:rPr>
        <w:t>(www.proxyvote.com)</w:t>
      </w:r>
      <w:r>
        <w:rPr>
          <w:rFonts w:ascii="Arial" w:cs="Arial" w:eastAsia="Arial" w:hAnsi="Arial"/>
          <w:sz w:val="12"/>
          <w:szCs w:val="12"/>
          <w:color w:val="auto"/>
        </w:rPr>
        <w:t>–Usetheinternettotransmityourvotinginstructions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105410</wp:posOffset>
            </wp:positionV>
            <wp:extent cx="50546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5460" cy="445770"/>
                    </a:xfrm>
                    <a:prstGeom prst="rect">
                      <a:avLst/>
                    </a:prstGeom>
                    <a:noFill/>
                  </pic:spPr>
                </pic:pic>
              </a:graphicData>
            </a:graphic>
          </wp:anchor>
        </w:drawing>
      </w:r>
    </w:p>
    <w:p>
      <w:pPr>
        <w:spacing w:after="0" w:line="374" w:lineRule="exact"/>
        <w:rPr>
          <w:sz w:val="20"/>
          <w:szCs w:val="20"/>
          <w:color w:val="auto"/>
        </w:rPr>
      </w:pPr>
    </w:p>
    <w:p>
      <w:pPr>
        <w:ind w:left="1354" w:right="700" w:hanging="482"/>
        <w:spacing w:after="0" w:line="186" w:lineRule="auto"/>
        <w:tabs>
          <w:tab w:leader="none" w:pos="1354" w:val="left"/>
        </w:tabs>
        <w:numPr>
          <w:ilvl w:val="0"/>
          <w:numId w:val="33"/>
        </w:numPr>
        <w:rPr>
          <w:rFonts w:ascii="Arial" w:cs="Arial" w:eastAsia="Arial" w:hAnsi="Arial"/>
          <w:sz w:val="27"/>
          <w:szCs w:val="27"/>
          <w:color w:val="FFFFFF"/>
        </w:rPr>
      </w:pPr>
      <w:r>
        <w:rPr>
          <w:rFonts w:ascii="Arial" w:cs="Arial" w:eastAsia="Arial" w:hAnsi="Arial"/>
          <w:sz w:val="14"/>
          <w:szCs w:val="14"/>
          <w:color w:val="auto"/>
        </w:rPr>
        <w:t xml:space="preserve">Internet Availability of Proxy Materials or proxy card available and follow the instructions provided by the recorded message </w:t>
      </w:r>
      <w:r>
        <w:rPr>
          <w:rFonts w:ascii="Arial" w:cs="Arial" w:eastAsia="Arial" w:hAnsi="Arial"/>
          <w:sz w:val="23"/>
          <w:szCs w:val="23"/>
          <w:color w:val="auto"/>
          <w:vertAlign w:val="subscript"/>
        </w:rPr>
        <w:t>to vote your shares.</w:t>
      </w:r>
      <w:r>
        <w:rPr>
          <w:rFonts w:ascii="Arial" w:cs="Arial" w:eastAsia="Arial" w:hAnsi="Arial"/>
          <w:sz w:val="14"/>
          <w:szCs w:val="14"/>
          <w:color w:val="auto"/>
        </w:rPr>
        <w:t>Bytelephone(800-690-6903) – Submit your vote by telephone until 11:59 p.m. EDT on May 16, 2021. Have your Notice of</w:t>
      </w:r>
    </w:p>
    <w:p>
      <w:pPr>
        <w:spacing w:after="0" w:line="189" w:lineRule="exact"/>
        <w:rPr>
          <w:sz w:val="20"/>
          <w:szCs w:val="20"/>
          <w:color w:val="auto"/>
        </w:rPr>
      </w:pPr>
    </w:p>
    <w:p>
      <w:pPr>
        <w:ind w:left="1354" w:right="580" w:hanging="469"/>
        <w:spacing w:after="0" w:line="181" w:lineRule="auto"/>
        <w:tabs>
          <w:tab w:leader="none" w:pos="1354" w:val="left"/>
        </w:tabs>
        <w:numPr>
          <w:ilvl w:val="0"/>
          <w:numId w:val="34"/>
        </w:numPr>
        <w:rPr>
          <w:rFonts w:ascii="Arial" w:cs="Arial" w:eastAsia="Arial" w:hAnsi="Arial"/>
          <w:sz w:val="46"/>
          <w:szCs w:val="46"/>
          <w:color w:val="FFFFFF"/>
          <w:vertAlign w:val="subscript"/>
        </w:rPr>
      </w:pPr>
      <w:r>
        <w:rPr>
          <w:rFonts w:ascii="Arial" w:cs="Arial" w:eastAsia="Arial" w:hAnsi="Arial"/>
          <w:sz w:val="15"/>
          <w:szCs w:val="15"/>
          <w:color w:val="auto"/>
        </w:rPr>
        <w:t>By mail – If you received a paper copy of the proxy materials, you can vote by mail by filling out the proxy card enclosed with those materials and returning it pursuant to the instructions set forth on the card. To be valid, proxy cards must be received before the start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-426085</wp:posOffset>
            </wp:positionV>
            <wp:extent cx="50546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460" cy="445770"/>
                    </a:xfrm>
                    <a:prstGeom prst="rect">
                      <a:avLst/>
                    </a:prstGeom>
                    <a:noFill/>
                  </pic:spPr>
                </pic:pic>
              </a:graphicData>
            </a:graphic>
          </wp:anchor>
        </w:drawing>
      </w:r>
    </w:p>
    <w:p>
      <w:pPr>
        <w:spacing w:after="0" w:line="144" w:lineRule="exact"/>
        <w:rPr>
          <w:sz w:val="20"/>
          <w:szCs w:val="20"/>
          <w:color w:val="auto"/>
        </w:rPr>
      </w:pPr>
    </w:p>
    <w:p>
      <w:pPr>
        <w:ind w:left="574" w:right="720"/>
        <w:spacing w:after="0" w:line="259" w:lineRule="auto"/>
        <w:rPr>
          <w:sz w:val="20"/>
          <w:szCs w:val="20"/>
          <w:color w:val="auto"/>
        </w:rPr>
      </w:pPr>
      <w:r>
        <w:rPr>
          <w:rFonts w:ascii="Arial" w:cs="Arial" w:eastAsia="Arial" w:hAnsi="Arial"/>
          <w:sz w:val="18"/>
          <w:szCs w:val="18"/>
          <w:color w:val="auto"/>
        </w:rPr>
        <w:t>If your shares are held in street name, your broker, bank or other holder of record may provide you with a Notice of Internet Availability of Proxy Materials that contains instructions on how to access our proxy materials and vote online or to request a paper or email copy of our proxy materials. If you received these materials in paper form, the materials included a voting instruction card so you can instruct your broker, bank or other holder of record how to vote your shares.</w:t>
      </w:r>
    </w:p>
    <w:p>
      <w:pPr>
        <w:spacing w:after="0" w:line="133" w:lineRule="exact"/>
        <w:rPr>
          <w:sz w:val="20"/>
          <w:szCs w:val="20"/>
          <w:color w:val="auto"/>
        </w:rPr>
      </w:pPr>
    </w:p>
    <w:p>
      <w:pPr>
        <w:ind w:left="574" w:right="740"/>
        <w:spacing w:after="0" w:line="277" w:lineRule="auto"/>
        <w:rPr>
          <w:sz w:val="20"/>
          <w:szCs w:val="20"/>
          <w:color w:val="auto"/>
        </w:rPr>
      </w:pPr>
      <w:r>
        <w:rPr>
          <w:rFonts w:ascii="Arial" w:cs="Arial" w:eastAsia="Arial" w:hAnsi="Arial"/>
          <w:sz w:val="18"/>
          <w:szCs w:val="18"/>
          <w:color w:val="auto"/>
        </w:rPr>
        <w:t>Please see the Notice of Internet Availability of Proxy Materials or the information your bank, broker or other holder of record provided you for more information on these voting options.</w:t>
      </w:r>
    </w:p>
    <w:p>
      <w:pPr>
        <w:spacing w:after="0" w:line="200" w:lineRule="exact"/>
        <w:rPr>
          <w:sz w:val="20"/>
          <w:szCs w:val="20"/>
          <w:color w:val="auto"/>
        </w:rPr>
      </w:pPr>
    </w:p>
    <w:p>
      <w:pPr>
        <w:spacing w:after="0" w:line="227" w:lineRule="exact"/>
        <w:rPr>
          <w:sz w:val="20"/>
          <w:szCs w:val="20"/>
          <w:color w:val="auto"/>
        </w:rPr>
      </w:pPr>
    </w:p>
    <w:p>
      <w:pPr>
        <w:ind w:left="654" w:hanging="654"/>
        <w:spacing w:after="0"/>
        <w:tabs>
          <w:tab w:leader="none" w:pos="654" w:val="left"/>
        </w:tabs>
        <w:numPr>
          <w:ilvl w:val="0"/>
          <w:numId w:val="35"/>
        </w:numPr>
        <w:rPr>
          <w:rFonts w:ascii="Arial" w:cs="Arial" w:eastAsia="Arial" w:hAnsi="Arial"/>
          <w:sz w:val="22"/>
          <w:szCs w:val="22"/>
          <w:b w:val="1"/>
          <w:bCs w:val="1"/>
          <w:color w:val="3F000B"/>
        </w:rPr>
      </w:pPr>
      <w:r>
        <w:rPr>
          <w:rFonts w:ascii="Arial" w:cs="Arial" w:eastAsia="Arial" w:hAnsi="Arial"/>
          <w:sz w:val="22"/>
          <w:szCs w:val="22"/>
          <w:b w:val="1"/>
          <w:bCs w:val="1"/>
          <w:color w:val="3F000B"/>
        </w:rPr>
        <w:t>Can I vote during the Annual Meeting instead of by proxy?</w:t>
      </w:r>
    </w:p>
    <w:p>
      <w:pPr>
        <w:spacing w:after="0" w:line="179" w:lineRule="exact"/>
        <w:rPr>
          <w:sz w:val="20"/>
          <w:szCs w:val="20"/>
          <w:color w:val="auto"/>
        </w:rPr>
      </w:pPr>
    </w:p>
    <w:p>
      <w:pPr>
        <w:ind w:left="654" w:right="180" w:hanging="654"/>
        <w:spacing w:after="0" w:line="277" w:lineRule="auto"/>
        <w:tabs>
          <w:tab w:leader="none" w:pos="654"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If you are a </w:t>
      </w:r>
      <w:r>
        <w:rPr>
          <w:rFonts w:ascii="Arial" w:cs="Arial" w:eastAsia="Arial" w:hAnsi="Arial"/>
          <w:sz w:val="18"/>
          <w:szCs w:val="18"/>
          <w:i w:val="1"/>
          <w:iCs w:val="1"/>
          <w:color w:val="auto"/>
        </w:rPr>
        <w:t>registered stockholder</w:t>
      </w:r>
      <w:r>
        <w:rPr>
          <w:rFonts w:ascii="Arial" w:cs="Arial" w:eastAsia="Arial" w:hAnsi="Arial"/>
          <w:sz w:val="18"/>
          <w:szCs w:val="18"/>
          <w:color w:val="auto"/>
        </w:rPr>
        <w:t>, you can vote during the Annual Meeting any shares that were registered in your name as the stockholder of record as of the Record Date.</w:t>
      </w:r>
    </w:p>
    <w:p>
      <w:pPr>
        <w:spacing w:after="0" w:line="116" w:lineRule="exact"/>
        <w:rPr>
          <w:rFonts w:ascii="Arial" w:cs="Arial" w:eastAsia="Arial" w:hAnsi="Arial"/>
          <w:sz w:val="18"/>
          <w:szCs w:val="18"/>
          <w:b w:val="1"/>
          <w:bCs w:val="1"/>
          <w:color w:val="auto"/>
        </w:rPr>
      </w:pPr>
    </w:p>
    <w:p>
      <w:pPr>
        <w:jc w:val="both"/>
        <w:ind w:left="654"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your shares are held in street name, you can vote those shares during the Annual Meeting only if you have a legal proxy from the holder of record. If you plan to attend and vote your street-name shares during the Annual Meeting, you should request a legal proxy from your broker, bank or other holder of record.</w:t>
      </w:r>
    </w:p>
    <w:p>
      <w:pPr>
        <w:spacing w:after="0" w:line="129" w:lineRule="exact"/>
        <w:rPr>
          <w:rFonts w:ascii="Arial" w:cs="Arial" w:eastAsia="Arial" w:hAnsi="Arial"/>
          <w:sz w:val="18"/>
          <w:szCs w:val="18"/>
          <w:b w:val="1"/>
          <w:bCs w:val="1"/>
          <w:color w:val="auto"/>
        </w:rPr>
      </w:pPr>
    </w:p>
    <w:p>
      <w:pPr>
        <w:ind w:left="654"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To vote your shares during the Annual Meeting, log into </w:t>
      </w:r>
      <w:r>
        <w:rPr>
          <w:rFonts w:ascii="Arial" w:cs="Arial" w:eastAsia="Arial" w:hAnsi="Arial"/>
          <w:sz w:val="18"/>
          <w:szCs w:val="18"/>
          <w:i w:val="1"/>
          <w:iCs w:val="1"/>
          <w:color w:val="auto"/>
        </w:rPr>
        <w:t>www.virtualshareholdermeeting.com/HSY2021</w:t>
      </w:r>
      <w:r>
        <w:rPr>
          <w:rFonts w:ascii="Arial" w:cs="Arial" w:eastAsia="Arial" w:hAnsi="Arial"/>
          <w:sz w:val="18"/>
          <w:szCs w:val="18"/>
          <w:color w:val="auto"/>
        </w:rPr>
        <w:t xml:space="preserve"> and follow the voting instructions. You will need the 16-digit control number that is shown on your Notice of Internet Availability of Proxy Materials or on your proxy card. Shares may not be voted after the polls close.</w:t>
      </w:r>
    </w:p>
    <w:p>
      <w:pPr>
        <w:spacing w:after="0" w:line="129" w:lineRule="exact"/>
        <w:rPr>
          <w:rFonts w:ascii="Arial" w:cs="Arial" w:eastAsia="Arial" w:hAnsi="Arial"/>
          <w:sz w:val="18"/>
          <w:szCs w:val="18"/>
          <w:b w:val="1"/>
          <w:bCs w:val="1"/>
          <w:color w:val="auto"/>
        </w:rPr>
      </w:pPr>
    </w:p>
    <w:p>
      <w:pPr>
        <w:ind w:left="654"/>
        <w:spacing w:after="0"/>
        <w:rPr>
          <w:rFonts w:ascii="Arial" w:cs="Arial" w:eastAsia="Arial" w:hAnsi="Arial"/>
          <w:sz w:val="18"/>
          <w:szCs w:val="18"/>
          <w:b w:val="1"/>
          <w:bCs w:val="1"/>
          <w:color w:val="auto"/>
        </w:rPr>
      </w:pPr>
      <w:r>
        <w:rPr>
          <w:rFonts w:ascii="Arial" w:cs="Arial" w:eastAsia="Arial" w:hAnsi="Arial"/>
          <w:sz w:val="16"/>
          <w:szCs w:val="16"/>
          <w:color w:val="auto"/>
        </w:rPr>
        <w:t>Whether or not you plan to attend the Annual Meeting, we strongly encourage you to vote your shares by proxy prior to the Annual Meeting.</w:t>
      </w:r>
    </w:p>
    <w:p>
      <w:pPr>
        <w:spacing w:after="0" w:line="200" w:lineRule="exact"/>
        <w:rPr>
          <w:sz w:val="20"/>
          <w:szCs w:val="20"/>
          <w:color w:val="auto"/>
        </w:rPr>
      </w:pPr>
    </w:p>
    <w:p>
      <w:pPr>
        <w:spacing w:after="0" w:line="332" w:lineRule="exact"/>
        <w:rPr>
          <w:sz w:val="20"/>
          <w:szCs w:val="20"/>
          <w:color w:val="auto"/>
        </w:rPr>
      </w:pPr>
    </w:p>
    <w:p>
      <w:pPr>
        <w:ind w:left="654" w:hanging="654"/>
        <w:spacing w:after="0"/>
        <w:tabs>
          <w:tab w:leader="none" w:pos="654" w:val="left"/>
        </w:tabs>
        <w:numPr>
          <w:ilvl w:val="0"/>
          <w:numId w:val="37"/>
        </w:numPr>
        <w:rPr>
          <w:rFonts w:ascii="Arial" w:cs="Arial" w:eastAsia="Arial" w:hAnsi="Arial"/>
          <w:sz w:val="22"/>
          <w:szCs w:val="22"/>
          <w:b w:val="1"/>
          <w:bCs w:val="1"/>
          <w:color w:val="3F000B"/>
        </w:rPr>
      </w:pPr>
      <w:r>
        <w:rPr>
          <w:rFonts w:ascii="Arial" w:cs="Arial" w:eastAsia="Arial" w:hAnsi="Arial"/>
          <w:sz w:val="22"/>
          <w:szCs w:val="22"/>
          <w:b w:val="1"/>
          <w:bCs w:val="1"/>
          <w:color w:val="3F000B"/>
        </w:rPr>
        <w:t>Can I revoke my proxy or change my voting instructions once submitted?</w:t>
      </w:r>
    </w:p>
    <w:p>
      <w:pPr>
        <w:spacing w:after="0" w:line="179" w:lineRule="exact"/>
        <w:rPr>
          <w:sz w:val="20"/>
          <w:szCs w:val="20"/>
          <w:color w:val="auto"/>
        </w:rPr>
      </w:pPr>
    </w:p>
    <w:p>
      <w:pPr>
        <w:ind w:left="654" w:hanging="654"/>
        <w:spacing w:after="0"/>
        <w:tabs>
          <w:tab w:leader="none" w:pos="65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 xml:space="preserve">If you are a </w:t>
      </w:r>
      <w:r>
        <w:rPr>
          <w:rFonts w:ascii="Arial" w:cs="Arial" w:eastAsia="Arial" w:hAnsi="Arial"/>
          <w:sz w:val="18"/>
          <w:szCs w:val="18"/>
          <w:i w:val="1"/>
          <w:iCs w:val="1"/>
          <w:color w:val="auto"/>
        </w:rPr>
        <w:t>registered stockholder</w:t>
      </w:r>
      <w:r>
        <w:rPr>
          <w:rFonts w:ascii="Arial" w:cs="Arial" w:eastAsia="Arial" w:hAnsi="Arial"/>
          <w:sz w:val="18"/>
          <w:szCs w:val="18"/>
          <w:color w:val="auto"/>
        </w:rPr>
        <w:t>, you can revoke your proxy and change your vote prior to the Annual Meeting by:</w:t>
      </w:r>
    </w:p>
    <w:p>
      <w:pPr>
        <w:spacing w:after="0" w:line="117" w:lineRule="exact"/>
        <w:rPr>
          <w:rFonts w:ascii="Arial" w:cs="Arial" w:eastAsia="Arial" w:hAnsi="Arial"/>
          <w:sz w:val="18"/>
          <w:szCs w:val="18"/>
          <w:b w:val="1"/>
          <w:bCs w:val="1"/>
          <w:color w:val="auto"/>
        </w:rPr>
      </w:pPr>
    </w:p>
    <w:p>
      <w:pPr>
        <w:ind w:left="994" w:hanging="324"/>
        <w:spacing w:after="0" w:line="277" w:lineRule="auto"/>
        <w:tabs>
          <w:tab w:leader="none" w:pos="9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Sending a written notice of revocation to our Secretary at 19 East Chocolate Avenue, Hershey, Pennsylvania 17033 (the notification must be received by the close of business on May 12, 2021);</w:t>
      </w:r>
    </w:p>
    <w:p>
      <w:pPr>
        <w:spacing w:after="0" w:line="8" w:lineRule="exact"/>
        <w:rPr>
          <w:rFonts w:ascii="Arial" w:cs="Arial" w:eastAsia="Arial" w:hAnsi="Arial"/>
          <w:sz w:val="18"/>
          <w:szCs w:val="18"/>
          <w:color w:val="auto"/>
        </w:rPr>
      </w:pPr>
    </w:p>
    <w:p>
      <w:pPr>
        <w:ind w:left="994" w:hanging="324"/>
        <w:spacing w:after="0"/>
        <w:tabs>
          <w:tab w:leader="none" w:pos="994" w:val="left"/>
        </w:tabs>
        <w:numPr>
          <w:ilvl w:val="1"/>
          <w:numId w:val="38"/>
        </w:numPr>
        <w:rPr>
          <w:rFonts w:ascii="Arial" w:cs="Arial" w:eastAsia="Arial" w:hAnsi="Arial"/>
          <w:sz w:val="17"/>
          <w:szCs w:val="17"/>
          <w:color w:val="auto"/>
        </w:rPr>
      </w:pPr>
      <w:r>
        <w:rPr>
          <w:rFonts w:ascii="Arial" w:cs="Arial" w:eastAsia="Arial" w:hAnsi="Arial"/>
          <w:sz w:val="17"/>
          <w:szCs w:val="17"/>
          <w:color w:val="auto"/>
        </w:rPr>
        <w:t>Voting again by internet or telephone prior to 11:59 p.m. EDT on May 16, 2021 (only the latest vote you submit will be counted); or</w:t>
      </w:r>
    </w:p>
    <w:p>
      <w:pPr>
        <w:spacing w:after="0" w:line="74" w:lineRule="exact"/>
        <w:rPr>
          <w:rFonts w:ascii="Arial" w:cs="Arial" w:eastAsia="Arial" w:hAnsi="Arial"/>
          <w:sz w:val="17"/>
          <w:szCs w:val="17"/>
          <w:color w:val="auto"/>
        </w:rPr>
      </w:pPr>
    </w:p>
    <w:p>
      <w:pPr>
        <w:ind w:left="994" w:right="360" w:hanging="324"/>
        <w:spacing w:after="0" w:line="277" w:lineRule="auto"/>
        <w:tabs>
          <w:tab w:leader="none" w:pos="9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Submitting a new properly signed and dated paper proxy card with a later date (your proxy card must be received before the start of the Annual Meeting).</w:t>
      </w:r>
    </w:p>
    <w:p>
      <w:pPr>
        <w:spacing w:after="0" w:line="103" w:lineRule="exact"/>
        <w:rPr>
          <w:sz w:val="20"/>
          <w:szCs w:val="20"/>
          <w:color w:val="auto"/>
        </w:rPr>
      </w:pPr>
    </w:p>
    <w:p>
      <w:pPr>
        <w:ind w:left="654"/>
        <w:spacing w:after="0" w:line="277" w:lineRule="auto"/>
        <w:rPr>
          <w:sz w:val="20"/>
          <w:szCs w:val="20"/>
          <w:color w:val="auto"/>
        </w:rPr>
      </w:pPr>
      <w:r>
        <w:rPr>
          <w:rFonts w:ascii="Arial" w:cs="Arial" w:eastAsia="Arial" w:hAnsi="Arial"/>
          <w:sz w:val="18"/>
          <w:szCs w:val="18"/>
          <w:color w:val="auto"/>
        </w:rPr>
        <w:t xml:space="preserve">If your shares are held in </w:t>
      </w:r>
      <w:r>
        <w:rPr>
          <w:rFonts w:ascii="Arial" w:cs="Arial" w:eastAsia="Arial" w:hAnsi="Arial"/>
          <w:sz w:val="18"/>
          <w:szCs w:val="18"/>
          <w:i w:val="1"/>
          <w:iCs w:val="1"/>
          <w:color w:val="auto"/>
        </w:rPr>
        <w:t>street name</w:t>
      </w:r>
      <w:r>
        <w:rPr>
          <w:rFonts w:ascii="Arial" w:cs="Arial" w:eastAsia="Arial" w:hAnsi="Arial"/>
          <w:sz w:val="18"/>
          <w:szCs w:val="18"/>
          <w:color w:val="auto"/>
        </w:rPr>
        <w:t>, you should contact your broker, bank or other holder of record about revoking your voting instructions and changing your vote prior to the Annual Meeting.</w:t>
      </w:r>
    </w:p>
    <w:p>
      <w:pPr>
        <w:spacing w:after="0" w:line="116" w:lineRule="exact"/>
        <w:rPr>
          <w:sz w:val="20"/>
          <w:szCs w:val="20"/>
          <w:color w:val="auto"/>
        </w:rPr>
      </w:pPr>
    </w:p>
    <w:p>
      <w:pPr>
        <w:ind w:left="654" w:right="300"/>
        <w:spacing w:after="0" w:line="308" w:lineRule="auto"/>
        <w:rPr>
          <w:sz w:val="20"/>
          <w:szCs w:val="20"/>
          <w:color w:val="auto"/>
        </w:rPr>
      </w:pPr>
      <w:r>
        <w:rPr>
          <w:rFonts w:ascii="Arial" w:cs="Arial" w:eastAsia="Arial" w:hAnsi="Arial"/>
          <w:sz w:val="17"/>
          <w:szCs w:val="17"/>
          <w:color w:val="auto"/>
        </w:rPr>
        <w:t xml:space="preserve">If you are eligible to vote during the Annual Meeting, you also can revoke your proxy or voting instructions and change your vote during the Annual Meeting by logging into </w:t>
      </w:r>
      <w:r>
        <w:rPr>
          <w:rFonts w:ascii="Arial" w:cs="Arial" w:eastAsia="Arial" w:hAnsi="Arial"/>
          <w:sz w:val="17"/>
          <w:szCs w:val="17"/>
          <w:i w:val="1"/>
          <w:iCs w:val="1"/>
          <w:color w:val="auto"/>
        </w:rPr>
        <w:t>www.virtualshareholdermeeting.com/HSY2021</w:t>
      </w:r>
      <w:r>
        <w:rPr>
          <w:rFonts w:ascii="Arial" w:cs="Arial" w:eastAsia="Arial" w:hAnsi="Arial"/>
          <w:sz w:val="17"/>
          <w:szCs w:val="17"/>
          <w:color w:val="auto"/>
        </w:rPr>
        <w:t xml:space="preserve"> and following the voting instructions.</w:t>
      </w:r>
    </w:p>
    <w:p>
      <w:pPr>
        <w:sectPr>
          <w:pgSz w:w="11900" w:h="16838" w:orient="portrait"/>
          <w:cols w:equalWidth="0" w:num="1">
            <w:col w:w="11094"/>
          </w:cols>
          <w:pgMar w:left="346" w:top="10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3"/>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94"/>
          </w:cols>
          <w:pgMar w:left="346" w:top="1044" w:right="459" w:bottom="1440" w:gutter="0" w:footer="0" w:header="0"/>
          <w:type w:val="continuous"/>
        </w:sectPr>
      </w:pPr>
    </w:p>
    <w:bookmarkStart w:id="12" w:name="page13"/>
    <w:bookmarkEnd w:id="12"/>
    <w:p>
      <w:pPr>
        <w:ind w:left="654" w:hanging="654"/>
        <w:spacing w:after="0"/>
        <w:tabs>
          <w:tab w:leader="none" w:pos="654" w:val="left"/>
        </w:tabs>
        <w:numPr>
          <w:ilvl w:val="0"/>
          <w:numId w:val="39"/>
        </w:numPr>
        <w:rPr>
          <w:rFonts w:ascii="Arial" w:cs="Arial" w:eastAsia="Arial" w:hAnsi="Arial"/>
          <w:sz w:val="22"/>
          <w:szCs w:val="22"/>
          <w:b w:val="1"/>
          <w:bCs w:val="1"/>
          <w:color w:val="3F000B"/>
        </w:rPr>
      </w:pPr>
      <w:r>
        <w:rPr>
          <w:rFonts w:ascii="Arial" w:cs="Arial" w:eastAsia="Arial" w:hAnsi="Arial"/>
          <w:sz w:val="22"/>
          <w:szCs w:val="22"/>
          <w:b w:val="1"/>
          <w:bCs w:val="1"/>
          <w:color w:val="3F000B"/>
        </w:rPr>
        <w:t>What will happen if I submit my proxy but do not vote on a proposal?</w:t>
      </w:r>
    </w:p>
    <w:p>
      <w:pPr>
        <w:spacing w:after="0" w:line="165" w:lineRule="exact"/>
        <w:rPr>
          <w:sz w:val="20"/>
          <w:szCs w:val="20"/>
          <w:color w:val="auto"/>
        </w:rPr>
      </w:pPr>
    </w:p>
    <w:p>
      <w:pPr>
        <w:ind w:left="654" w:right="380" w:hanging="654"/>
        <w:spacing w:after="0" w:line="277" w:lineRule="auto"/>
        <w:tabs>
          <w:tab w:leader="none" w:pos="654"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you submit a valid proxy but fail to provide instructions on how you want your shares to be voted, your proxy will be voted in the manner recommended by the Board on all matters presented in this Proxy Statement, which is as follows:</w:t>
      </w:r>
    </w:p>
    <w:p>
      <w:pPr>
        <w:spacing w:after="0" w:line="75" w:lineRule="exact"/>
        <w:rPr>
          <w:rFonts w:ascii="Arial" w:cs="Arial" w:eastAsia="Arial" w:hAnsi="Arial"/>
          <w:sz w:val="18"/>
          <w:szCs w:val="18"/>
          <w:b w:val="1"/>
          <w:bCs w:val="1"/>
          <w:color w:val="auto"/>
        </w:rPr>
      </w:pPr>
    </w:p>
    <w:p>
      <w:pPr>
        <w:ind w:left="994" w:hanging="324"/>
        <w:spacing w:after="0"/>
        <w:tabs>
          <w:tab w:leader="none" w:pos="9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election of all director nominees;</w:t>
      </w:r>
    </w:p>
    <w:p>
      <w:pPr>
        <w:spacing w:after="0" w:line="23" w:lineRule="exact"/>
        <w:rPr>
          <w:rFonts w:ascii="Arial" w:cs="Arial" w:eastAsia="Arial" w:hAnsi="Arial"/>
          <w:sz w:val="18"/>
          <w:szCs w:val="18"/>
          <w:color w:val="auto"/>
        </w:rPr>
      </w:pPr>
    </w:p>
    <w:p>
      <w:pPr>
        <w:ind w:left="994" w:hanging="324"/>
        <w:spacing w:after="0"/>
        <w:tabs>
          <w:tab w:leader="none" w:pos="9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auditors; and</w:t>
      </w:r>
    </w:p>
    <w:p>
      <w:pPr>
        <w:spacing w:after="0" w:line="9" w:lineRule="exact"/>
        <w:rPr>
          <w:rFonts w:ascii="Arial" w:cs="Arial" w:eastAsia="Arial" w:hAnsi="Arial"/>
          <w:sz w:val="18"/>
          <w:szCs w:val="18"/>
          <w:color w:val="auto"/>
        </w:rPr>
      </w:pPr>
    </w:p>
    <w:p>
      <w:pPr>
        <w:ind w:left="994" w:hanging="324"/>
        <w:spacing w:after="0"/>
        <w:tabs>
          <w:tab w:leader="none" w:pos="9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approval of the compensation of the Company’s named executive officers (“NEOs”).</w:t>
      </w:r>
    </w:p>
    <w:p>
      <w:pPr>
        <w:spacing w:after="0" w:line="143" w:lineRule="exact"/>
        <w:rPr>
          <w:sz w:val="20"/>
          <w:szCs w:val="20"/>
          <w:color w:val="auto"/>
        </w:rPr>
      </w:pPr>
    </w:p>
    <w:p>
      <w:pPr>
        <w:ind w:left="654"/>
        <w:spacing w:after="0" w:line="277" w:lineRule="auto"/>
        <w:rPr>
          <w:sz w:val="20"/>
          <w:szCs w:val="20"/>
          <w:color w:val="auto"/>
        </w:rPr>
      </w:pPr>
      <w:r>
        <w:rPr>
          <w:rFonts w:ascii="Arial" w:cs="Arial" w:eastAsia="Arial" w:hAnsi="Arial"/>
          <w:sz w:val="18"/>
          <w:szCs w:val="18"/>
          <w:color w:val="auto"/>
        </w:rPr>
        <w:t>If any other item is properly presented for a vote at the Annual Meeting, the shares represented by your properly submitted proxy will be voted at the discretion of the proxies.</w:t>
      </w:r>
    </w:p>
    <w:p>
      <w:pPr>
        <w:spacing w:after="0" w:line="200" w:lineRule="exact"/>
        <w:rPr>
          <w:sz w:val="20"/>
          <w:szCs w:val="20"/>
          <w:color w:val="auto"/>
        </w:rPr>
      </w:pPr>
    </w:p>
    <w:p>
      <w:pPr>
        <w:spacing w:after="0" w:line="254" w:lineRule="exact"/>
        <w:rPr>
          <w:sz w:val="20"/>
          <w:szCs w:val="20"/>
          <w:color w:val="auto"/>
        </w:rPr>
      </w:pPr>
    </w:p>
    <w:p>
      <w:pPr>
        <w:ind w:left="654" w:hanging="654"/>
        <w:spacing w:after="0"/>
        <w:tabs>
          <w:tab w:leader="none" w:pos="654" w:val="left"/>
        </w:tabs>
        <w:numPr>
          <w:ilvl w:val="0"/>
          <w:numId w:val="41"/>
        </w:numPr>
        <w:rPr>
          <w:rFonts w:ascii="Arial" w:cs="Arial" w:eastAsia="Arial" w:hAnsi="Arial"/>
          <w:sz w:val="22"/>
          <w:szCs w:val="22"/>
          <w:b w:val="1"/>
          <w:bCs w:val="1"/>
          <w:color w:val="3F000B"/>
        </w:rPr>
      </w:pPr>
      <w:r>
        <w:rPr>
          <w:rFonts w:ascii="Arial" w:cs="Arial" w:eastAsia="Arial" w:hAnsi="Arial"/>
          <w:sz w:val="22"/>
          <w:szCs w:val="22"/>
          <w:b w:val="1"/>
          <w:bCs w:val="1"/>
          <w:color w:val="3F000B"/>
        </w:rPr>
        <w:t>What will happen if I neither submit my proxy nor vote my shares during the Annual Meeting?</w:t>
      </w:r>
    </w:p>
    <w:p>
      <w:pPr>
        <w:spacing w:after="0" w:line="179" w:lineRule="exact"/>
        <w:rPr>
          <w:sz w:val="20"/>
          <w:szCs w:val="20"/>
          <w:color w:val="auto"/>
        </w:rPr>
      </w:pPr>
    </w:p>
    <w:p>
      <w:pPr>
        <w:ind w:left="654" w:hanging="654"/>
        <w:spacing w:after="0"/>
        <w:tabs>
          <w:tab w:leader="none" w:pos="654"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If you are a </w:t>
      </w:r>
      <w:r>
        <w:rPr>
          <w:rFonts w:ascii="Arial" w:cs="Arial" w:eastAsia="Arial" w:hAnsi="Arial"/>
          <w:sz w:val="18"/>
          <w:szCs w:val="18"/>
          <w:i w:val="1"/>
          <w:iCs w:val="1"/>
          <w:color w:val="auto"/>
        </w:rPr>
        <w:t>registered stockholder</w:t>
      </w:r>
      <w:r>
        <w:rPr>
          <w:rFonts w:ascii="Arial" w:cs="Arial" w:eastAsia="Arial" w:hAnsi="Arial"/>
          <w:sz w:val="18"/>
          <w:szCs w:val="18"/>
          <w:color w:val="auto"/>
        </w:rPr>
        <w:t>, your shares will not be voted.</w:t>
      </w:r>
    </w:p>
    <w:p>
      <w:pPr>
        <w:spacing w:after="0" w:line="171" w:lineRule="exact"/>
        <w:rPr>
          <w:rFonts w:ascii="Arial" w:cs="Arial" w:eastAsia="Arial" w:hAnsi="Arial"/>
          <w:sz w:val="18"/>
          <w:szCs w:val="18"/>
          <w:b w:val="1"/>
          <w:bCs w:val="1"/>
          <w:color w:val="auto"/>
        </w:rPr>
      </w:pPr>
    </w:p>
    <w:p>
      <w:pPr>
        <w:ind w:left="654"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If your shares are held in </w:t>
      </w:r>
      <w:r>
        <w:rPr>
          <w:rFonts w:ascii="Arial" w:cs="Arial" w:eastAsia="Arial" w:hAnsi="Arial"/>
          <w:sz w:val="16"/>
          <w:szCs w:val="16"/>
          <w:i w:val="1"/>
          <w:iCs w:val="1"/>
          <w:color w:val="auto"/>
        </w:rPr>
        <w:t>street name</w:t>
      </w:r>
      <w:r>
        <w:rPr>
          <w:rFonts w:ascii="Arial" w:cs="Arial" w:eastAsia="Arial" w:hAnsi="Arial"/>
          <w:sz w:val="16"/>
          <w:szCs w:val="16"/>
          <w:color w:val="auto"/>
        </w:rPr>
        <w:t>, your broker, bank or other holder of record may vote your shares on certain “routine” matters. The ratification of independent auditors is currently considered to be a routine matter. On this matter, your broker, bank or other holder of record can:</w:t>
      </w:r>
    </w:p>
    <w:p>
      <w:pPr>
        <w:spacing w:after="0" w:line="29" w:lineRule="exact"/>
        <w:rPr>
          <w:rFonts w:ascii="Arial" w:cs="Arial" w:eastAsia="Arial" w:hAnsi="Arial"/>
          <w:sz w:val="18"/>
          <w:szCs w:val="18"/>
          <w:b w:val="1"/>
          <w:bCs w:val="1"/>
          <w:color w:val="auto"/>
        </w:rPr>
      </w:pPr>
    </w:p>
    <w:p>
      <w:pPr>
        <w:ind w:left="994" w:hanging="324"/>
        <w:spacing w:after="0"/>
        <w:tabs>
          <w:tab w:leader="none" w:pos="9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Vote your street-name shares even though you have not provided voting instructions; or</w:t>
      </w:r>
    </w:p>
    <w:p>
      <w:pPr>
        <w:spacing w:after="0" w:line="23" w:lineRule="exact"/>
        <w:rPr>
          <w:rFonts w:ascii="Arial" w:cs="Arial" w:eastAsia="Arial" w:hAnsi="Arial"/>
          <w:sz w:val="18"/>
          <w:szCs w:val="18"/>
          <w:color w:val="auto"/>
        </w:rPr>
      </w:pPr>
    </w:p>
    <w:p>
      <w:pPr>
        <w:ind w:left="994" w:hanging="324"/>
        <w:spacing w:after="0"/>
        <w:tabs>
          <w:tab w:leader="none" w:pos="994"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Choose not to vote your shares.</w:t>
      </w:r>
    </w:p>
    <w:p>
      <w:pPr>
        <w:spacing w:after="0" w:line="143" w:lineRule="exact"/>
        <w:rPr>
          <w:sz w:val="20"/>
          <w:szCs w:val="20"/>
          <w:color w:val="auto"/>
        </w:rPr>
      </w:pPr>
    </w:p>
    <w:p>
      <w:pPr>
        <w:ind w:left="654" w:right="40"/>
        <w:spacing w:after="0" w:line="342" w:lineRule="auto"/>
        <w:rPr>
          <w:sz w:val="20"/>
          <w:szCs w:val="20"/>
          <w:color w:val="auto"/>
        </w:rPr>
      </w:pPr>
      <w:r>
        <w:rPr>
          <w:rFonts w:ascii="Arial" w:cs="Arial" w:eastAsia="Arial" w:hAnsi="Arial"/>
          <w:sz w:val="16"/>
          <w:szCs w:val="16"/>
          <w:color w:val="auto"/>
        </w:rPr>
        <w:t>The other matters you are being asked to vote on are not routine and cannot be voted by your broker, bank or other holder of record without your instructions. When a broker, bank or other holder of record is unable to vote shares for this reason, it is called a “broker non-vote.”</w:t>
      </w:r>
    </w:p>
    <w:p>
      <w:pPr>
        <w:spacing w:after="0" w:line="354" w:lineRule="exact"/>
        <w:rPr>
          <w:sz w:val="20"/>
          <w:szCs w:val="20"/>
          <w:color w:val="auto"/>
        </w:rPr>
      </w:pPr>
    </w:p>
    <w:p>
      <w:pPr>
        <w:ind w:left="654" w:hanging="654"/>
        <w:spacing w:after="0"/>
        <w:tabs>
          <w:tab w:leader="none" w:pos="654" w:val="left"/>
        </w:tabs>
        <w:numPr>
          <w:ilvl w:val="0"/>
          <w:numId w:val="43"/>
        </w:numPr>
        <w:rPr>
          <w:rFonts w:ascii="Arial" w:cs="Arial" w:eastAsia="Arial" w:hAnsi="Arial"/>
          <w:sz w:val="22"/>
          <w:szCs w:val="22"/>
          <w:b w:val="1"/>
          <w:bCs w:val="1"/>
          <w:color w:val="3F000B"/>
        </w:rPr>
      </w:pPr>
      <w:r>
        <w:rPr>
          <w:rFonts w:ascii="Arial" w:cs="Arial" w:eastAsia="Arial" w:hAnsi="Arial"/>
          <w:sz w:val="22"/>
          <w:szCs w:val="22"/>
          <w:b w:val="1"/>
          <w:bCs w:val="1"/>
          <w:color w:val="3F000B"/>
        </w:rPr>
        <w:t>How do I vote my shares in the Company’s Automatic Dividend Reinvestment Service Plan?</w:t>
      </w:r>
    </w:p>
    <w:p>
      <w:pPr>
        <w:spacing w:after="0" w:line="179" w:lineRule="exact"/>
        <w:rPr>
          <w:sz w:val="20"/>
          <w:szCs w:val="20"/>
          <w:color w:val="auto"/>
        </w:rPr>
      </w:pPr>
    </w:p>
    <w:p>
      <w:pPr>
        <w:ind w:left="654" w:right="160" w:hanging="654"/>
        <w:spacing w:after="0" w:line="286" w:lineRule="auto"/>
        <w:tabs>
          <w:tab w:leader="none" w:pos="654"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Computershare, our transfer agent, has arranged for any shares that you hold in the Automatic Dividend Reinvestment Service Plan to be included in the total registered shares of Common Stock shown on the Notice of Internet Availability of Proxy Materials or proxy card we have provided you. By voting these shares, you also will be voting your shares in the Automatic Dividend Reinvestment Service Plan.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14"/>
          </w:cols>
          <w:pgMar w:left="346" w:top="1044" w:right="439" w:bottom="1440" w:gutter="0" w:footer="0" w:header="0"/>
        </w:sectPr>
      </w:pPr>
    </w:p>
    <w:bookmarkStart w:id="13" w:name="page14"/>
    <w:bookmarkEnd w:id="13"/>
    <w:p>
      <w:pPr>
        <w:ind w:left="654" w:hanging="654"/>
        <w:spacing w:after="0"/>
        <w:tabs>
          <w:tab w:leader="none" w:pos="654" w:val="left"/>
        </w:tabs>
        <w:numPr>
          <w:ilvl w:val="0"/>
          <w:numId w:val="45"/>
        </w:numPr>
        <w:rPr>
          <w:rFonts w:ascii="Arial" w:cs="Arial" w:eastAsia="Arial" w:hAnsi="Arial"/>
          <w:sz w:val="19"/>
          <w:szCs w:val="19"/>
          <w:b w:val="1"/>
          <w:bCs w:val="1"/>
          <w:color w:val="3F000B"/>
        </w:rPr>
      </w:pPr>
      <w:r>
        <w:rPr>
          <w:rFonts w:ascii="Arial" w:cs="Arial" w:eastAsia="Arial" w:hAnsi="Arial"/>
          <w:sz w:val="19"/>
          <w:szCs w:val="19"/>
          <w:b w:val="1"/>
          <w:bCs w:val="1"/>
          <w:color w:val="3F000B"/>
        </w:rPr>
        <w:t>What does it mean if I received more than one Notice of Internet Availability of Proxy Materials or proxy card?</w:t>
      </w:r>
    </w:p>
    <w:p>
      <w:pPr>
        <w:spacing w:after="0" w:line="200" w:lineRule="exact"/>
        <w:rPr>
          <w:sz w:val="20"/>
          <w:szCs w:val="20"/>
          <w:color w:val="auto"/>
        </w:rPr>
      </w:pPr>
    </w:p>
    <w:p>
      <w:pPr>
        <w:ind w:left="654" w:right="180" w:hanging="654"/>
        <w:spacing w:after="0" w:line="273" w:lineRule="auto"/>
        <w:tabs>
          <w:tab w:leader="none" w:pos="654"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You probably have multiple accounts with us and/or brokers, banks or other holders of record. You should vote all of the shares represented by these Notices/proxy cards. Certain brokers, banks and other holders of record have procedures in place to discontinue duplicate mailings upon a stockholder’s request. You should contact your broker, bank or other holder of record for more information. Additionally, Computershare can assist you if you want to consolidate multiple registered accounts existing in your name. To contact Computershare, visit their website at www.computershare.com/investor; or write to P.O. Box 505000, Louisville, KY 40233-5000; or for overnight delivery, to Computershare, 462 South 4th Street, Suite 1600, Louisville, KY 40202; or call:</w:t>
      </w:r>
    </w:p>
    <w:p>
      <w:pPr>
        <w:spacing w:after="0" w:line="83" w:lineRule="exact"/>
        <w:rPr>
          <w:rFonts w:ascii="Arial" w:cs="Arial" w:eastAsia="Arial" w:hAnsi="Arial"/>
          <w:sz w:val="17"/>
          <w:szCs w:val="17"/>
          <w:b w:val="1"/>
          <w:bCs w:val="1"/>
          <w:color w:val="auto"/>
        </w:rPr>
      </w:pPr>
    </w:p>
    <w:p>
      <w:pPr>
        <w:ind w:left="994" w:hanging="324"/>
        <w:spacing w:after="0"/>
        <w:tabs>
          <w:tab w:leader="none" w:pos="9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(800) 851-4216 Domestic Holders</w:t>
      </w:r>
    </w:p>
    <w:p>
      <w:pPr>
        <w:spacing w:after="0" w:line="23" w:lineRule="exact"/>
        <w:rPr>
          <w:rFonts w:ascii="Arial" w:cs="Arial" w:eastAsia="Arial" w:hAnsi="Arial"/>
          <w:sz w:val="18"/>
          <w:szCs w:val="18"/>
          <w:color w:val="auto"/>
        </w:rPr>
      </w:pPr>
    </w:p>
    <w:p>
      <w:pPr>
        <w:ind w:left="994" w:hanging="324"/>
        <w:spacing w:after="0"/>
        <w:tabs>
          <w:tab w:leader="none" w:pos="9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(201) 680-6578 Foreign Holders</w:t>
      </w:r>
    </w:p>
    <w:p>
      <w:pPr>
        <w:spacing w:after="0" w:line="9" w:lineRule="exact"/>
        <w:rPr>
          <w:rFonts w:ascii="Arial" w:cs="Arial" w:eastAsia="Arial" w:hAnsi="Arial"/>
          <w:sz w:val="18"/>
          <w:szCs w:val="18"/>
          <w:color w:val="auto"/>
        </w:rPr>
      </w:pPr>
    </w:p>
    <w:p>
      <w:pPr>
        <w:ind w:left="994" w:hanging="324"/>
        <w:spacing w:after="0"/>
        <w:tabs>
          <w:tab w:leader="none" w:pos="9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(800) 952-9245 Domestic TDD line for hearing impaired</w:t>
      </w:r>
    </w:p>
    <w:p>
      <w:pPr>
        <w:spacing w:after="0" w:line="9" w:lineRule="exact"/>
        <w:rPr>
          <w:rFonts w:ascii="Arial" w:cs="Arial" w:eastAsia="Arial" w:hAnsi="Arial"/>
          <w:sz w:val="18"/>
          <w:szCs w:val="18"/>
          <w:color w:val="auto"/>
        </w:rPr>
      </w:pPr>
    </w:p>
    <w:p>
      <w:pPr>
        <w:ind w:left="994" w:hanging="324"/>
        <w:spacing w:after="0"/>
        <w:tabs>
          <w:tab w:leader="none" w:pos="9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(312) 588-4110 Foreign TDD line for hearing impaired</w:t>
      </w:r>
    </w:p>
    <w:p>
      <w:pPr>
        <w:spacing w:after="0" w:line="387" w:lineRule="exact"/>
        <w:rPr>
          <w:sz w:val="20"/>
          <w:szCs w:val="20"/>
          <w:color w:val="auto"/>
        </w:rPr>
      </w:pPr>
    </w:p>
    <w:p>
      <w:pPr>
        <w:ind w:left="654" w:hanging="654"/>
        <w:spacing w:after="0"/>
        <w:tabs>
          <w:tab w:leader="none" w:pos="654" w:val="left"/>
        </w:tabs>
        <w:numPr>
          <w:ilvl w:val="0"/>
          <w:numId w:val="47"/>
        </w:numPr>
        <w:rPr>
          <w:rFonts w:ascii="Arial" w:cs="Arial" w:eastAsia="Arial" w:hAnsi="Arial"/>
          <w:sz w:val="22"/>
          <w:szCs w:val="22"/>
          <w:b w:val="1"/>
          <w:bCs w:val="1"/>
          <w:color w:val="3F000B"/>
        </w:rPr>
      </w:pPr>
      <w:r>
        <w:rPr>
          <w:rFonts w:ascii="Arial" w:cs="Arial" w:eastAsia="Arial" w:hAnsi="Arial"/>
          <w:sz w:val="22"/>
          <w:szCs w:val="22"/>
          <w:b w:val="1"/>
          <w:bCs w:val="1"/>
          <w:color w:val="3F000B"/>
        </w:rPr>
        <w:t>How many shares must be present to conduct business during the Annual Meeting?</w:t>
      </w:r>
    </w:p>
    <w:p>
      <w:pPr>
        <w:spacing w:after="0" w:line="165" w:lineRule="exact"/>
        <w:rPr>
          <w:sz w:val="20"/>
          <w:szCs w:val="20"/>
          <w:color w:val="auto"/>
        </w:rPr>
      </w:pPr>
    </w:p>
    <w:p>
      <w:pPr>
        <w:ind w:left="654" w:right="80" w:hanging="654"/>
        <w:spacing w:after="0" w:line="277" w:lineRule="auto"/>
        <w:tabs>
          <w:tab w:leader="none" w:pos="654"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To carry on the business of the Annual Meeting, a minimum number of shares, constituting a quorum, must be present, either electronically or by proxy.</w:t>
      </w:r>
    </w:p>
    <w:p>
      <w:pPr>
        <w:spacing w:after="0" w:line="224" w:lineRule="exact"/>
        <w:rPr>
          <w:rFonts w:ascii="Arial" w:cs="Arial" w:eastAsia="Arial" w:hAnsi="Arial"/>
          <w:sz w:val="18"/>
          <w:szCs w:val="18"/>
          <w:b w:val="1"/>
          <w:bCs w:val="1"/>
          <w:color w:val="auto"/>
        </w:rPr>
      </w:pPr>
    </w:p>
    <w:p>
      <w:pPr>
        <w:ind w:left="654"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most matters, the votes of the holders of the Common Stock and Class B Common Stock are counted together. However, there are some matters that must be voted on only by the holders of one class of stock. We will have a quorum for all matters to be voted on during the Annual Meeting if the following number of votes is present, electronically or by proxy:</w:t>
      </w:r>
    </w:p>
    <w:p>
      <w:pPr>
        <w:spacing w:after="0" w:line="89" w:lineRule="exact"/>
        <w:rPr>
          <w:rFonts w:ascii="Arial" w:cs="Arial" w:eastAsia="Arial" w:hAnsi="Arial"/>
          <w:sz w:val="18"/>
          <w:szCs w:val="18"/>
          <w:b w:val="1"/>
          <w:bCs w:val="1"/>
          <w:color w:val="auto"/>
        </w:rPr>
      </w:pPr>
    </w:p>
    <w:p>
      <w:pPr>
        <w:ind w:left="994" w:right="180" w:hanging="324"/>
        <w:spacing w:after="0" w:line="277" w:lineRule="auto"/>
        <w:tabs>
          <w:tab w:leader="none" w:pos="989"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For any matter requiring the vote of the Common Stock voting separately: </w:t>
      </w:r>
      <w:r>
        <w:rPr>
          <w:rFonts w:ascii="Arial" w:cs="Arial" w:eastAsia="Arial" w:hAnsi="Arial"/>
          <w:sz w:val="18"/>
          <w:szCs w:val="18"/>
          <w:color w:val="auto"/>
        </w:rPr>
        <w:t>a majority of the votes of the Common Stock outstanding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w:t>
      </w:r>
    </w:p>
    <w:p>
      <w:pPr>
        <w:spacing w:after="0" w:line="8" w:lineRule="exact"/>
        <w:rPr>
          <w:rFonts w:ascii="Arial" w:cs="Arial" w:eastAsia="Arial" w:hAnsi="Arial"/>
          <w:sz w:val="18"/>
          <w:szCs w:val="18"/>
          <w:color w:val="auto"/>
        </w:rPr>
      </w:pPr>
    </w:p>
    <w:p>
      <w:pPr>
        <w:ind w:left="994" w:right="340" w:hanging="324"/>
        <w:spacing w:after="0" w:line="277" w:lineRule="auto"/>
        <w:tabs>
          <w:tab w:leader="none" w:pos="989"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For any matter requiring the vote of the Class B Common Stock voting separately: </w:t>
      </w:r>
      <w:r>
        <w:rPr>
          <w:rFonts w:ascii="Arial" w:cs="Arial" w:eastAsia="Arial" w:hAnsi="Arial"/>
          <w:sz w:val="18"/>
          <w:szCs w:val="18"/>
          <w:color w:val="auto"/>
        </w:rPr>
        <w:t>a majority of the votes of the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on the Record Date.</w:t>
      </w:r>
    </w:p>
    <w:p>
      <w:pPr>
        <w:spacing w:after="0" w:line="8" w:lineRule="exact"/>
        <w:rPr>
          <w:rFonts w:ascii="Arial" w:cs="Arial" w:eastAsia="Arial" w:hAnsi="Arial"/>
          <w:sz w:val="18"/>
          <w:szCs w:val="18"/>
          <w:color w:val="auto"/>
        </w:rPr>
      </w:pPr>
    </w:p>
    <w:p>
      <w:pPr>
        <w:ind w:left="994" w:hanging="324"/>
        <w:spacing w:after="0" w:line="277" w:lineRule="auto"/>
        <w:tabs>
          <w:tab w:leader="none" w:pos="989"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For any matter requiring the vote of the Common Stock and Class B Common Stock voting together without regard to class: </w:t>
      </w:r>
      <w:r>
        <w:rPr>
          <w:rFonts w:ascii="Arial" w:cs="Arial" w:eastAsia="Arial" w:hAnsi="Arial"/>
          <w:sz w:val="18"/>
          <w:szCs w:val="18"/>
          <w:color w:val="auto"/>
        </w:rPr>
        <w:t>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votes of the Common Stock and Class B Common Stock outstanding on the Record Date.</w:t>
      </w:r>
    </w:p>
    <w:p>
      <w:pPr>
        <w:spacing w:after="0" w:line="103" w:lineRule="exact"/>
        <w:rPr>
          <w:sz w:val="20"/>
          <w:szCs w:val="20"/>
          <w:color w:val="auto"/>
        </w:rPr>
      </w:pPr>
    </w:p>
    <w:p>
      <w:pPr>
        <w:ind w:left="654" w:right="400"/>
        <w:spacing w:after="0" w:line="277" w:lineRule="auto"/>
        <w:rPr>
          <w:sz w:val="20"/>
          <w:szCs w:val="20"/>
          <w:color w:val="auto"/>
        </w:rPr>
      </w:pPr>
      <w:r>
        <w:rPr>
          <w:rFonts w:ascii="Arial" w:cs="Arial" w:eastAsia="Arial" w:hAnsi="Arial"/>
          <w:sz w:val="18"/>
          <w:szCs w:val="18"/>
          <w:color w:val="auto"/>
        </w:rPr>
        <w:t>It is possible that we could have a quorum for certain items of business to be voted on during the Annual Meeting and not have a quorum for other matters. If that occurs, we will proceed with a vote only on the matters for which a quorum is present.</w:t>
      </w:r>
    </w:p>
    <w:p>
      <w:pPr>
        <w:spacing w:after="0" w:line="200" w:lineRule="exact"/>
        <w:rPr>
          <w:sz w:val="20"/>
          <w:szCs w:val="20"/>
          <w:color w:val="auto"/>
        </w:rPr>
      </w:pPr>
    </w:p>
    <w:p>
      <w:pPr>
        <w:spacing w:after="0" w:line="254" w:lineRule="exact"/>
        <w:rPr>
          <w:sz w:val="20"/>
          <w:szCs w:val="20"/>
          <w:color w:val="auto"/>
        </w:rPr>
      </w:pPr>
    </w:p>
    <w:p>
      <w:pPr>
        <w:ind w:left="654" w:hanging="654"/>
        <w:spacing w:after="0"/>
        <w:tabs>
          <w:tab w:leader="none" w:pos="654" w:val="left"/>
        </w:tabs>
        <w:numPr>
          <w:ilvl w:val="0"/>
          <w:numId w:val="49"/>
        </w:numPr>
        <w:rPr>
          <w:rFonts w:ascii="Arial" w:cs="Arial" w:eastAsia="Arial" w:hAnsi="Arial"/>
          <w:sz w:val="22"/>
          <w:szCs w:val="22"/>
          <w:b w:val="1"/>
          <w:bCs w:val="1"/>
          <w:color w:val="3F000B"/>
        </w:rPr>
      </w:pPr>
      <w:r>
        <w:rPr>
          <w:rFonts w:ascii="Arial" w:cs="Arial" w:eastAsia="Arial" w:hAnsi="Arial"/>
          <w:sz w:val="22"/>
          <w:szCs w:val="22"/>
          <w:b w:val="1"/>
          <w:bCs w:val="1"/>
          <w:color w:val="3F000B"/>
        </w:rPr>
        <w:t>What vote is required to approve each proposal?</w:t>
      </w:r>
    </w:p>
    <w:p>
      <w:pPr>
        <w:spacing w:after="0" w:line="179" w:lineRule="exact"/>
        <w:rPr>
          <w:sz w:val="20"/>
          <w:szCs w:val="20"/>
          <w:color w:val="auto"/>
        </w:rPr>
      </w:pPr>
    </w:p>
    <w:p>
      <w:pPr>
        <w:ind w:left="654" w:hanging="654"/>
        <w:spacing w:after="0"/>
        <w:tabs>
          <w:tab w:leader="none" w:pos="654"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Assuming that a quorum is present:</w:t>
      </w:r>
    </w:p>
    <w:p>
      <w:pPr>
        <w:spacing w:after="0" w:line="117" w:lineRule="exact"/>
        <w:rPr>
          <w:rFonts w:ascii="Arial" w:cs="Arial" w:eastAsia="Arial" w:hAnsi="Arial"/>
          <w:sz w:val="18"/>
          <w:szCs w:val="18"/>
          <w:b w:val="1"/>
          <w:bCs w:val="1"/>
          <w:color w:val="auto"/>
        </w:rPr>
      </w:pPr>
    </w:p>
    <w:p>
      <w:pPr>
        <w:ind w:left="994" w:right="100" w:hanging="324"/>
        <w:spacing w:after="0" w:line="286" w:lineRule="auto"/>
        <w:tabs>
          <w:tab w:leader="none" w:pos="989"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Proposal No. 1: Election of Directors </w:t>
      </w:r>
      <w:r>
        <w:rPr>
          <w:rFonts w:ascii="Arial" w:cs="Arial" w:eastAsia="Arial" w:hAnsi="Arial"/>
          <w:sz w:val="17"/>
          <w:szCs w:val="17"/>
          <w:color w:val="auto"/>
        </w:rPr>
        <w:t>– the two nominees to be elected by holders of our Common Stock voting separately as a class who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the greatest number of votes cast “FOR,” and the 10 nominees to be elected by holders of our Common Stock and Class B Common Stock voting together who receive the greatest number of votes cast “FOR,” will be elected as directors.</w:t>
      </w:r>
    </w:p>
    <w:p>
      <w:pPr>
        <w:spacing w:after="0" w:line="3" w:lineRule="exact"/>
        <w:rPr>
          <w:rFonts w:ascii="Arial" w:cs="Arial" w:eastAsia="Arial" w:hAnsi="Arial"/>
          <w:sz w:val="17"/>
          <w:szCs w:val="17"/>
          <w:color w:val="auto"/>
        </w:rPr>
      </w:pPr>
    </w:p>
    <w:p>
      <w:pPr>
        <w:ind w:left="994" w:right="160" w:hanging="324"/>
        <w:spacing w:after="0" w:line="316" w:lineRule="auto"/>
        <w:tabs>
          <w:tab w:leader="none" w:pos="989"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Proposal No. 2: Ratification of the Appointment of Ernst &amp; Young LLP as Independent Auditors </w:t>
      </w:r>
      <w:r>
        <w:rPr>
          <w:rFonts w:ascii="Arial" w:cs="Arial" w:eastAsia="Arial" w:hAnsi="Arial"/>
          <w:sz w:val="16"/>
          <w:szCs w:val="16"/>
          <w:color w:val="auto"/>
        </w:rPr>
        <w:t>– the affirmative vote of at least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votes of the Common Stock and Class B Common Stock (voting together as a class) represented at the Annual Meeting.</w:t>
      </w:r>
    </w:p>
    <w:p>
      <w:pPr>
        <w:spacing w:after="0" w:line="1" w:lineRule="exact"/>
        <w:rPr>
          <w:rFonts w:ascii="Arial" w:cs="Arial" w:eastAsia="Arial" w:hAnsi="Arial"/>
          <w:sz w:val="16"/>
          <w:szCs w:val="16"/>
          <w:color w:val="auto"/>
        </w:rPr>
      </w:pPr>
    </w:p>
    <w:p>
      <w:pPr>
        <w:ind w:left="994" w:right="180" w:hanging="324"/>
        <w:spacing w:after="0" w:line="277" w:lineRule="auto"/>
        <w:tabs>
          <w:tab w:leader="none" w:pos="989"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Advise on Named Executive Officer Compensation </w:t>
      </w:r>
      <w:r>
        <w:rPr>
          <w:rFonts w:ascii="Arial" w:cs="Arial" w:eastAsia="Arial" w:hAnsi="Arial"/>
          <w:sz w:val="18"/>
          <w:szCs w:val="18"/>
          <w:color w:val="auto"/>
        </w:rPr>
        <w:t>– the affirmative vote of at least a majority of the votes of the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Class B Common Stock (voting together as a class) represented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74"/>
          </w:cols>
          <w:pgMar w:left="346" w:top="1044" w:right="379" w:bottom="1440" w:gutter="0" w:footer="0" w:header="0"/>
        </w:sectPr>
      </w:pPr>
    </w:p>
    <w:bookmarkStart w:id="14" w:name="page15"/>
    <w:bookmarkEnd w:id="14"/>
    <w:p>
      <w:pPr>
        <w:ind w:left="654" w:hanging="654"/>
        <w:spacing w:after="0"/>
        <w:tabs>
          <w:tab w:leader="none" w:pos="654" w:val="left"/>
        </w:tabs>
        <w:numPr>
          <w:ilvl w:val="0"/>
          <w:numId w:val="51"/>
        </w:numPr>
        <w:rPr>
          <w:rFonts w:ascii="Arial" w:cs="Arial" w:eastAsia="Arial" w:hAnsi="Arial"/>
          <w:sz w:val="22"/>
          <w:szCs w:val="22"/>
          <w:b w:val="1"/>
          <w:bCs w:val="1"/>
          <w:color w:val="3F000B"/>
        </w:rPr>
      </w:pPr>
      <w:r>
        <w:rPr>
          <w:rFonts w:ascii="Arial" w:cs="Arial" w:eastAsia="Arial" w:hAnsi="Arial"/>
          <w:sz w:val="22"/>
          <w:szCs w:val="22"/>
          <w:b w:val="1"/>
          <w:bCs w:val="1"/>
          <w:color w:val="3F000B"/>
        </w:rPr>
        <w:t>Are abstentions and broker non-votes counted in the vote totals?</w:t>
      </w:r>
    </w:p>
    <w:p>
      <w:pPr>
        <w:spacing w:after="0" w:line="152" w:lineRule="exact"/>
        <w:rPr>
          <w:sz w:val="20"/>
          <w:szCs w:val="20"/>
          <w:color w:val="auto"/>
        </w:rPr>
      </w:pPr>
    </w:p>
    <w:p>
      <w:pPr>
        <w:ind w:left="654" w:hanging="654"/>
        <w:spacing w:after="0" w:line="301" w:lineRule="auto"/>
        <w:tabs>
          <w:tab w:leader="none" w:pos="654"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Abstentions are counted as being present and entitled to vote in determining whether a quorum is present. Shares as to which broker non-votes exist will be counted as present and entitled to vote in determining whether a quorum is present for any matter requiring the vote of the Common Stock and Class B Common Stock voting together as a class, but they will not be counted as present and entitled to vote in determining whether a quorum is present for any matter requiring the vote of the Common Stock or Class B Common Stock voting separately as a class.</w:t>
      </w:r>
    </w:p>
    <w:p>
      <w:pPr>
        <w:spacing w:after="0" w:line="103" w:lineRule="exact"/>
        <w:rPr>
          <w:rFonts w:ascii="Arial" w:cs="Arial" w:eastAsia="Arial" w:hAnsi="Arial"/>
          <w:sz w:val="16"/>
          <w:szCs w:val="16"/>
          <w:b w:val="1"/>
          <w:bCs w:val="1"/>
          <w:color w:val="auto"/>
        </w:rPr>
      </w:pPr>
    </w:p>
    <w:p>
      <w:pPr>
        <w:ind w:left="654" w:right="8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If you mark or vote “abstain” on Proposal Nos. 2 or 3, the abstention will have the effect of being counted as a vote “AGAINST” the proposal. Broker non-votes with respect to Proposal Nos. 1-3 are not included in vote totals and will not affect the outcome of the vote on those proposals.</w:t>
      </w:r>
    </w:p>
    <w:p>
      <w:pPr>
        <w:spacing w:after="0" w:line="200" w:lineRule="exact"/>
        <w:rPr>
          <w:sz w:val="20"/>
          <w:szCs w:val="20"/>
          <w:color w:val="auto"/>
        </w:rPr>
      </w:pPr>
    </w:p>
    <w:p>
      <w:pPr>
        <w:spacing w:after="0" w:line="221" w:lineRule="exact"/>
        <w:rPr>
          <w:sz w:val="20"/>
          <w:szCs w:val="20"/>
          <w:color w:val="auto"/>
        </w:rPr>
      </w:pPr>
    </w:p>
    <w:p>
      <w:pPr>
        <w:ind w:left="654" w:hanging="654"/>
        <w:spacing w:after="0"/>
        <w:tabs>
          <w:tab w:leader="none" w:pos="654" w:val="left"/>
        </w:tabs>
        <w:numPr>
          <w:ilvl w:val="0"/>
          <w:numId w:val="53"/>
        </w:numPr>
        <w:rPr>
          <w:rFonts w:ascii="Arial" w:cs="Arial" w:eastAsia="Arial" w:hAnsi="Arial"/>
          <w:sz w:val="22"/>
          <w:szCs w:val="22"/>
          <w:b w:val="1"/>
          <w:bCs w:val="1"/>
          <w:color w:val="3F000B"/>
        </w:rPr>
      </w:pPr>
      <w:r>
        <w:rPr>
          <w:rFonts w:ascii="Arial" w:cs="Arial" w:eastAsia="Arial" w:hAnsi="Arial"/>
          <w:sz w:val="22"/>
          <w:szCs w:val="22"/>
          <w:b w:val="1"/>
          <w:bCs w:val="1"/>
          <w:color w:val="3F000B"/>
        </w:rPr>
        <w:t>Who will pay the cost of soliciting votes for the Annual Meeting?</w:t>
      </w:r>
    </w:p>
    <w:p>
      <w:pPr>
        <w:spacing w:after="0" w:line="165" w:lineRule="exact"/>
        <w:rPr>
          <w:sz w:val="20"/>
          <w:szCs w:val="20"/>
          <w:color w:val="auto"/>
        </w:rPr>
      </w:pPr>
    </w:p>
    <w:p>
      <w:pPr>
        <w:ind w:left="654" w:right="20" w:hanging="654"/>
        <w:spacing w:after="0" w:line="296" w:lineRule="auto"/>
        <w:tabs>
          <w:tab w:leader="none" w:pos="654"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We will pay the cost of preparing, assembling and furnishing proxy solicitation and other required Annual Meeting materials. We do not use a third-party solicitor. It is possible that our directors, officers and employees might solicit proxies by mail, telephone, telefax, electronically over the internet or by personal contact, without receiving additional compensation. We will reimburse brokers, banks and other nominees, fiduciaries and custodians who nominally hold shares of our stock as of the Record Date for the reasonable costs they incur furnishing proxy solicitation and other required Annual Meeting materials to street-name holders who beneficially own those shares on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34"/>
          </w:cols>
          <w:pgMar w:left="346" w:top="1017" w:right="41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b w:val="1"/>
          <w:bCs w:val="1"/>
          <w:color w:val="3F000B"/>
        </w:rPr>
        <w:t>CORPORATE GOVERNANCE</w:t>
      </w:r>
    </w:p>
    <w:p>
      <w:pPr>
        <w:spacing w:after="0" w:line="34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have a long-standing commitment to good corporate governance practices. Our corporate governance policies and other documents establish the high standards of professional and personal conduct we expect of our Board, members of senior management and all employees, and promote compliance with various financial, ethical, legal and other obligations and responsibilities.</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business activities of the Company are carried out by our employees under the direction and supervision of our Chairman of the Board, President and Chief Executive Officer (“CEO”). The Board is responsible for overseeing these activities. In doing so, each director is required to use his or her business judgment in the best interests of the Company. The Board’s responsibilities include:</w:t>
      </w:r>
    </w:p>
    <w:p>
      <w:pPr>
        <w:spacing w:after="0" w:line="7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the Company’s performance, strategies and major decisions;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Overseeing the Company’s compliance with legal and regulatory requirements and the integrity of its financial statements;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Overseeing the Company’s policies and practices for identifying, managing and mitigating key enterprise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Overseeing management, including reviewing the CEO’s performance and succession planning for key management roles;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Overseeing executive and director compensation, and our compensation program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20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20440" cy="8890"/>
                    </a:xfrm>
                    <a:prstGeom prst="rect">
                      <a:avLst/>
                    </a:prstGeom>
                    <a:noFill/>
                  </pic:spPr>
                </pic:pic>
              </a:graphicData>
            </a:graphic>
          </wp:anchor>
        </w:drawing>
      </w:r>
    </w:p>
    <w:p>
      <w:pPr>
        <w:spacing w:after="0" w:line="9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Board has adopted Corporate Governance Guidelines that, along with the charters of the Board committees, provide the basic framework for the Board’s operation and role in the governance of the Company. The guidelines include the Board’s policies regarding director independence, qualifications and responsibilities, access to management and outside advisors, compensation, continuing education, oversight of management succession and stockholding requirements. They also provide a process for directors to annually evaluate the performance of the Board.</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Governance Committee is responsible for overseeing and reviewing the Board’s Corporate Governance Guidelines at least annually and recommending any proposed changes to the Board for approval. The Corporate Governance Guidelines are available on the Investors section of our website at </w:t>
      </w:r>
      <w:r>
        <w:rPr>
          <w:rFonts w:ascii="Arial" w:cs="Arial" w:eastAsia="Arial" w:hAnsi="Arial"/>
          <w:sz w:val="18"/>
          <w:szCs w:val="18"/>
          <w:i w:val="1"/>
          <w:iCs w:val="1"/>
          <w:color w:val="auto"/>
        </w:rPr>
        <w:t>www.thehersheycompany.com.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736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3680" cy="8890"/>
                    </a:xfrm>
                    <a:prstGeom prst="rect">
                      <a:avLst/>
                    </a:prstGeom>
                    <a:noFill/>
                  </pic:spPr>
                </pic:pic>
              </a:graphicData>
            </a:graphic>
          </wp:anchor>
        </w:drawing>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Board has adopted a Code of Conduct that applies to all of our directors, officers and employees worldwide. Adherence to this Code of Conduct assures that our directors, officers and employees are held to the highest standards of integrity. The Code of Conduct covers areas such as conflicts of interest, insider trading and compliance with laws and regulations. The Audit Committee oversees the Company’s communication of, and compliance with, the Code of Conduct. The Code of Conduct, including amendments thereto or waivers granted to a director or officer, if any, can be viewed on the Investors section of our website at </w:t>
      </w:r>
      <w:r>
        <w:rPr>
          <w:rFonts w:ascii="Arial" w:cs="Arial" w:eastAsia="Arial" w:hAnsi="Arial"/>
          <w:sz w:val="18"/>
          <w:szCs w:val="18"/>
          <w:i w:val="1"/>
          <w:iCs w:val="1"/>
          <w:color w:val="auto"/>
        </w:rPr>
        <w:t>www.thehersheycompany.com.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Environmental, Social and Governance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0703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70350" cy="8890"/>
                    </a:xfrm>
                    <a:prstGeom prst="rect">
                      <a:avLst/>
                    </a:prstGeom>
                    <a:noFill/>
                  </pic:spPr>
                </pic:pic>
              </a:graphicData>
            </a:graphic>
          </wp:anchor>
        </w:drawing>
      </w:r>
    </w:p>
    <w:p>
      <w:pPr>
        <w:spacing w:after="0" w:line="9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are committed to operating our business with all stakeholders in mind and with a view toward long-term sustainability, even as our business and society face a variety of existing and emerging challenges. We leverage our expertise along with external partners to help address these challenges so that we can continue to delight consumers and help make a positive impact in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86"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2040255" cy="565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02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720" w:type="dxa"/>
            <w:vAlign w:val="bottom"/>
            <w:tcBorders>
              <w:left w:val="single" w:sz="8" w:color="3F000B"/>
              <w:right w:val="single" w:sz="8" w:color="3F000B"/>
            </w:tcBorders>
            <w:shd w:val="clear" w:color="auto" w:fill="DADADA"/>
          </w:tcPr>
          <w:p>
            <w:pPr>
              <w:spacing w:after="0"/>
              <w:rPr>
                <w:sz w:val="19"/>
                <w:szCs w:val="19"/>
                <w:color w:val="auto"/>
              </w:rPr>
            </w:pPr>
          </w:p>
        </w:tc>
        <w:tc>
          <w:tcPr>
            <w:tcW w:w="2840" w:type="dxa"/>
            <w:vAlign w:val="bottom"/>
            <w:tcBorders>
              <w:right w:val="single" w:sz="8" w:color="3F000B"/>
            </w:tcBorders>
            <w:shd w:val="clear" w:color="auto" w:fill="DADADA"/>
          </w:tcPr>
          <w:p>
            <w:pPr>
              <w:spacing w:after="0"/>
              <w:rPr>
                <w:sz w:val="19"/>
                <w:szCs w:val="19"/>
                <w:color w:val="auto"/>
              </w:rPr>
            </w:pPr>
          </w:p>
        </w:tc>
        <w:tc>
          <w:tcPr>
            <w:tcW w:w="2840" w:type="dxa"/>
            <w:vAlign w:val="bottom"/>
            <w:tcBorders>
              <w:right w:val="single" w:sz="8" w:color="3F000B"/>
            </w:tcBorders>
            <w:shd w:val="clear" w:color="auto" w:fill="DADADA"/>
          </w:tcPr>
          <w:p>
            <w:pPr>
              <w:ind w:left="420"/>
              <w:spacing w:after="0"/>
              <w:rPr>
                <w:sz w:val="20"/>
                <w:szCs w:val="20"/>
                <w:color w:val="auto"/>
              </w:rPr>
            </w:pPr>
            <w:r>
              <w:rPr>
                <w:rFonts w:ascii="Arial" w:cs="Arial" w:eastAsia="Arial" w:hAnsi="Arial"/>
                <w:sz w:val="18"/>
                <w:szCs w:val="18"/>
                <w:b w:val="1"/>
                <w:bCs w:val="1"/>
                <w:color w:val="3F000B"/>
              </w:rPr>
              <w:t>Addressing poverty</w:t>
            </w:r>
          </w:p>
        </w:tc>
        <w:tc>
          <w:tcPr>
            <w:tcW w:w="2840" w:type="dxa"/>
            <w:vAlign w:val="bottom"/>
            <w:tcBorders>
              <w:right w:val="single" w:sz="8" w:color="3F000B"/>
            </w:tcBorders>
            <w:shd w:val="clear" w:color="auto" w:fill="DADADA"/>
          </w:tcPr>
          <w:p>
            <w:pPr>
              <w:spacing w:after="0"/>
              <w:rPr>
                <w:sz w:val="19"/>
                <w:szCs w:val="19"/>
                <w:color w:val="auto"/>
              </w:rPr>
            </w:pPr>
          </w:p>
        </w:tc>
      </w:tr>
      <w:tr>
        <w:trPr>
          <w:trHeight w:val="216"/>
        </w:trPr>
        <w:tc>
          <w:tcPr>
            <w:tcW w:w="2720" w:type="dxa"/>
            <w:vAlign w:val="bottom"/>
            <w:tcBorders>
              <w:left w:val="single" w:sz="8" w:color="3F000B"/>
              <w:right w:val="single" w:sz="8" w:color="3F000B"/>
            </w:tcBorders>
            <w:shd w:val="clear" w:color="auto" w:fill="DADADA"/>
          </w:tcPr>
          <w:p>
            <w:pPr>
              <w:spacing w:after="0"/>
              <w:rPr>
                <w:sz w:val="18"/>
                <w:szCs w:val="18"/>
                <w:color w:val="auto"/>
              </w:rPr>
            </w:pPr>
          </w:p>
        </w:tc>
        <w:tc>
          <w:tcPr>
            <w:tcW w:w="2840" w:type="dxa"/>
            <w:vAlign w:val="bottom"/>
            <w:tcBorders>
              <w:right w:val="single" w:sz="8" w:color="3F000B"/>
            </w:tcBorders>
            <w:shd w:val="clear" w:color="auto" w:fill="DADADA"/>
          </w:tcPr>
          <w:p>
            <w:pPr>
              <w:ind w:left="1000"/>
              <w:spacing w:after="0"/>
              <w:rPr>
                <w:sz w:val="20"/>
                <w:szCs w:val="20"/>
                <w:color w:val="auto"/>
              </w:rPr>
            </w:pPr>
            <w:r>
              <w:rPr>
                <w:rFonts w:ascii="Arial" w:cs="Arial" w:eastAsia="Arial" w:hAnsi="Arial"/>
                <w:sz w:val="18"/>
                <w:szCs w:val="18"/>
                <w:b w:val="1"/>
                <w:bCs w:val="1"/>
                <w:color w:val="3F000B"/>
              </w:rPr>
              <w:t>Combating</w:t>
            </w:r>
          </w:p>
        </w:tc>
        <w:tc>
          <w:tcPr>
            <w:tcW w:w="2840" w:type="dxa"/>
            <w:vAlign w:val="bottom"/>
            <w:tcBorders>
              <w:right w:val="single" w:sz="8" w:color="3F000B"/>
            </w:tcBorders>
            <w:shd w:val="clear" w:color="auto" w:fill="DADADA"/>
          </w:tcPr>
          <w:p>
            <w:pPr>
              <w:ind w:left="560"/>
              <w:spacing w:after="0"/>
              <w:rPr>
                <w:sz w:val="20"/>
                <w:szCs w:val="20"/>
                <w:color w:val="auto"/>
              </w:rPr>
            </w:pPr>
            <w:r>
              <w:rPr>
                <w:rFonts w:ascii="Arial" w:cs="Arial" w:eastAsia="Arial" w:hAnsi="Arial"/>
                <w:sz w:val="18"/>
                <w:szCs w:val="18"/>
                <w:b w:val="1"/>
                <w:bCs w:val="1"/>
                <w:color w:val="3F000B"/>
              </w:rPr>
              <w:t>and supporting</w:t>
            </w:r>
          </w:p>
        </w:tc>
        <w:tc>
          <w:tcPr>
            <w:tcW w:w="2840" w:type="dxa"/>
            <w:vAlign w:val="bottom"/>
            <w:tcBorders>
              <w:right w:val="single" w:sz="8" w:color="3F000B"/>
            </w:tcBorders>
            <w:shd w:val="clear" w:color="auto" w:fill="DADADA"/>
          </w:tcPr>
          <w:p>
            <w:pPr>
              <w:ind w:left="600"/>
              <w:spacing w:after="0"/>
              <w:rPr>
                <w:sz w:val="20"/>
                <w:szCs w:val="20"/>
                <w:color w:val="auto"/>
              </w:rPr>
            </w:pPr>
            <w:r>
              <w:rPr>
                <w:rFonts w:ascii="Arial" w:cs="Arial" w:eastAsia="Arial" w:hAnsi="Arial"/>
                <w:sz w:val="18"/>
                <w:szCs w:val="18"/>
                <w:b w:val="1"/>
                <w:bCs w:val="1"/>
                <w:color w:val="3F000B"/>
              </w:rPr>
              <w:t>Stakeholder</w:t>
            </w:r>
          </w:p>
        </w:tc>
      </w:tr>
      <w:tr>
        <w:trPr>
          <w:trHeight w:val="241"/>
        </w:trPr>
        <w:tc>
          <w:tcPr>
            <w:tcW w:w="27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b w:val="1"/>
                <w:bCs w:val="1"/>
                <w:color w:val="3F000B"/>
                <w:w w:val="87"/>
              </w:rPr>
              <w:t>Meeting changing consumer needs</w:t>
            </w:r>
          </w:p>
        </w:tc>
        <w:tc>
          <w:tcPr>
            <w:tcW w:w="2840" w:type="dxa"/>
            <w:vAlign w:val="bottom"/>
            <w:tcBorders>
              <w:bottom w:val="single" w:sz="8" w:color="DADADA"/>
              <w:right w:val="single" w:sz="8" w:color="3F000B"/>
            </w:tcBorders>
            <w:shd w:val="clear" w:color="auto" w:fill="DADADA"/>
          </w:tcPr>
          <w:p>
            <w:pPr>
              <w:ind w:left="880"/>
              <w:spacing w:after="0"/>
              <w:rPr>
                <w:sz w:val="20"/>
                <w:szCs w:val="20"/>
                <w:color w:val="auto"/>
              </w:rPr>
            </w:pPr>
            <w:r>
              <w:rPr>
                <w:rFonts w:ascii="Arial" w:cs="Arial" w:eastAsia="Arial" w:hAnsi="Arial"/>
                <w:sz w:val="18"/>
                <w:szCs w:val="18"/>
                <w:b w:val="1"/>
                <w:bCs w:val="1"/>
                <w:color w:val="3F000B"/>
              </w:rPr>
              <w:t>climate change</w:t>
            </w:r>
          </w:p>
        </w:tc>
        <w:tc>
          <w:tcPr>
            <w:tcW w:w="2840" w:type="dxa"/>
            <w:vAlign w:val="bottom"/>
            <w:tcBorders>
              <w:bottom w:val="single" w:sz="8" w:color="DADADA"/>
              <w:right w:val="single" w:sz="8" w:color="3F000B"/>
            </w:tcBorders>
            <w:shd w:val="clear" w:color="auto" w:fill="DADADA"/>
          </w:tcPr>
          <w:p>
            <w:pPr>
              <w:ind w:left="420"/>
              <w:spacing w:after="0"/>
              <w:rPr>
                <w:sz w:val="20"/>
                <w:szCs w:val="20"/>
                <w:color w:val="auto"/>
              </w:rPr>
            </w:pPr>
            <w:r>
              <w:rPr>
                <w:rFonts w:ascii="Arial" w:cs="Arial" w:eastAsia="Arial" w:hAnsi="Arial"/>
                <w:sz w:val="18"/>
                <w:szCs w:val="18"/>
                <w:b w:val="1"/>
                <w:bCs w:val="1"/>
                <w:color w:val="3F000B"/>
              </w:rPr>
              <w:t>farmer livelihoods</w:t>
            </w:r>
          </w:p>
        </w:tc>
        <w:tc>
          <w:tcPr>
            <w:tcW w:w="2840" w:type="dxa"/>
            <w:vAlign w:val="bottom"/>
            <w:tcBorders>
              <w:bottom w:val="single" w:sz="8" w:color="DADADA"/>
              <w:right w:val="single" w:sz="8" w:color="3F000B"/>
            </w:tcBorders>
            <w:shd w:val="clear" w:color="auto" w:fill="DADADA"/>
          </w:tcPr>
          <w:p>
            <w:pPr>
              <w:ind w:left="600"/>
              <w:spacing w:after="0"/>
              <w:rPr>
                <w:sz w:val="20"/>
                <w:szCs w:val="20"/>
                <w:color w:val="auto"/>
              </w:rPr>
            </w:pPr>
            <w:r>
              <w:rPr>
                <w:rFonts w:ascii="Arial" w:cs="Arial" w:eastAsia="Arial" w:hAnsi="Arial"/>
                <w:sz w:val="18"/>
                <w:szCs w:val="18"/>
                <w:b w:val="1"/>
                <w:bCs w:val="1"/>
                <w:color w:val="3F000B"/>
              </w:rPr>
              <w:t>expectations</w:t>
            </w:r>
          </w:p>
        </w:tc>
      </w:tr>
      <w:tr>
        <w:trPr>
          <w:trHeight w:val="229"/>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Consumers’ preferences are</w:t>
            </w:r>
          </w:p>
        </w:tc>
        <w:tc>
          <w:tcPr>
            <w:tcW w:w="2840" w:type="dxa"/>
            <w:vAlign w:val="bottom"/>
            <w:tcBorders>
              <w:right w:val="single" w:sz="8" w:color="3F000B"/>
            </w:tcBorders>
          </w:tcPr>
          <w:p>
            <w:pPr>
              <w:ind w:left="120"/>
              <w:spacing w:after="0"/>
              <w:rPr>
                <w:sz w:val="20"/>
                <w:szCs w:val="20"/>
                <w:color w:val="auto"/>
              </w:rPr>
            </w:pPr>
            <w:r>
              <w:rPr>
                <w:rFonts w:ascii="Arial" w:cs="Arial" w:eastAsia="Arial" w:hAnsi="Arial"/>
                <w:sz w:val="18"/>
                <w:szCs w:val="18"/>
                <w:color w:val="auto"/>
                <w:w w:val="92"/>
              </w:rPr>
              <w:t>Our products rely on a global supply</w:t>
            </w: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rPr>
              <w:t>Our complex global supply chain</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rPr>
              <w:t>A wide variety of stakeholders,</w:t>
            </w:r>
          </w:p>
        </w:tc>
      </w:tr>
      <w:tr>
        <w:trPr>
          <w:trHeight w:val="216"/>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w w:val="92"/>
              </w:rPr>
              <w:t>changing — from seeking healthier</w:t>
            </w:r>
          </w:p>
        </w:tc>
        <w:tc>
          <w:tcPr>
            <w:tcW w:w="2840" w:type="dxa"/>
            <w:vAlign w:val="bottom"/>
            <w:tcBorders>
              <w:right w:val="single" w:sz="8" w:color="3F000B"/>
            </w:tcBorders>
          </w:tcPr>
          <w:p>
            <w:pPr>
              <w:ind w:left="120"/>
              <w:spacing w:after="0"/>
              <w:rPr>
                <w:sz w:val="20"/>
                <w:szCs w:val="20"/>
                <w:color w:val="auto"/>
              </w:rPr>
            </w:pPr>
            <w:r>
              <w:rPr>
                <w:rFonts w:ascii="Arial" w:cs="Arial" w:eastAsia="Arial" w:hAnsi="Arial"/>
                <w:sz w:val="18"/>
                <w:szCs w:val="18"/>
                <w:color w:val="auto"/>
                <w:w w:val="99"/>
              </w:rPr>
              <w:t>chain and agricultural ingredients.</w:t>
            </w: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w w:val="93"/>
              </w:rPr>
              <w:t>spans across communities with high</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rPr>
              <w:t>including consumers, retailers,</w:t>
            </w:r>
          </w:p>
        </w:tc>
      </w:tr>
      <w:tr>
        <w:trPr>
          <w:trHeight w:val="216"/>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options that satisfy different</w:t>
            </w:r>
          </w:p>
        </w:tc>
        <w:tc>
          <w:tcPr>
            <w:tcW w:w="2840" w:type="dxa"/>
            <w:vAlign w:val="bottom"/>
            <w:tcBorders>
              <w:right w:val="single" w:sz="8" w:color="3F000B"/>
            </w:tcBorders>
          </w:tcPr>
          <w:p>
            <w:pPr>
              <w:ind w:left="120"/>
              <w:spacing w:after="0"/>
              <w:rPr>
                <w:sz w:val="20"/>
                <w:szCs w:val="20"/>
                <w:color w:val="auto"/>
              </w:rPr>
            </w:pPr>
            <w:r>
              <w:rPr>
                <w:rFonts w:ascii="Arial" w:cs="Arial" w:eastAsia="Arial" w:hAnsi="Arial"/>
                <w:sz w:val="18"/>
                <w:szCs w:val="18"/>
                <w:color w:val="auto"/>
                <w:w w:val="96"/>
              </w:rPr>
              <w:t>Climate change poses a significant</w:t>
            </w: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w w:val="94"/>
              </w:rPr>
              <w:t>levels of poverty and inequality. The</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w w:val="99"/>
              </w:rPr>
              <w:t>investors, governments and non-</w:t>
            </w:r>
          </w:p>
        </w:tc>
      </w:tr>
      <w:tr>
        <w:trPr>
          <w:trHeight w:val="216"/>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snacking occasions, to wanting</w:t>
            </w:r>
          </w:p>
        </w:tc>
        <w:tc>
          <w:tcPr>
            <w:tcW w:w="2840" w:type="dxa"/>
            <w:vAlign w:val="bottom"/>
            <w:tcBorders>
              <w:right w:val="single" w:sz="8" w:color="3F000B"/>
            </w:tcBorders>
          </w:tcPr>
          <w:p>
            <w:pPr>
              <w:ind w:left="120"/>
              <w:spacing w:after="0"/>
              <w:rPr>
                <w:sz w:val="20"/>
                <w:szCs w:val="20"/>
                <w:color w:val="auto"/>
              </w:rPr>
            </w:pPr>
            <w:r>
              <w:rPr>
                <w:rFonts w:ascii="Arial" w:cs="Arial" w:eastAsia="Arial" w:hAnsi="Arial"/>
                <w:sz w:val="18"/>
                <w:szCs w:val="18"/>
                <w:color w:val="auto"/>
              </w:rPr>
              <w:t>and increasing pressure on</w:t>
            </w: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rPr>
              <w:t>raw ingredients we source come</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rPr>
              <w:t>governmental organizations, are</w:t>
            </w:r>
          </w:p>
        </w:tc>
      </w:tr>
      <w:tr>
        <w:trPr>
          <w:trHeight w:val="216"/>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greater transparency across the</w:t>
            </w:r>
          </w:p>
        </w:tc>
        <w:tc>
          <w:tcPr>
            <w:tcW w:w="2840" w:type="dxa"/>
            <w:vAlign w:val="bottom"/>
            <w:tcBorders>
              <w:right w:val="single" w:sz="8" w:color="3F000B"/>
            </w:tcBorders>
          </w:tcPr>
          <w:p>
            <w:pPr>
              <w:ind w:left="120"/>
              <w:spacing w:after="0"/>
              <w:rPr>
                <w:sz w:val="20"/>
                <w:szCs w:val="20"/>
                <w:color w:val="auto"/>
              </w:rPr>
            </w:pPr>
            <w:r>
              <w:rPr>
                <w:rFonts w:ascii="Arial" w:cs="Arial" w:eastAsia="Arial" w:hAnsi="Arial"/>
                <w:sz w:val="18"/>
                <w:szCs w:val="18"/>
                <w:color w:val="auto"/>
              </w:rPr>
              <w:t>agricultural commodities and the</w:t>
            </w: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w w:val="96"/>
              </w:rPr>
              <w:t>from different countries with unique</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w w:val="97"/>
              </w:rPr>
              <w:t>increasingly expecting companies</w:t>
            </w:r>
          </w:p>
        </w:tc>
      </w:tr>
      <w:tr>
        <w:trPr>
          <w:trHeight w:val="216"/>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w w:val="98"/>
              </w:rPr>
              <w:t>supply chain and products made</w:t>
            </w:r>
          </w:p>
        </w:tc>
        <w:tc>
          <w:tcPr>
            <w:tcW w:w="2840" w:type="dxa"/>
            <w:vAlign w:val="bottom"/>
            <w:tcBorders>
              <w:right w:val="single" w:sz="8" w:color="3F000B"/>
            </w:tcBorders>
          </w:tcPr>
          <w:p>
            <w:pPr>
              <w:ind w:left="120"/>
              <w:spacing w:after="0"/>
              <w:rPr>
                <w:sz w:val="20"/>
                <w:szCs w:val="20"/>
                <w:color w:val="auto"/>
              </w:rPr>
            </w:pPr>
            <w:r>
              <w:rPr>
                <w:rFonts w:ascii="Arial" w:cs="Arial" w:eastAsia="Arial" w:hAnsi="Arial"/>
                <w:sz w:val="18"/>
                <w:szCs w:val="18"/>
                <w:color w:val="auto"/>
              </w:rPr>
              <w:t>communities where we live, work</w:t>
            </w: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w w:val="96"/>
              </w:rPr>
              <w:t>laws, environmental conditions and</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w w:val="90"/>
              </w:rPr>
              <w:t>to use their operations as a force for</w:t>
            </w:r>
          </w:p>
        </w:tc>
      </w:tr>
      <w:tr>
        <w:trPr>
          <w:trHeight w:val="216"/>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with responsibly sourced</w:t>
            </w:r>
          </w:p>
        </w:tc>
        <w:tc>
          <w:tcPr>
            <w:tcW w:w="2840" w:type="dxa"/>
            <w:vAlign w:val="bottom"/>
            <w:tcBorders>
              <w:right w:val="single" w:sz="8" w:color="3F000B"/>
            </w:tcBorders>
          </w:tcPr>
          <w:p>
            <w:pPr>
              <w:ind w:left="120"/>
              <w:spacing w:after="0"/>
              <w:rPr>
                <w:sz w:val="20"/>
                <w:szCs w:val="20"/>
                <w:color w:val="auto"/>
              </w:rPr>
            </w:pPr>
            <w:r>
              <w:rPr>
                <w:rFonts w:ascii="Arial" w:cs="Arial" w:eastAsia="Arial" w:hAnsi="Arial"/>
                <w:sz w:val="18"/>
                <w:szCs w:val="18"/>
                <w:color w:val="auto"/>
              </w:rPr>
              <w:t>and source our ingredients.</w:t>
            </w: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w w:val="89"/>
              </w:rPr>
              <w:t>concerns, labor standards and pricing</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w w:val="92"/>
              </w:rPr>
              <w:t>good by making an impact on some</w:t>
            </w:r>
          </w:p>
        </w:tc>
      </w:tr>
      <w:tr>
        <w:trPr>
          <w:trHeight w:val="230"/>
        </w:trPr>
        <w:tc>
          <w:tcPr>
            <w:tcW w:w="27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ingredients.</w:t>
            </w:r>
          </w:p>
        </w:tc>
        <w:tc>
          <w:tcPr>
            <w:tcW w:w="2840" w:type="dxa"/>
            <w:vAlign w:val="bottom"/>
            <w:tcBorders>
              <w:right w:val="single" w:sz="8" w:color="3F000B"/>
            </w:tcBorders>
          </w:tcPr>
          <w:p>
            <w:pPr>
              <w:spacing w:after="0"/>
              <w:rPr>
                <w:sz w:val="20"/>
                <w:szCs w:val="20"/>
                <w:color w:val="auto"/>
              </w:rPr>
            </w:pPr>
          </w:p>
        </w:tc>
        <w:tc>
          <w:tcPr>
            <w:tcW w:w="2840" w:type="dxa"/>
            <w:vAlign w:val="bottom"/>
            <w:tcBorders>
              <w:right w:val="single" w:sz="8" w:color="3F000B"/>
            </w:tcBorders>
          </w:tcPr>
          <w:p>
            <w:pPr>
              <w:ind w:left="100"/>
              <w:spacing w:after="0"/>
              <w:rPr>
                <w:sz w:val="20"/>
                <w:szCs w:val="20"/>
                <w:color w:val="auto"/>
              </w:rPr>
            </w:pPr>
            <w:r>
              <w:rPr>
                <w:rFonts w:ascii="Arial" w:cs="Arial" w:eastAsia="Arial" w:hAnsi="Arial"/>
                <w:sz w:val="18"/>
                <w:szCs w:val="18"/>
                <w:color w:val="auto"/>
              </w:rPr>
              <w:t>models.</w:t>
            </w:r>
          </w:p>
        </w:tc>
        <w:tc>
          <w:tcPr>
            <w:tcW w:w="2840" w:type="dxa"/>
            <w:vAlign w:val="bottom"/>
            <w:tcBorders>
              <w:right w:val="single" w:sz="8" w:color="3F000B"/>
            </w:tcBorders>
          </w:tcPr>
          <w:p>
            <w:pPr>
              <w:ind w:left="180"/>
              <w:spacing w:after="0"/>
              <w:rPr>
                <w:sz w:val="20"/>
                <w:szCs w:val="20"/>
                <w:color w:val="auto"/>
              </w:rPr>
            </w:pPr>
            <w:r>
              <w:rPr>
                <w:rFonts w:ascii="Arial" w:cs="Arial" w:eastAsia="Arial" w:hAnsi="Arial"/>
                <w:sz w:val="18"/>
                <w:szCs w:val="18"/>
                <w:color w:val="auto"/>
                <w:w w:val="98"/>
              </w:rPr>
              <w:t>of society’s most pressing issues.</w:t>
            </w:r>
          </w:p>
        </w:tc>
      </w:tr>
      <w:tr>
        <w:trPr>
          <w:trHeight w:val="27"/>
        </w:trPr>
        <w:tc>
          <w:tcPr>
            <w:tcW w:w="2720" w:type="dxa"/>
            <w:vAlign w:val="bottom"/>
            <w:tcBorders>
              <w:left w:val="single" w:sz="8" w:color="3F000B"/>
              <w:right w:val="single" w:sz="8" w:color="3F000B"/>
            </w:tcBorders>
          </w:tcPr>
          <w:p>
            <w:pPr>
              <w:spacing w:after="0"/>
              <w:rPr>
                <w:sz w:val="2"/>
                <w:szCs w:val="2"/>
                <w:color w:val="auto"/>
              </w:rPr>
            </w:pPr>
          </w:p>
        </w:tc>
        <w:tc>
          <w:tcPr>
            <w:tcW w:w="2840" w:type="dxa"/>
            <w:vAlign w:val="bottom"/>
            <w:tcBorders>
              <w:right w:val="single" w:sz="8" w:color="3F000B"/>
            </w:tcBorders>
          </w:tcPr>
          <w:p>
            <w:pPr>
              <w:spacing w:after="0"/>
              <w:rPr>
                <w:sz w:val="2"/>
                <w:szCs w:val="2"/>
                <w:color w:val="auto"/>
              </w:rPr>
            </w:pPr>
          </w:p>
        </w:tc>
        <w:tc>
          <w:tcPr>
            <w:tcW w:w="2840" w:type="dxa"/>
            <w:vAlign w:val="bottom"/>
            <w:tcBorders>
              <w:right w:val="single" w:sz="8" w:color="3F000B"/>
            </w:tcBorders>
          </w:tcPr>
          <w:p>
            <w:pPr>
              <w:spacing w:after="0"/>
              <w:rPr>
                <w:sz w:val="2"/>
                <w:szCs w:val="2"/>
                <w:color w:val="auto"/>
              </w:rPr>
            </w:pPr>
          </w:p>
        </w:tc>
        <w:tc>
          <w:tcPr>
            <w:tcW w:w="2840" w:type="dxa"/>
            <w:vAlign w:val="bottom"/>
            <w:tcBorders>
              <w:right w:val="single" w:sz="8" w:color="3F000B"/>
            </w:tcBorders>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Sustainability Priorities</w:t>
      </w:r>
    </w:p>
    <w:p>
      <w:pPr>
        <w:spacing w:after="0" w:line="2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Our sustainability efforts are brought to life through our strategy, the Shared Goodness Promise, which can be viewed, along with the work we do, in our Shared Goodness Sustainability Report on the Sustainability section of our website at </w:t>
      </w:r>
      <w:r>
        <w:rPr>
          <w:rFonts w:ascii="Arial" w:cs="Arial" w:eastAsia="Arial" w:hAnsi="Arial"/>
          <w:sz w:val="18"/>
          <w:szCs w:val="18"/>
          <w:i w:val="1"/>
          <w:iCs w:val="1"/>
          <w:color w:val="auto"/>
        </w:rPr>
        <w:t>www.thehersheycompany.com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While we focus on sustainability and social impact across our value chain, our key priorities are focused on</w:t>
      </w:r>
    </w:p>
    <w:p>
      <w:pPr>
        <w:spacing w:after="0" w:line="104"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improving the lives of cocoa farmers and cocoa communities;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environmental priorities of climate change; and</w:t>
      </w:r>
    </w:p>
    <w:p>
      <w:pPr>
        <w:spacing w:after="0" w:line="49" w:lineRule="exact"/>
        <w:rPr>
          <w:rFonts w:ascii="Arial" w:cs="Arial" w:eastAsia="Arial" w:hAnsi="Arial"/>
          <w:sz w:val="18"/>
          <w:szCs w:val="18"/>
          <w:color w:val="auto"/>
        </w:rPr>
      </w:pPr>
    </w:p>
    <w:p>
      <w:pPr>
        <w:ind w:left="660" w:right="220" w:hanging="328"/>
        <w:spacing w:after="0" w:line="324"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role of packaging in our business, responsibly sourcing product inputs, maintaining and improving our workplace for those that work within Hershey and along our value chain, helping kids and teens succeed and positively impacting the communities where we live and work.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Cocoa Farmers and Cocoa Communities</w:t>
      </w:r>
    </w:p>
    <w:p>
      <w:pPr>
        <w:spacing w:after="0" w:line="117" w:lineRule="exact"/>
        <w:rPr>
          <w:sz w:val="20"/>
          <w:szCs w:val="20"/>
          <w:color w:val="auto"/>
        </w:rPr>
      </w:pPr>
    </w:p>
    <w:p>
      <w:pPr>
        <w:jc w:val="both"/>
        <w:ind w:right="200"/>
        <w:spacing w:after="0" w:line="243" w:lineRule="auto"/>
        <w:rPr>
          <w:sz w:val="20"/>
          <w:szCs w:val="20"/>
          <w:color w:val="auto"/>
        </w:rPr>
      </w:pPr>
      <w:r>
        <w:rPr>
          <w:rFonts w:ascii="Arial" w:cs="Arial" w:eastAsia="Arial" w:hAnsi="Arial"/>
          <w:sz w:val="18"/>
          <w:szCs w:val="18"/>
          <w:color w:val="auto"/>
        </w:rPr>
        <w:t>We support cocoa farmers and their communities through our Cocoa For Good strategy and a commitment to invest $500 million by 2030. We reached a critical milestone in 2020 by delivering on our commitment to source 100% certified and sustainable cocoa. Our investments go beyond certification and are focused on enabling systemic change to improve farmer livelihoods and address environmental and social risks in cocoa communities. We do this by investing in programs that:</w:t>
      </w:r>
    </w:p>
    <w:p>
      <w:pPr>
        <w:spacing w:after="0" w:line="80" w:lineRule="exact"/>
        <w:rPr>
          <w:sz w:val="20"/>
          <w:szCs w:val="20"/>
          <w:color w:val="auto"/>
        </w:rPr>
      </w:pPr>
    </w:p>
    <w:p>
      <w:pPr>
        <w:ind w:left="660" w:right="20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deliver training and financial support to cocoa farmers and their families so they can grow their business, help improve their household incomes and economically empower women;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improve quality education and nutrition at schools for children;</w:t>
      </w:r>
    </w:p>
    <w:p>
      <w:pPr>
        <w:spacing w:after="0" w:line="49"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 with communities and multiple stakeholders on the ground to eliminate child labor by implementing with our partners Child Labor Monitoring and Remediation System (“CLMRS”) to identify, track, remediate and report instances of child labor;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support youth to become tomorrow’s leaders; and</w:t>
      </w:r>
    </w:p>
    <w:p>
      <w:pPr>
        <w:spacing w:after="0" w:line="49"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 closely with farmers and communities to protect forests, spread more environmentally responsible agriculture practices and promote agroforestry and shade-grown cocoa to eliminate deforestation in cocoa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3F000B"/>
        </w:rPr>
        <w:t>Climate Change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 xml:space="preserve">Climate change is a risk not only to our planet and people but also to the sustainability of our business. In 2020, we set a science-based greenhouse gas reduction goal to cut our absolute Scope 1 and Scope 2 emissions by more than 50% and our absolute Scope 3 emissions by 25% by 2030 compared to a 2018 baseline. This meets the highest ambition level currently recognized by the Science Based Targets Initiative and aligns with the goals of the Paris Climate Agreement to limit global warming to 1.5°C below pre-industrial levels. Supported by our Environmental and Deforestation policies, this will require us to invest in manufacturing efficiencies, move to renewable energy, work with suppliers and farmers to reduce on-farm emissions, and reduce waste and packaging, to name a few of our priorities. Our Environmental and Deforestation policies are available for viewing on the Sustainability section of our website at </w:t>
      </w:r>
      <w:r>
        <w:rPr>
          <w:rFonts w:ascii="Arial" w:cs="Arial" w:eastAsia="Arial" w:hAnsi="Arial"/>
          <w:sz w:val="17"/>
          <w:szCs w:val="17"/>
          <w:i w:val="1"/>
          <w:iCs w:val="1"/>
          <w:color w:val="auto"/>
        </w:rPr>
        <w:t>www.thehersheycompany.com</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Packaging</w:t>
      </w:r>
    </w:p>
    <w:p>
      <w:pPr>
        <w:spacing w:after="0" w:line="21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have increased our commitments toward both reducing our overall packaging footprint and making our packaging more sustainable. We achieved our commitment to decrease our packaging by 25 million pounds five years ahead of schedule, and committed to decreasing our packaging by an additional 25 million pounds by 2030. We also have committed to making 100% of our plastic packaging reusable, recyclable, or compostable by 2030.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Responsible Sourcing</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committed to sustainably sourcing our ingredients and helping to ensure human rights protections across our entire value chain. In 2020, Hershey analyzed global environmental and social risks of our ingredients and raw materials alongside spend data to identify priority supply chains for future responsible sourcing investments and programming. We identified five priorities: cocoa, dairy, sugar, palm oil, and pulp and paper. This prioritization helps us target where we can make the biggest impact while best reducing risks in our supply chain. Additionally,we are strengthening our human rights due diligence across our supply chain including a revised Tier 1 Supplier Program and Responsible Recruitment Program with a goal of enrolling 100% of high-risk suppliers by the end of 2021.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Social Impact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Human Capital</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remarkable people employed by the Company and the individuals who work along our value chain are our most important assets. Without them we would not be able to fulfil our purpose to Make More Moments of Goodness. For individuals throughout our business, 2020 was not a normal year. Immediately following the onset of the COVID-19 pandemic, we rapidly took steps to strengthen our employee health and safety protocols. We adapted and expanded employee benefits to support the physical, emotional and economic well-being of our employees. By focusing on the changing consumer and working to fulfil our purpose, we concluded the year with no significant layoffs. COVID-19 was not the only event of 2020 that demanded a bold response.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Diversity, Equity and Inclusion</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In 2020, the Company accelerated its diversity, equity, and inclusion efforts and elevated work in these areas to an enterprise-wide business imperative because we believe in our responsibility to live and visibly demonstrate our values. The </w:t>
      </w:r>
      <w:r>
        <w:rPr>
          <w:rFonts w:ascii="Arial" w:cs="Arial" w:eastAsia="Arial" w:hAnsi="Arial"/>
          <w:sz w:val="18"/>
          <w:szCs w:val="18"/>
          <w:i w:val="1"/>
          <w:iCs w:val="1"/>
          <w:color w:val="auto"/>
        </w:rPr>
        <w:t>Pathways Project</w:t>
      </w:r>
      <w:r>
        <w:rPr>
          <w:rFonts w:ascii="Arial" w:cs="Arial" w:eastAsia="Arial" w:hAnsi="Arial"/>
          <w:sz w:val="18"/>
          <w:szCs w:val="18"/>
          <w:color w:val="auto"/>
        </w:rPr>
        <w:t xml:space="preserve"> – a five-year plan to make Hershey more diverse and inclusive – has three focus areas:</w:t>
      </w:r>
    </w:p>
    <w:p>
      <w:pPr>
        <w:spacing w:after="0" w:line="209" w:lineRule="exact"/>
        <w:rPr>
          <w:sz w:val="20"/>
          <w:szCs w:val="20"/>
          <w:color w:val="auto"/>
        </w:rPr>
      </w:pPr>
    </w:p>
    <w:p>
      <w:pPr>
        <w:ind w:left="660" w:right="104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Pathways to Join</w:t>
      </w:r>
      <w:r>
        <w:rPr>
          <w:rFonts w:ascii="Arial" w:cs="Arial" w:eastAsia="Arial" w:hAnsi="Arial"/>
          <w:sz w:val="18"/>
          <w:szCs w:val="18"/>
          <w:color w:val="auto"/>
        </w:rPr>
        <w:t>: We committed to representation expansion, with an initial focus on increasing diverse talent in our retail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teams.</w:t>
      </w:r>
    </w:p>
    <w:p>
      <w:pPr>
        <w:spacing w:after="0" w:line="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Pathways to Grow</w:t>
      </w:r>
      <w:r>
        <w:rPr>
          <w:rFonts w:ascii="Arial" w:cs="Arial" w:eastAsia="Arial" w:hAnsi="Arial"/>
          <w:sz w:val="18"/>
          <w:szCs w:val="18"/>
          <w:color w:val="auto"/>
        </w:rPr>
        <w:t>: We committed to expanding career development actions to increase diverse talent across commercial and people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roles. We delivered commercial and financial acumen trainings, unconscious bias and microinequities training, and leadership development sessions focused on feedback and coaching, creating business opportunities, influencing others and utilizing emotional intelligence as a leadership capability.</w:t>
      </w:r>
    </w:p>
    <w:p>
      <w:pPr>
        <w:spacing w:after="0" w:line="24" w:lineRule="exact"/>
        <w:rPr>
          <w:rFonts w:ascii="Arial" w:cs="Arial" w:eastAsia="Arial" w:hAnsi="Arial"/>
          <w:sz w:val="18"/>
          <w:szCs w:val="18"/>
          <w:color w:val="auto"/>
        </w:rPr>
      </w:pPr>
    </w:p>
    <w:p>
      <w:pPr>
        <w:ind w:left="660" w:right="80" w:hanging="328"/>
        <w:spacing w:after="0" w:line="257"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Pathways to Reach Out</w:t>
      </w:r>
      <w:r>
        <w:rPr>
          <w:rFonts w:ascii="Arial" w:cs="Arial" w:eastAsia="Arial" w:hAnsi="Arial"/>
          <w:sz w:val="17"/>
          <w:szCs w:val="17"/>
          <w:color w:val="auto"/>
        </w:rPr>
        <w:t>: We established our first-ever corporate scholarship endowment with Thurgood Marshall College Fund (“TMCF”), which</w:t>
      </w:r>
      <w:r>
        <w:rPr>
          <w:rFonts w:ascii="Arial" w:cs="Arial" w:eastAsia="Arial" w:hAnsi="Arial"/>
          <w:sz w:val="17"/>
          <w:szCs w:val="17"/>
          <w:i w:val="1"/>
          <w:iCs w:val="1"/>
          <w:color w:val="auto"/>
        </w:rPr>
        <w:t xml:space="preserve"> </w:t>
      </w:r>
      <w:r>
        <w:rPr>
          <w:rFonts w:ascii="Arial" w:cs="Arial" w:eastAsia="Arial" w:hAnsi="Arial"/>
          <w:sz w:val="17"/>
          <w:szCs w:val="17"/>
          <w:color w:val="auto"/>
        </w:rPr>
        <w:t>will provide students from TMCF’s historically Black colleges and universities financial support to complete their education in food science. The initial $1.5 million investment will grow to $3 million over the next decade. The Company also created a three-year partnership to support the Equal Justice Initiative to promote internal and external historical education. Our African-American Business Resource Group established a meaningful partnership with our local NAACP chapter’s Afro-Academic, Cultural, Technological and Scientific Olympics program to conduct virtual mentorships and coaching opportunities with Harrisburg, Pennsylvania teens.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11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3F000B"/>
        </w:rPr>
        <w:t>Supporting Youth</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are committed to helping children succeed and reach their full potential. Our employees regularly mentor students and volunteer with Milton Hershey School. We have also forged partnerships that support children’s education and nutrition, using our expertise as a snacking company to provide nutritious snacks that help children in cocoa communities learn in school. Our ViVi school feeding program reaches more than 50,000 students a day in Ghana and has been proven to reduce anemia by 40%. Our Heartwarming Project builds upon our brands’ role of creating connections and works to equip over 667,000 children and teens across the U.S. with the social and emotional skills they need to build meaningful connections with one another and their communities, enhancing youth well-being.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Investing in Communities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have a long tradition of putting people first. From supporting causes our employees care about to investing in the long-term success of the communities where we live and work, our philanthropy and volunteerism efforts reflect how we bring to life our value of making a difference. As part of our COVID-19 response, in 2020, we invested over $1 million to establish a production line for disposable masks in Hershey, Pennsylvania. This ensured an ongoing supply of masks during a time when personal protective equipment was scarce. We donated more than 1.5 million masks to 85 different community and health care organizations, including two dozen school districts. In 2020, we also focused much of our philanthropic giving on racial justice and COVID-19 relief efforts. We deepened our long-time partnerships with NAACP-ACTSO in Greater Harrisburg and initiated a scholarship endowment with the Thurgood Marshall Scholarship Fund. We also committed support to the Equal Justice Initiative and mobilized employees to support these and other racial justice organizations. Also, knowing that frontline healthcare workers and hospital staff faced challenges throughout the pandemic in 2020, we established a ‘Healthcare Heroes’ rapid response product donation care package program, donating over $1.5 million worth of product to more than 200 hospitals and non-profits directly supporting COVID-19 relief efforts.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Governance</w:t>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Managing ESG and sustainability initiatives at Hershey and operating with integrity are key drivers for how we build trust with our consumers and make a positive impact in our society. We have an ESG and sustainability governance model that includes a multi-level operating structure to ensure we are aligned on the most important issues facing the Company and allocating the right resources to drive progress within our Shared Goodness Promise. Accountability for managing ESG and sustainability across the enterprise sits with the Vice President of Corporate Communications and Global Sustainability.</w:t>
      </w:r>
    </w:p>
    <w:p>
      <w:pPr>
        <w:spacing w:after="0" w:line="23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Board of Directors. </w:t>
      </w:r>
      <w:r>
        <w:rPr>
          <w:rFonts w:ascii="Arial" w:cs="Arial" w:eastAsia="Arial" w:hAnsi="Arial"/>
          <w:sz w:val="17"/>
          <w:szCs w:val="17"/>
          <w:color w:val="auto"/>
        </w:rPr>
        <w:t>Oversees our ESG and sustainability programs and reviews the most important emerging trends, risks and opportunities.</w:t>
      </w:r>
    </w:p>
    <w:p>
      <w:pPr>
        <w:spacing w:after="0" w:line="61" w:lineRule="exact"/>
        <w:rPr>
          <w:rFonts w:ascii="Arial" w:cs="Arial" w:eastAsia="Arial" w:hAnsi="Arial"/>
          <w:sz w:val="17"/>
          <w:szCs w:val="17"/>
          <w:color w:val="auto"/>
        </w:rPr>
      </w:pPr>
    </w:p>
    <w:p>
      <w:pPr>
        <w:ind w:left="340" w:right="80" w:hanging="332"/>
        <w:spacing w:after="0" w:line="266"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Our CEO and her direct reports conduct at least quarterly reviews of the Shared Goodness Promise strategy, data and progress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our commitments and targets and emerging ESG and sustainability challenges and opportunities.</w:t>
      </w:r>
    </w:p>
    <w:p>
      <w:pPr>
        <w:ind w:left="340" w:right="180" w:hanging="332"/>
        <w:spacing w:after="0" w:line="250"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ESG and Sustainability Steering Committee. </w:t>
      </w:r>
      <w:r>
        <w:rPr>
          <w:rFonts w:ascii="Arial" w:cs="Arial" w:eastAsia="Arial" w:hAnsi="Arial"/>
          <w:sz w:val="18"/>
          <w:szCs w:val="18"/>
          <w:color w:val="auto"/>
        </w:rPr>
        <w:t>Led by our Chief Supply Chain Officer and comprised of key business leaders and owners who meet</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throughout the year to review progress, discuss challenges and opportunities and approve key decisions related to our global ESG and sustainability programs.</w:t>
      </w:r>
    </w:p>
    <w:p>
      <w:pPr>
        <w:spacing w:after="0" w:line="14" w:lineRule="exact"/>
        <w:rPr>
          <w:rFonts w:ascii="Arial" w:cs="Arial" w:eastAsia="Arial" w:hAnsi="Arial"/>
          <w:sz w:val="18"/>
          <w:szCs w:val="18"/>
          <w:color w:val="auto"/>
        </w:rPr>
      </w:pPr>
    </w:p>
    <w:p>
      <w:pPr>
        <w:ind w:left="340" w:right="100" w:hanging="332"/>
        <w:spacing w:after="0" w:line="245"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Global ESG and Sustainability Team and cross-functional working teams. </w:t>
      </w:r>
      <w:r>
        <w:rPr>
          <w:rFonts w:ascii="Arial" w:cs="Arial" w:eastAsia="Arial" w:hAnsi="Arial"/>
          <w:sz w:val="18"/>
          <w:szCs w:val="18"/>
          <w:color w:val="auto"/>
        </w:rPr>
        <w:t>Led by the Senior Director of Global Sustainability and Social Impact,</w:t>
      </w:r>
      <w:r>
        <w:rPr>
          <w:rFonts w:ascii="Arial" w:cs="Arial" w:eastAsia="Arial" w:hAnsi="Arial"/>
          <w:sz w:val="18"/>
          <w:szCs w:val="18"/>
          <w:b w:val="1"/>
          <w:bCs w:val="1"/>
          <w:color w:val="auto"/>
        </w:rPr>
        <w:t xml:space="preserve"> </w:t>
      </w:r>
      <w:r>
        <w:rPr>
          <w:rFonts w:ascii="Arial" w:cs="Arial" w:eastAsia="Arial" w:hAnsi="Arial"/>
          <w:sz w:val="18"/>
          <w:szCs w:val="18"/>
          <w:color w:val="auto"/>
        </w:rPr>
        <w:t>these teams are made up of leaders from across the business who manage the strategy, implementation and reporting of our global ESG and sustainability initiatives. They are in regular communication with external stakeholders who provide valuable perspectives and insights into our program decisions and focus areas.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Stockholder and Interested Party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681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81220" cy="8890"/>
                    </a:xfrm>
                    <a:prstGeom prst="rect">
                      <a:avLst/>
                    </a:prstGeom>
                    <a:noFill/>
                  </pic:spPr>
                </pic:pic>
              </a:graphicData>
            </a:graphic>
          </wp:anchor>
        </w:drawing>
      </w:r>
    </w:p>
    <w:p>
      <w:pPr>
        <w:spacing w:after="0" w:line="9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Stockholders and other interested parties may communicate with our directors in several ways. Communications regarding accounting, internal accounting controls or auditing matters may be emailed to the Audit Committee at auditcommittee@hersheys.com or sent to the Audit Committee at the following address:</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Hershey Company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19 East Chocolate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 Box 819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Hershey, PA 17033-0819</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111" w:right="359" w:bottom="1440" w:gutter="0" w:footer="0" w:header="0"/>
        </w:sectPr>
      </w:pPr>
    </w:p>
    <w:bookmarkStart w:id="19" w:name="page20"/>
    <w:bookmarkEnd w:id="19"/>
    <w:p>
      <w:pPr>
        <w:ind w:right="360"/>
        <w:spacing w:after="0" w:line="263" w:lineRule="auto"/>
        <w:rPr>
          <w:sz w:val="20"/>
          <w:szCs w:val="20"/>
          <w:color w:val="auto"/>
        </w:rPr>
      </w:pPr>
      <w:r>
        <w:rPr>
          <w:rFonts w:ascii="Arial" w:cs="Arial" w:eastAsia="Arial" w:hAnsi="Arial"/>
          <w:sz w:val="18"/>
          <w:szCs w:val="18"/>
          <w:color w:val="auto"/>
        </w:rPr>
        <w:t xml:space="preserve">Stockholders and other interested parties also can submit comments, confidentially and anonymously if desired, to the Audit Committee by calling the Hershey Concern Line at (800) 871-3659, by accessing the Hershey Concern Line website at </w:t>
      </w:r>
      <w:r>
        <w:rPr>
          <w:rFonts w:ascii="Arial" w:cs="Arial" w:eastAsia="Arial" w:hAnsi="Arial"/>
          <w:sz w:val="18"/>
          <w:szCs w:val="18"/>
          <w:i w:val="1"/>
          <w:iCs w:val="1"/>
          <w:color w:val="auto"/>
        </w:rPr>
        <w:t>www.HersheysConcern.com</w:t>
      </w:r>
      <w:r>
        <w:rPr>
          <w:rFonts w:ascii="Arial" w:cs="Arial" w:eastAsia="Arial" w:hAnsi="Arial"/>
          <w:sz w:val="18"/>
          <w:szCs w:val="18"/>
          <w:color w:val="auto"/>
        </w:rPr>
        <w:t xml:space="preserve"> or emailing ethics@hersheys.com.</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and other interested parties may contact any of the independent directors, including the Lead Independent Director, as well as the independent directors as a group, by writing to the specified party at the address set forth above or by emailing the independent directors (or a specific independent director, including the Lead Independent Director) at independentdirectors@hersheys.com. Stockholders and other interested parties may also contact any of the independent directors using the Hershey Concern Line website noted above.</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Communications to the Audit Committee, any of the independent directors and the Hershey Concern Line are processed by the Office of General Counsel. The Office of General Counsel reviews and summarizes these communications and provides reports to the applicable party on a periodic basis. Communications regarding any accounting, internal control or auditing matter are reported immediately to the Audit Committee, as are allegations about our officers. The Audit Committee will address communications from any interested party in accordance with our Board-approved Procedures for Submission and Handling of Complaints Regarding Compliance Matters, which are available for viewing on the Investors section of our website at </w:t>
      </w:r>
      <w:r>
        <w:rPr>
          <w:rFonts w:ascii="Arial" w:cs="Arial" w:eastAsia="Arial" w:hAnsi="Arial"/>
          <w:sz w:val="17"/>
          <w:szCs w:val="17"/>
          <w:i w:val="1"/>
          <w:iCs w:val="1"/>
          <w:color w:val="auto"/>
        </w:rPr>
        <w:t>www.thehersheycompany.com</w:t>
      </w:r>
      <w:r>
        <w:rPr>
          <w:rFonts w:ascii="Arial" w:cs="Arial" w:eastAsia="Arial" w:hAnsi="Arial"/>
          <w:sz w:val="17"/>
          <w:szCs w:val="17"/>
          <w:color w:val="auto"/>
        </w:rPr>
        <w:t>. Solicitations, junk mail and obviously frivolous or inappropriate communications are not forwarded to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or the independent directors, but copies are retained and made available to any director who wishes to review them.</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88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9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Board, in consultation with the Governance Committee, determines which of our directors are independent. The Board has adopted categorical standards for independence that the Board uses in determining which directors are independent. The Board bases its determination of independence for each director on the more stringent independence standards applicable to Audit Committee members regardless of whether such director serves on the Audit Committee. These standards are contained in the Board’s Corporate Governance Guidelines.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Applying these categorical standards for independence, as well as the independence requirements set forth in the listing standards of the New York Stock Exchange (the “NYSE Rules”) and the rules and regulations of the Securities and Exchange Commission (“SEC”), the Board determined that the following directors recommended for election at the Annual Meeting are independent: Pamela M. Arway, James W. Brown, Victor L. Crawford, Robert M. Dutkowsky, Mary Kay Haben, James C. Katzman, M. Diane Koken, Robert M. Malcolm, Anthony J. Palmer, Juan R. Perez and Wendy L. Schoppert. In addition, the Board determined the following individuals who will continue to serve as directors until the Annual Meeting are independent: Charles A. Davis and David L. Shedlarz. The Board determined that Michele G. Buck is not independent because she is an executive officer of the Company.</w:t>
      </w:r>
    </w:p>
    <w:p>
      <w:pPr>
        <w:spacing w:after="0" w:line="11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making its independence determinations, the Board, in consultation with the Governance Committee, reviewed the direct and indirect relationships between each director and the Company and its subsidiaries, as well as the compensation and other payments each director received from or made to the Company and its subsidiaries.</w:t>
      </w:r>
    </w:p>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making its independence determinations with respect to Ms. Koken and Messrs. Brown and Katzman, the Board considered their roles as current members of the board of directors of Hershey Trust Company and the board of managers (governing body) of Milton Hershey School, as well as certain transactions the Company had or may have with these entities.</w:t>
      </w:r>
    </w:p>
    <w:p>
      <w:pPr>
        <w:spacing w:after="0" w:line="13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Hershey Trust Company, as trustee for the trust established by Milton S. and Catherine S. Hershey that has as its sole beneficiary Milton Hershey School (such trust, the “Milton Hershey School Trust”), is our controlling stockholder. Hershey Trust Company is in turn owned by the Milton Hershey School Trust. As such, Hershey Trust Company, Milton Hershey School, the Milton Hershey School Trust and companies owned by the Milton Hershey School Trust are considered affiliates of the Company under SEC rules. During 2020, we had a number of transactions with Hershey Trust Company, Milton Hershey School and companies owned by the Milton Hershey School Trust involving the purchase and sale of goods and services in the ordinary course of business. We have outlined these transactions in greater detail in the section entitled “Certain Transactions and Relationships.” We have provided information about Company stock owned by Hershey Trust Company, as trustee for the Milton Hershey School Trust, and by Hershey Trust Company for its own investment purposes in the section entitled “Information Regarding Our Controlling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057" w:right="379" w:bottom="1440" w:gutter="0" w:footer="0" w:header="0"/>
        </w:sectPr>
      </w:pPr>
    </w:p>
    <w:bookmarkStart w:id="20" w:name="page21"/>
    <w:bookmarkEnd w:id="20"/>
    <w:p>
      <w:pPr>
        <w:ind w:right="100"/>
        <w:spacing w:after="0" w:line="273" w:lineRule="auto"/>
        <w:rPr>
          <w:sz w:val="20"/>
          <w:szCs w:val="20"/>
          <w:color w:val="auto"/>
        </w:rPr>
      </w:pPr>
      <w:r>
        <w:rPr>
          <w:rFonts w:ascii="Arial" w:cs="Arial" w:eastAsia="Arial" w:hAnsi="Arial"/>
          <w:sz w:val="17"/>
          <w:szCs w:val="17"/>
          <w:color w:val="auto"/>
        </w:rPr>
        <w:t>Ms. Koken and Messrs. Brown and Katzman do not receive any compensation from The Hershey Company, from Hershey Trust Company or from Milton Hershey School other than compensation they receive or will receive in the ordinary course as members of the board of directors or board of managers of each of those entities, as applicable. In addition, Ms. Koken and Messrs. Brown and Katzman do not vote on Board decisions in connection with the Company’s transactions with Hershey Trust Company, Milton Hershey School and companies owned by the Milton Hershey School Trust. The Board therefore concluded that the positions Ms. Koken and Messrs. Brown and Katzman have as members of the board of directors of Hershey Trust Company and the board of managers of Milton Hershey School do not impact their independence.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19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91"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The Governance Committee is responsible for identifying and recommending to the Board candidates for Board membership. As our controlling stockholder, Hershey Trust Company, as trustee for the Milton Hershey School Trust, also may from time to time recommend to the Governance Committee, or elect outright, individuals to serve on our Board.</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administering its responsibilities, the Governance Committee has not adopted formal selection procedures, but instead utilizes general guidelines that allow it to adjust the selection process to best satisfy the objectives established for any director search. The Governance Committee considers director candidates recommended by any reasonable source, including current directors, management, stockholders and other sources. The Governance Committee evaluates all director candidates in the same manner, regardless of the source of the recommendation.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the Governance Committee engages a paid third-party consultant to assist in identifying and evaluating director candidates. The Governance Committee has sole authority under its charter to retain, compensate and terminate these consultants. At the beginning of 2020, the Governance Committee retained Spencer Stuart and Heidrick &amp; Struggles to assist in identifying potential future director candidates. Beginning in August 2020, the Governance Committee engaged Daversa Partners to assist in that process.</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Stockholders desiring to recommend or nominate a director candidate must comply with certain procedures. If you are a stockholder and desire to nominate a director candidate at the 2022 Annual Meeting of Stockholders of the Company, you must comply with the procedures for nomination set forth in the section entitled “Information Regarding the 2022 Annual Meeting of Stockholders.” Stockholders who do not intend to nominate a director at an annual meeting may recommend a director candidate to the Governance Committee for consideration at any time. Stockholders desiring to do so must submit their recommendation in writing to The Hershey Company, c/o Secretary, 19 East Chocolate Avenue, Hershey, Pennsylvania 17033, and include in the submission all of the information that would be required if the stockholder nominated the candidate at an annual meeting. The Governance Committee may require the nominating stockholder to submit additional information before considering the candidate.</w:t>
      </w:r>
    </w:p>
    <w:p>
      <w:pPr>
        <w:spacing w:after="0" w:line="12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were no changes to the procedures relating to stockholder nominations during 2020, and there have been no changes to such procedures to date in 2021. These procedural requirements are intended to ensure the Governance Committee has sufficient time and a basis on which to assess potential director candidates and are not intended to discourage or interfere with appropriate stockholder nominations. The Governance Committee does not believe that these procedural requirements subject any stockholder or proposed nominee to unreasonable burdens. The Governance Committee and the Board reserve the right to change the procedural requirements from time to time and/or to waive some or all of the requirements with respect to certain nominees, but any such waiver shall not preclude the Governance Committee from insisting upon compliance with any and all of the above requirements by any other recommending stockholder or proposed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057" w:right="3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25"/>
          <w:szCs w:val="25"/>
          <w:b w:val="1"/>
          <w:bCs w:val="1"/>
          <w:color w:val="3F000B"/>
        </w:rPr>
        <w:t>THE BOARD OF DIRECTORS</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General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68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68930" cy="8890"/>
                    </a:xfrm>
                    <a:prstGeom prst="rect">
                      <a:avLst/>
                    </a:prstGeom>
                    <a:noFill/>
                  </pic:spPr>
                </pic:pic>
              </a:graphicData>
            </a:graphic>
          </wp:anchor>
        </w:drawing>
      </w:r>
    </w:p>
    <w:p>
      <w:pPr>
        <w:spacing w:after="0" w:line="9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has general oversight responsibility for the Company’s affairs. Although the Board does not have responsibility for day-to-day management of the Company, Board members stay informed about the Company’s business through regular meetings, site visits and other periodic interactions with management. The Board is deeply involved in the Company’s strategic planning process. The Board also plays an important oversight role in the Company’s leadership development, succession planning and risk management processes.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6670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Board is currently comprised of 14 members, each serving a one-year term that expires at the Annual Meeting. Eleven of the 12 director nominees are considered independent under the NYSE Rules and the Board’s Corporate Governance Guidelines.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044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spacing w:after="0" w:line="9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governance documents provide the Board with flexibility to select the leadership structure that is most appropriate for the Company and its stockholders. The Board regularly evaluates its governance structure and has concluded that the Company and its stockholders are best served by not having a formal policy regarding whether the same individual should serve as both Chairman of the Board and CEO. This approach allows the Board to exercise its business judgment in determining the most appropriate leadership structure in light of the current facts and circumstances facing the Company, including the composition and tenure of the Board, the tenure of the CEO, the strength of the Company’s management team, the Company’s recent financial performance, the Company’s current strategic plan and the current economic environment, among other factors.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Michele G. Buck currently serves as our Chairman of the Board, President and CEO. The Board believes that combining the roles of Chairman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 and CEO under Ms. Buck’s leadership is in the best interests of the Company and its stockholders for several reasons:</w:t>
      </w:r>
    </w:p>
    <w:p>
      <w:pPr>
        <w:spacing w:after="0" w:line="103" w:lineRule="exact"/>
        <w:rPr>
          <w:sz w:val="20"/>
          <w:szCs w:val="20"/>
          <w:color w:val="auto"/>
        </w:rPr>
      </w:pPr>
    </w:p>
    <w:p>
      <w:pPr>
        <w:ind w:left="660" w:right="380" w:hanging="328"/>
        <w:spacing w:after="0" w:line="286"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Ms. Buck has served as the Company’s CEO and a member of the Board for more than four years. During that time, she has fostered a strong working relationship between the Board and management and has cultivated a high level of trust with the Board. She also has a deep understanding of Board governance and operations through her service as Lead Director of New York Life Insurance Company.</w:t>
      </w:r>
    </w:p>
    <w:p>
      <w:pPr>
        <w:spacing w:after="0" w:line="3" w:lineRule="exact"/>
        <w:rPr>
          <w:rFonts w:ascii="Arial" w:cs="Arial" w:eastAsia="Arial" w:hAnsi="Arial"/>
          <w:sz w:val="17"/>
          <w:szCs w:val="17"/>
          <w:color w:val="auto"/>
        </w:rPr>
      </w:pPr>
    </w:p>
    <w:p>
      <w:pPr>
        <w:ind w:left="660" w:right="20" w:hanging="328"/>
        <w:spacing w:after="0" w:line="25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Having served as an executive in numerous positions with the Company for more than fifteen years, Ms. Buck has an unparalleled knowledge of the Company and its products, which the Board believes puts her in the best position to lead the Board through the strategic business issues facing the Company. During her tenure as CEO, Ms. Buck has proven her ability to drive business strategy and operational excellence. The Board believes that having Ms. Buck leverage these skills as Chairman of the Board provides the Company with a significant competitive advantage in the current marketplace.</w:t>
      </w:r>
    </w:p>
    <w:p>
      <w:pPr>
        <w:spacing w:after="0" w:line="25" w:lineRule="exact"/>
        <w:rPr>
          <w:rFonts w:ascii="Arial" w:cs="Arial" w:eastAsia="Arial" w:hAnsi="Arial"/>
          <w:sz w:val="18"/>
          <w:szCs w:val="18"/>
          <w:color w:val="auto"/>
        </w:rPr>
      </w:pPr>
    </w:p>
    <w:p>
      <w:pPr>
        <w:ind w:left="660" w:right="640" w:hanging="328"/>
        <w:spacing w:after="0" w:line="308"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Board believes that combining the roles of Chairman of the Board and CEO promotes decisive, unified leadership, which enables the Company to make rapid strategic decisions in the face of increasing competition and shifting market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Board also recognizes the importance of strong independent Board leadership. For that reason, the Board elected</w:t>
      </w:r>
    </w:p>
    <w:p>
      <w:pPr>
        <w:spacing w:after="0" w:line="1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Charles A. Davis to serve as Lead Independent Director when Ms. Buck became Chairman of the Board in October 2019. In May 2020, the Board elected Anthony J. Palmer to succeed Mr. Davis as Lead Independent Director.</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886"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Under the terms of the Board’s Corporate Governance Guidelines, the Lead Independent Director’s responsibilities include the following:</w:t>
      </w:r>
    </w:p>
    <w:p>
      <w:pPr>
        <w:spacing w:after="0" w:line="11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absence of the Chairman of the Board, presiding at all Board and stockholder meetings;</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Calling meetings of the independent directors of the Board, in addition to the executive sessions of independent directors held after each Board meeting;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the agenda and presiding at all executive sessions and other meetings of the independent directors of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Communicating with the independent directors of the Board between meetings as necessary or appropriate;</w:t>
      </w:r>
    </w:p>
    <w:p>
      <w:pPr>
        <w:spacing w:after="0" w:line="63"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Serving as a liaison between the Chairman of the Board and the independent directors, ensuring independent director consensus is communicated to the Chairman of the Board, and communicating the results of meetings of the independent directors to the Chairman of the Board and other members of management, as appropriate;</w:t>
      </w:r>
    </w:p>
    <w:p>
      <w:pPr>
        <w:spacing w:after="0" w:line="2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coordination with the CEO, approving Board meeting agendas and schedules to assure there is sufficient time for discussion of all agenda items;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Board meeting materials and other information sent to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Evaluating the quality and timeliness of information sent to the Board by the CEO and other members of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the Chairman of the Board in implementing and overseeing the Board succession planning process;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the Chairman of the Board with crisis management matters;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the evaluation of the CEO;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the chair of the Governance Committee with Board and individual director evaluations;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available for consultation and direct communication at the request of major stockholders.</w:t>
      </w:r>
    </w:p>
    <w:p>
      <w:pPr>
        <w:spacing w:after="0" w:line="1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Board has determined that Mr. Palmer is an independent member of the Board under the NYSE Rules and the Board’s Corporate Governance Guidelines.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has established five standing committees to assist with its oversight responsibilities: (1) Audit Committee; (2) Compensation and Executive Organization Committee (“Compensation Committee”); (3) Finance and Risk Management Committee; (4) Governance Committee; and (5) Executive Committee. Each of the Audit Committee, the Compensation Committee, the Finance and Risk Management Committee, and the Governance Committee is comprised entirely of independent directors. Finally, Ms. Koken and Messrs. Brown and Katzman are direct representatives of the Company’s largest stockholder. This composition of our Board helps to ensure that boardroom discussions reflect the views of management, our independent directors and our stockholders.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057" w:right="35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3F000B"/>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38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00" cy="8890"/>
                    </a:xfrm>
                    <a:prstGeom prst="rect">
                      <a:avLst/>
                    </a:prstGeom>
                    <a:noFill/>
                  </pic:spPr>
                </pic:pic>
              </a:graphicData>
            </a:graphic>
          </wp:anchor>
        </w:drawing>
      </w:r>
    </w:p>
    <w:p>
      <w:pPr>
        <w:spacing w:after="0" w:line="9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Our Board takes an active role in risk oversight. While management is responsible for identifying, evaluating, managing and mitigating the Company’s exposure to risk, it is the Board’s responsibility to oversee the Company’s risk management process and to ensure that management is taking appropriate action to identify, manage and mitigate key risks and keeping the Board appropriately informed. The Board administers its risk oversight responsibilities both through active review and discussion of key risks facing the Company and by delegating certain risk oversight responsibilities to committees for</w:t>
      </w:r>
    </w:p>
    <w:p>
      <w:pPr>
        <w:sectPr>
          <w:pgSz w:w="11900" w:h="16838" w:orient="portrait"/>
          <w:cols w:equalWidth="0" w:num="1">
            <w:col w:w="11180"/>
          </w:cols>
          <w:pgMar w:left="320" w:top="1111" w:right="39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6"/>
          </w:tcPr>
          <w:p>
            <w:pPr>
              <w:spacing w:after="0"/>
              <w:rPr>
                <w:sz w:val="20"/>
                <w:szCs w:val="20"/>
                <w:color w:val="auto"/>
              </w:rPr>
            </w:pPr>
            <w:r>
              <w:rPr>
                <w:rFonts w:ascii="Arial" w:cs="Arial" w:eastAsia="Arial" w:hAnsi="Arial"/>
                <w:sz w:val="18"/>
                <w:szCs w:val="18"/>
                <w:color w:val="auto"/>
              </w:rPr>
              <w:t>further consideration and evaluation.</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 w:type="dxa"/>
            <w:vAlign w:val="bottom"/>
            <w:tcBorders>
              <w:bottom w:val="single" w:sz="8" w:color="3F000B"/>
            </w:tcBorders>
          </w:tcPr>
          <w:p>
            <w:pPr>
              <w:spacing w:after="0"/>
              <w:rPr>
                <w:sz w:val="9"/>
                <w:szCs w:val="9"/>
                <w:color w:val="auto"/>
              </w:rPr>
            </w:pPr>
          </w:p>
        </w:tc>
        <w:tc>
          <w:tcPr>
            <w:tcW w:w="2020" w:type="dxa"/>
            <w:vAlign w:val="bottom"/>
            <w:tcBorders>
              <w:bottom w:val="single" w:sz="8" w:color="3F000B"/>
            </w:tcBorders>
          </w:tcPr>
          <w:p>
            <w:pPr>
              <w:spacing w:after="0"/>
              <w:rPr>
                <w:sz w:val="9"/>
                <w:szCs w:val="9"/>
                <w:color w:val="auto"/>
              </w:rPr>
            </w:pPr>
          </w:p>
        </w:tc>
        <w:tc>
          <w:tcPr>
            <w:tcW w:w="100" w:type="dxa"/>
            <w:vAlign w:val="bottom"/>
          </w:tcPr>
          <w:p>
            <w:pPr>
              <w:spacing w:after="0"/>
              <w:rPr>
                <w:sz w:val="9"/>
                <w:szCs w:val="9"/>
                <w:color w:val="auto"/>
              </w:rPr>
            </w:pPr>
          </w:p>
        </w:tc>
        <w:tc>
          <w:tcPr>
            <w:tcW w:w="4420" w:type="dxa"/>
            <w:vAlign w:val="bottom"/>
            <w:gridSpan w:val="4"/>
            <w:vMerge w:val="restart"/>
          </w:tcPr>
          <w:p>
            <w:pPr>
              <w:ind w:left="60"/>
              <w:spacing w:after="0"/>
              <w:rPr>
                <w:sz w:val="20"/>
                <w:szCs w:val="20"/>
                <w:color w:val="auto"/>
              </w:rPr>
            </w:pPr>
            <w:r>
              <w:rPr>
                <w:rFonts w:ascii="Arial" w:cs="Arial" w:eastAsia="Arial" w:hAnsi="Arial"/>
                <w:sz w:val="18"/>
                <w:szCs w:val="18"/>
                <w:color w:val="auto"/>
                <w:w w:val="92"/>
              </w:rPr>
              <w:t>• Review and evaluate strategic plans and associated risks</w:t>
            </w: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3F000B"/>
            </w:tcBorders>
          </w:tcPr>
          <w:p>
            <w:pPr>
              <w:spacing w:after="0"/>
              <w:rPr>
                <w:sz w:val="22"/>
                <w:szCs w:val="22"/>
                <w:color w:val="auto"/>
              </w:rPr>
            </w:pPr>
          </w:p>
        </w:tc>
        <w:tc>
          <w:tcPr>
            <w:tcW w:w="120" w:type="dxa"/>
            <w:vAlign w:val="bottom"/>
            <w:shd w:val="clear" w:color="auto" w:fill="DADADA"/>
          </w:tcPr>
          <w:p>
            <w:pPr>
              <w:spacing w:after="0"/>
              <w:rPr>
                <w:sz w:val="22"/>
                <w:szCs w:val="22"/>
                <w:color w:val="auto"/>
              </w:rPr>
            </w:pPr>
          </w:p>
        </w:tc>
        <w:tc>
          <w:tcPr>
            <w:tcW w:w="2020" w:type="dxa"/>
            <w:vAlign w:val="bottom"/>
            <w:tcBorders>
              <w:right w:val="single" w:sz="8" w:color="DADADA"/>
            </w:tcBorders>
            <w:vMerge w:val="restart"/>
            <w:shd w:val="clear" w:color="auto" w:fill="DADADA"/>
          </w:tcPr>
          <w:p>
            <w:pPr>
              <w:ind w:left="500"/>
              <w:spacing w:after="0"/>
              <w:rPr>
                <w:sz w:val="20"/>
                <w:szCs w:val="20"/>
                <w:color w:val="auto"/>
              </w:rPr>
            </w:pPr>
            <w:r>
              <w:rPr>
                <w:rFonts w:ascii="Arial" w:cs="Arial" w:eastAsia="Arial" w:hAnsi="Arial"/>
                <w:sz w:val="22"/>
                <w:szCs w:val="22"/>
                <w:b w:val="1"/>
                <w:bCs w:val="1"/>
                <w:color w:val="3F000B"/>
              </w:rPr>
              <w:t>Board of</w:t>
            </w:r>
          </w:p>
        </w:tc>
        <w:tc>
          <w:tcPr>
            <w:tcW w:w="100" w:type="dxa"/>
            <w:vAlign w:val="bottom"/>
            <w:tcBorders>
              <w:left w:val="single" w:sz="8" w:color="3F000B"/>
            </w:tcBorders>
          </w:tcPr>
          <w:p>
            <w:pPr>
              <w:spacing w:after="0"/>
              <w:rPr>
                <w:sz w:val="22"/>
                <w:szCs w:val="22"/>
                <w:color w:val="auto"/>
              </w:rPr>
            </w:pPr>
          </w:p>
        </w:tc>
        <w:tc>
          <w:tcPr>
            <w:tcW w:w="4420" w:type="dxa"/>
            <w:vAlign w:val="bottom"/>
            <w:gridSpan w:val="4"/>
            <w:vMerge w:val="continue"/>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3F000B"/>
            </w:tcBorders>
          </w:tcPr>
          <w:p>
            <w:pPr>
              <w:spacing w:after="0"/>
              <w:rPr>
                <w:sz w:val="15"/>
                <w:szCs w:val="15"/>
                <w:color w:val="auto"/>
              </w:rPr>
            </w:pPr>
          </w:p>
        </w:tc>
        <w:tc>
          <w:tcPr>
            <w:tcW w:w="120" w:type="dxa"/>
            <w:vAlign w:val="bottom"/>
            <w:shd w:val="clear" w:color="auto" w:fill="DADADA"/>
          </w:tcPr>
          <w:p>
            <w:pPr>
              <w:spacing w:after="0"/>
              <w:rPr>
                <w:sz w:val="15"/>
                <w:szCs w:val="15"/>
                <w:color w:val="auto"/>
              </w:rPr>
            </w:pPr>
          </w:p>
        </w:tc>
        <w:tc>
          <w:tcPr>
            <w:tcW w:w="2020" w:type="dxa"/>
            <w:vAlign w:val="bottom"/>
            <w:tcBorders>
              <w:right w:val="single" w:sz="8" w:color="DADADA"/>
            </w:tcBorders>
            <w:vMerge w:val="continue"/>
            <w:shd w:val="clear" w:color="auto" w:fill="DADADA"/>
          </w:tcPr>
          <w:p>
            <w:pPr>
              <w:spacing w:after="0"/>
              <w:rPr>
                <w:sz w:val="15"/>
                <w:szCs w:val="15"/>
                <w:color w:val="auto"/>
              </w:rPr>
            </w:pPr>
          </w:p>
        </w:tc>
        <w:tc>
          <w:tcPr>
            <w:tcW w:w="100" w:type="dxa"/>
            <w:vAlign w:val="bottom"/>
            <w:tcBorders>
              <w:left w:val="single" w:sz="8" w:color="3F000B"/>
            </w:tcBorders>
          </w:tcPr>
          <w:p>
            <w:pPr>
              <w:spacing w:after="0"/>
              <w:rPr>
                <w:sz w:val="15"/>
                <w:szCs w:val="15"/>
                <w:color w:val="auto"/>
              </w:rPr>
            </w:pPr>
          </w:p>
        </w:tc>
        <w:tc>
          <w:tcPr>
            <w:tcW w:w="668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3"/>
              </w:rPr>
              <w:t>• Oversee enterprise risk management (“ERM”) framework and the overall ERM process</w:t>
            </w:r>
          </w:p>
        </w:tc>
        <w:tc>
          <w:tcPr>
            <w:tcW w:w="0" w:type="dxa"/>
            <w:vAlign w:val="bottom"/>
          </w:tcPr>
          <w:p>
            <w:pPr>
              <w:spacing w:after="0"/>
              <w:rPr>
                <w:sz w:val="1"/>
                <w:szCs w:val="1"/>
                <w:color w:val="auto"/>
              </w:rPr>
            </w:pPr>
          </w:p>
        </w:tc>
      </w:tr>
      <w:tr>
        <w:trPr>
          <w:trHeight w:val="283"/>
        </w:trPr>
        <w:tc>
          <w:tcPr>
            <w:tcW w:w="40" w:type="dxa"/>
            <w:vAlign w:val="bottom"/>
            <w:tcBorders>
              <w:right w:val="single" w:sz="8" w:color="3F000B"/>
            </w:tcBorders>
          </w:tcPr>
          <w:p>
            <w:pPr>
              <w:spacing w:after="0"/>
              <w:rPr>
                <w:sz w:val="24"/>
                <w:szCs w:val="24"/>
                <w:color w:val="auto"/>
              </w:rPr>
            </w:pPr>
          </w:p>
        </w:tc>
        <w:tc>
          <w:tcPr>
            <w:tcW w:w="120" w:type="dxa"/>
            <w:vAlign w:val="bottom"/>
            <w:shd w:val="clear" w:color="auto" w:fill="DADADA"/>
          </w:tcPr>
          <w:p>
            <w:pPr>
              <w:spacing w:after="0"/>
              <w:rPr>
                <w:sz w:val="24"/>
                <w:szCs w:val="24"/>
                <w:color w:val="auto"/>
              </w:rPr>
            </w:pPr>
          </w:p>
        </w:tc>
        <w:tc>
          <w:tcPr>
            <w:tcW w:w="2020" w:type="dxa"/>
            <w:vAlign w:val="bottom"/>
            <w:tcBorders>
              <w:right w:val="single" w:sz="8" w:color="DADADA"/>
            </w:tcBorders>
            <w:shd w:val="clear" w:color="auto" w:fill="DADADA"/>
          </w:tcPr>
          <w:p>
            <w:pPr>
              <w:ind w:left="520"/>
              <w:spacing w:after="0"/>
              <w:rPr>
                <w:sz w:val="20"/>
                <w:szCs w:val="20"/>
                <w:color w:val="auto"/>
              </w:rPr>
            </w:pPr>
            <w:r>
              <w:rPr>
                <w:rFonts w:ascii="Arial" w:cs="Arial" w:eastAsia="Arial" w:hAnsi="Arial"/>
                <w:sz w:val="22"/>
                <w:szCs w:val="22"/>
                <w:b w:val="1"/>
                <w:bCs w:val="1"/>
                <w:color w:val="3F000B"/>
              </w:rPr>
              <w:t>Directors</w:t>
            </w:r>
          </w:p>
        </w:tc>
        <w:tc>
          <w:tcPr>
            <w:tcW w:w="100" w:type="dxa"/>
            <w:vAlign w:val="bottom"/>
            <w:tcBorders>
              <w:left w:val="single" w:sz="8" w:color="3F000B"/>
            </w:tcBorders>
          </w:tcPr>
          <w:p>
            <w:pPr>
              <w:spacing w:after="0"/>
              <w:rPr>
                <w:sz w:val="24"/>
                <w:szCs w:val="24"/>
                <w:color w:val="auto"/>
              </w:rPr>
            </w:pPr>
          </w:p>
        </w:tc>
        <w:tc>
          <w:tcPr>
            <w:tcW w:w="4420" w:type="dxa"/>
            <w:vAlign w:val="bottom"/>
            <w:gridSpan w:val="4"/>
          </w:tcPr>
          <w:p>
            <w:pPr>
              <w:ind w:left="60"/>
              <w:spacing w:after="0"/>
              <w:rPr>
                <w:sz w:val="20"/>
                <w:szCs w:val="20"/>
                <w:color w:val="auto"/>
              </w:rPr>
            </w:pPr>
            <w:r>
              <w:rPr>
                <w:rFonts w:ascii="Arial" w:cs="Arial" w:eastAsia="Arial" w:hAnsi="Arial"/>
                <w:sz w:val="18"/>
                <w:szCs w:val="18"/>
                <w:color w:val="auto"/>
              </w:rPr>
              <w:t>• Conduct annual succession plan reviews</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3F000B"/>
            </w:tcBorders>
          </w:tcPr>
          <w:p>
            <w:pPr>
              <w:spacing w:after="0"/>
              <w:rPr>
                <w:sz w:val="20"/>
                <w:szCs w:val="20"/>
                <w:color w:val="auto"/>
              </w:rPr>
            </w:pPr>
          </w:p>
        </w:tc>
        <w:tc>
          <w:tcPr>
            <w:tcW w:w="120" w:type="dxa"/>
            <w:vAlign w:val="bottom"/>
            <w:tcBorders>
              <w:bottom w:val="single" w:sz="8" w:color="3F000B"/>
            </w:tcBorders>
            <w:shd w:val="clear" w:color="auto" w:fill="DADADA"/>
          </w:tcPr>
          <w:p>
            <w:pPr>
              <w:spacing w:after="0"/>
              <w:rPr>
                <w:sz w:val="20"/>
                <w:szCs w:val="20"/>
                <w:color w:val="auto"/>
              </w:rPr>
            </w:pPr>
          </w:p>
        </w:tc>
        <w:tc>
          <w:tcPr>
            <w:tcW w:w="2020" w:type="dxa"/>
            <w:vAlign w:val="bottom"/>
            <w:tcBorders>
              <w:bottom w:val="single" w:sz="8" w:color="3F000B"/>
              <w:right w:val="single" w:sz="8" w:color="DADADA"/>
            </w:tcBorders>
            <w:shd w:val="clear" w:color="auto" w:fill="DADADA"/>
          </w:tcPr>
          <w:p>
            <w:pPr>
              <w:spacing w:after="0"/>
              <w:rPr>
                <w:sz w:val="20"/>
                <w:szCs w:val="20"/>
                <w:color w:val="auto"/>
              </w:rPr>
            </w:pPr>
          </w:p>
        </w:tc>
        <w:tc>
          <w:tcPr>
            <w:tcW w:w="100" w:type="dxa"/>
            <w:vAlign w:val="bottom"/>
            <w:tcBorders>
              <w:left w:val="single" w:sz="8" w:color="3F000B"/>
            </w:tcBorders>
          </w:tcPr>
          <w:p>
            <w:pPr>
              <w:spacing w:after="0"/>
              <w:rPr>
                <w:sz w:val="20"/>
                <w:szCs w:val="20"/>
                <w:color w:val="auto"/>
              </w:rPr>
            </w:pPr>
          </w:p>
        </w:tc>
        <w:tc>
          <w:tcPr>
            <w:tcW w:w="6680" w:type="dxa"/>
            <w:vAlign w:val="bottom"/>
            <w:gridSpan w:val="6"/>
          </w:tcPr>
          <w:p>
            <w:pPr>
              <w:ind w:left="60"/>
              <w:spacing w:after="0"/>
              <w:rPr>
                <w:sz w:val="20"/>
                <w:szCs w:val="20"/>
                <w:color w:val="auto"/>
              </w:rPr>
            </w:pPr>
            <w:r>
              <w:rPr>
                <w:rFonts w:ascii="Arial" w:cs="Arial" w:eastAsia="Arial" w:hAnsi="Arial"/>
                <w:sz w:val="18"/>
                <w:szCs w:val="18"/>
                <w:color w:val="auto"/>
              </w:rPr>
              <w:t>• Oversee ESG programs and policies, including sustainability and climate change</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0" w:type="dxa"/>
            <w:vAlign w:val="bottom"/>
            <w:tcBorders>
              <w:bottom w:val="single" w:sz="8" w:color="3F000B"/>
            </w:tcBorders>
          </w:tcPr>
          <w:p>
            <w:pPr>
              <w:spacing w:after="0"/>
              <w:rPr>
                <w:sz w:val="12"/>
                <w:szCs w:val="12"/>
                <w:color w:val="auto"/>
              </w:rPr>
            </w:pPr>
          </w:p>
        </w:tc>
        <w:tc>
          <w:tcPr>
            <w:tcW w:w="2020" w:type="dxa"/>
            <w:vAlign w:val="bottom"/>
            <w:tcBorders>
              <w:bottom w:val="single" w:sz="8" w:color="3F000B"/>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3F000B"/>
            </w:tcBorders>
          </w:tcPr>
          <w:p>
            <w:pPr>
              <w:spacing w:after="0"/>
              <w:rPr>
                <w:sz w:val="12"/>
                <w:szCs w:val="12"/>
                <w:color w:val="auto"/>
              </w:rPr>
            </w:pPr>
          </w:p>
        </w:tc>
        <w:tc>
          <w:tcPr>
            <w:tcW w:w="2060" w:type="dxa"/>
            <w:vAlign w:val="bottom"/>
            <w:tcBorders>
              <w:bottom w:val="single" w:sz="8" w:color="3F000B"/>
            </w:tcBorders>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bottom w:val="single" w:sz="8" w:color="3F000B"/>
            </w:tcBorders>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Borders>
              <w:bottom w:val="single" w:sz="8" w:color="3F000B"/>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0" w:type="dxa"/>
            <w:vAlign w:val="bottom"/>
            <w:tcBorders>
              <w:right w:val="single" w:sz="8" w:color="3F000B"/>
            </w:tcBorders>
          </w:tcPr>
          <w:p>
            <w:pPr>
              <w:spacing w:after="0"/>
              <w:rPr>
                <w:sz w:val="22"/>
                <w:szCs w:val="22"/>
                <w:color w:val="auto"/>
              </w:rPr>
            </w:pPr>
          </w:p>
        </w:tc>
        <w:tc>
          <w:tcPr>
            <w:tcW w:w="120" w:type="dxa"/>
            <w:vAlign w:val="bottom"/>
            <w:shd w:val="clear" w:color="auto" w:fill="DADADA"/>
          </w:tcPr>
          <w:p>
            <w:pPr>
              <w:spacing w:after="0"/>
              <w:rPr>
                <w:sz w:val="22"/>
                <w:szCs w:val="22"/>
                <w:color w:val="auto"/>
              </w:rPr>
            </w:pPr>
          </w:p>
        </w:tc>
        <w:tc>
          <w:tcPr>
            <w:tcW w:w="2020" w:type="dxa"/>
            <w:vAlign w:val="bottom"/>
            <w:tcBorders>
              <w:right w:val="single" w:sz="8" w:color="3F000B"/>
            </w:tcBorders>
            <w:shd w:val="clear" w:color="auto" w:fill="DADADA"/>
          </w:tcPr>
          <w:p>
            <w:pPr>
              <w:spacing w:after="0"/>
              <w:rPr>
                <w:sz w:val="22"/>
                <w:szCs w:val="22"/>
                <w:color w:val="auto"/>
              </w:rPr>
            </w:pPr>
          </w:p>
        </w:tc>
        <w:tc>
          <w:tcPr>
            <w:tcW w:w="100" w:type="dxa"/>
            <w:vAlign w:val="bottom"/>
            <w:tcBorders>
              <w:right w:val="single" w:sz="8" w:color="3F000B"/>
            </w:tcBorders>
          </w:tcPr>
          <w:p>
            <w:pPr>
              <w:spacing w:after="0"/>
              <w:rPr>
                <w:sz w:val="22"/>
                <w:szCs w:val="22"/>
                <w:color w:val="auto"/>
              </w:rPr>
            </w:pPr>
          </w:p>
        </w:tc>
        <w:tc>
          <w:tcPr>
            <w:tcW w:w="100" w:type="dxa"/>
            <w:vAlign w:val="bottom"/>
            <w:shd w:val="clear" w:color="auto" w:fill="DADADA"/>
          </w:tcPr>
          <w:p>
            <w:pPr>
              <w:spacing w:after="0"/>
              <w:rPr>
                <w:sz w:val="22"/>
                <w:szCs w:val="22"/>
                <w:color w:val="auto"/>
              </w:rPr>
            </w:pPr>
          </w:p>
        </w:tc>
        <w:tc>
          <w:tcPr>
            <w:tcW w:w="2060" w:type="dxa"/>
            <w:vAlign w:val="bottom"/>
            <w:tcBorders>
              <w:right w:val="single" w:sz="8" w:color="3F000B"/>
            </w:tcBorders>
            <w:shd w:val="clear" w:color="auto" w:fill="DADADA"/>
          </w:tcPr>
          <w:p>
            <w:pPr>
              <w:jc w:val="center"/>
              <w:ind w:right="187"/>
              <w:spacing w:after="0"/>
              <w:rPr>
                <w:sz w:val="20"/>
                <w:szCs w:val="20"/>
                <w:color w:val="auto"/>
              </w:rPr>
            </w:pPr>
            <w:r>
              <w:rPr>
                <w:rFonts w:ascii="Arial" w:cs="Arial" w:eastAsia="Arial" w:hAnsi="Arial"/>
                <w:sz w:val="22"/>
                <w:szCs w:val="22"/>
                <w:b w:val="1"/>
                <w:bCs w:val="1"/>
                <w:color w:val="3F000B"/>
                <w:w w:val="87"/>
              </w:rPr>
              <w:t>Compensation</w:t>
            </w:r>
          </w:p>
        </w:tc>
        <w:tc>
          <w:tcPr>
            <w:tcW w:w="120" w:type="dxa"/>
            <w:vAlign w:val="bottom"/>
            <w:tcBorders>
              <w:right w:val="single" w:sz="8" w:color="3F000B"/>
            </w:tcBorders>
          </w:tcPr>
          <w:p>
            <w:pPr>
              <w:spacing w:after="0"/>
              <w:rPr>
                <w:sz w:val="22"/>
                <w:szCs w:val="22"/>
                <w:color w:val="auto"/>
              </w:rPr>
            </w:pPr>
          </w:p>
        </w:tc>
        <w:tc>
          <w:tcPr>
            <w:tcW w:w="2140" w:type="dxa"/>
            <w:vAlign w:val="bottom"/>
            <w:tcBorders>
              <w:right w:val="single" w:sz="8" w:color="3F000B"/>
            </w:tcBorders>
            <w:vMerge w:val="restart"/>
            <w:shd w:val="clear" w:color="auto" w:fill="DADADA"/>
          </w:tcPr>
          <w:p>
            <w:pPr>
              <w:ind w:left="160"/>
              <w:spacing w:after="0"/>
              <w:rPr>
                <w:sz w:val="20"/>
                <w:szCs w:val="20"/>
                <w:color w:val="auto"/>
              </w:rPr>
            </w:pPr>
            <w:r>
              <w:rPr>
                <w:rFonts w:ascii="Arial" w:cs="Arial" w:eastAsia="Arial" w:hAnsi="Arial"/>
                <w:sz w:val="22"/>
                <w:szCs w:val="22"/>
                <w:b w:val="1"/>
                <w:bCs w:val="1"/>
                <w:color w:val="3F000B"/>
              </w:rPr>
              <w:t>Finance and Risk</w:t>
            </w:r>
          </w:p>
        </w:tc>
        <w:tc>
          <w:tcPr>
            <w:tcW w:w="100" w:type="dxa"/>
            <w:vAlign w:val="bottom"/>
            <w:tcBorders>
              <w:right w:val="single" w:sz="8" w:color="3F000B"/>
            </w:tcBorders>
          </w:tcPr>
          <w:p>
            <w:pPr>
              <w:spacing w:after="0"/>
              <w:rPr>
                <w:sz w:val="22"/>
                <w:szCs w:val="22"/>
                <w:color w:val="auto"/>
              </w:rPr>
            </w:pPr>
          </w:p>
        </w:tc>
        <w:tc>
          <w:tcPr>
            <w:tcW w:w="2160" w:type="dxa"/>
            <w:vAlign w:val="bottom"/>
            <w:tcBorders>
              <w:right w:val="single" w:sz="8" w:color="3F000B"/>
            </w:tcBorders>
            <w:shd w:val="clear" w:color="auto" w:fill="DADADA"/>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3F000B"/>
            </w:tcBorders>
          </w:tcPr>
          <w:p>
            <w:pPr>
              <w:spacing w:after="0"/>
              <w:rPr>
                <w:sz w:val="10"/>
                <w:szCs w:val="10"/>
                <w:color w:val="auto"/>
              </w:rPr>
            </w:pPr>
          </w:p>
        </w:tc>
        <w:tc>
          <w:tcPr>
            <w:tcW w:w="120" w:type="dxa"/>
            <w:vAlign w:val="bottom"/>
            <w:shd w:val="clear" w:color="auto" w:fill="DADADA"/>
          </w:tcPr>
          <w:p>
            <w:pPr>
              <w:spacing w:after="0"/>
              <w:rPr>
                <w:sz w:val="10"/>
                <w:szCs w:val="10"/>
                <w:color w:val="auto"/>
              </w:rPr>
            </w:pPr>
          </w:p>
        </w:tc>
        <w:tc>
          <w:tcPr>
            <w:tcW w:w="2020" w:type="dxa"/>
            <w:vAlign w:val="bottom"/>
            <w:tcBorders>
              <w:right w:val="single" w:sz="8" w:color="3F000B"/>
            </w:tcBorders>
            <w:vMerge w:val="restart"/>
            <w:shd w:val="clear" w:color="auto" w:fill="DADADA"/>
          </w:tcPr>
          <w:p>
            <w:pPr>
              <w:ind w:left="600"/>
              <w:spacing w:after="0"/>
              <w:rPr>
                <w:sz w:val="20"/>
                <w:szCs w:val="20"/>
                <w:color w:val="auto"/>
              </w:rPr>
            </w:pPr>
            <w:r>
              <w:rPr>
                <w:rFonts w:ascii="Arial" w:cs="Arial" w:eastAsia="Arial" w:hAnsi="Arial"/>
                <w:sz w:val="22"/>
                <w:szCs w:val="22"/>
                <w:b w:val="1"/>
                <w:bCs w:val="1"/>
                <w:color w:val="3F000B"/>
              </w:rPr>
              <w:t>Audit</w:t>
            </w:r>
          </w:p>
        </w:tc>
        <w:tc>
          <w:tcPr>
            <w:tcW w:w="100" w:type="dxa"/>
            <w:vAlign w:val="bottom"/>
            <w:tcBorders>
              <w:right w:val="single" w:sz="8" w:color="3F000B"/>
            </w:tcBorders>
          </w:tcPr>
          <w:p>
            <w:pPr>
              <w:spacing w:after="0"/>
              <w:rPr>
                <w:sz w:val="10"/>
                <w:szCs w:val="10"/>
                <w:color w:val="auto"/>
              </w:rPr>
            </w:pPr>
          </w:p>
        </w:tc>
        <w:tc>
          <w:tcPr>
            <w:tcW w:w="100" w:type="dxa"/>
            <w:vAlign w:val="bottom"/>
            <w:shd w:val="clear" w:color="auto" w:fill="DADADA"/>
          </w:tcPr>
          <w:p>
            <w:pPr>
              <w:spacing w:after="0"/>
              <w:rPr>
                <w:sz w:val="10"/>
                <w:szCs w:val="10"/>
                <w:color w:val="auto"/>
              </w:rPr>
            </w:pPr>
          </w:p>
        </w:tc>
        <w:tc>
          <w:tcPr>
            <w:tcW w:w="2060" w:type="dxa"/>
            <w:vAlign w:val="bottom"/>
            <w:tcBorders>
              <w:right w:val="single" w:sz="8" w:color="3F000B"/>
            </w:tcBorders>
            <w:vMerge w:val="restart"/>
            <w:shd w:val="clear" w:color="auto" w:fill="DADADA"/>
          </w:tcPr>
          <w:p>
            <w:pPr>
              <w:jc w:val="center"/>
              <w:ind w:right="187"/>
              <w:spacing w:after="0"/>
              <w:rPr>
                <w:sz w:val="20"/>
                <w:szCs w:val="20"/>
                <w:color w:val="auto"/>
              </w:rPr>
            </w:pPr>
            <w:r>
              <w:rPr>
                <w:rFonts w:ascii="Arial" w:cs="Arial" w:eastAsia="Arial" w:hAnsi="Arial"/>
                <w:sz w:val="22"/>
                <w:szCs w:val="22"/>
                <w:b w:val="1"/>
                <w:bCs w:val="1"/>
                <w:color w:val="3F000B"/>
                <w:w w:val="87"/>
              </w:rPr>
              <w:t>and Executive</w:t>
            </w:r>
          </w:p>
        </w:tc>
        <w:tc>
          <w:tcPr>
            <w:tcW w:w="120" w:type="dxa"/>
            <w:vAlign w:val="bottom"/>
            <w:tcBorders>
              <w:right w:val="single" w:sz="8" w:color="3F000B"/>
            </w:tcBorders>
          </w:tcPr>
          <w:p>
            <w:pPr>
              <w:spacing w:after="0"/>
              <w:rPr>
                <w:sz w:val="10"/>
                <w:szCs w:val="10"/>
                <w:color w:val="auto"/>
              </w:rPr>
            </w:pPr>
          </w:p>
        </w:tc>
        <w:tc>
          <w:tcPr>
            <w:tcW w:w="2140" w:type="dxa"/>
            <w:vAlign w:val="bottom"/>
            <w:tcBorders>
              <w:right w:val="single" w:sz="8" w:color="3F000B"/>
            </w:tcBorders>
            <w:vMerge w:val="continue"/>
            <w:shd w:val="clear" w:color="auto" w:fill="DADADA"/>
          </w:tcPr>
          <w:p>
            <w:pPr>
              <w:spacing w:after="0"/>
              <w:rPr>
                <w:sz w:val="10"/>
                <w:szCs w:val="10"/>
                <w:color w:val="auto"/>
              </w:rPr>
            </w:pPr>
          </w:p>
        </w:tc>
        <w:tc>
          <w:tcPr>
            <w:tcW w:w="100" w:type="dxa"/>
            <w:vAlign w:val="bottom"/>
            <w:tcBorders>
              <w:right w:val="single" w:sz="8" w:color="3F000B"/>
            </w:tcBorders>
          </w:tcPr>
          <w:p>
            <w:pPr>
              <w:spacing w:after="0"/>
              <w:rPr>
                <w:sz w:val="10"/>
                <w:szCs w:val="10"/>
                <w:color w:val="auto"/>
              </w:rPr>
            </w:pPr>
          </w:p>
        </w:tc>
        <w:tc>
          <w:tcPr>
            <w:tcW w:w="2160" w:type="dxa"/>
            <w:vAlign w:val="bottom"/>
            <w:tcBorders>
              <w:right w:val="single" w:sz="8" w:color="3F000B"/>
            </w:tcBorders>
            <w:vMerge w:val="restart"/>
            <w:shd w:val="clear" w:color="auto" w:fill="DADADA"/>
          </w:tcPr>
          <w:p>
            <w:pPr>
              <w:jc w:val="center"/>
              <w:ind w:right="85"/>
              <w:spacing w:after="0"/>
              <w:rPr>
                <w:sz w:val="20"/>
                <w:szCs w:val="20"/>
                <w:color w:val="auto"/>
              </w:rPr>
            </w:pPr>
            <w:r>
              <w:rPr>
                <w:rFonts w:ascii="Arial" w:cs="Arial" w:eastAsia="Arial" w:hAnsi="Arial"/>
                <w:sz w:val="22"/>
                <w:szCs w:val="22"/>
                <w:b w:val="1"/>
                <w:bCs w:val="1"/>
                <w:color w:val="3F000B"/>
                <w:w w:val="86"/>
              </w:rPr>
              <w:t>Governance</w:t>
            </w:r>
          </w:p>
        </w:tc>
        <w:tc>
          <w:tcPr>
            <w:tcW w:w="0" w:type="dxa"/>
            <w:vAlign w:val="bottom"/>
          </w:tcPr>
          <w:p>
            <w:pPr>
              <w:spacing w:after="0"/>
              <w:rPr>
                <w:sz w:val="1"/>
                <w:szCs w:val="1"/>
                <w:color w:val="auto"/>
              </w:rPr>
            </w:pPr>
          </w:p>
        </w:tc>
      </w:tr>
      <w:tr>
        <w:trPr>
          <w:trHeight w:val="135"/>
        </w:trPr>
        <w:tc>
          <w:tcPr>
            <w:tcW w:w="40" w:type="dxa"/>
            <w:vAlign w:val="bottom"/>
            <w:tcBorders>
              <w:right w:val="single" w:sz="8" w:color="3F000B"/>
            </w:tcBorders>
          </w:tcPr>
          <w:p>
            <w:pPr>
              <w:spacing w:after="0"/>
              <w:rPr>
                <w:sz w:val="11"/>
                <w:szCs w:val="11"/>
                <w:color w:val="auto"/>
              </w:rPr>
            </w:pPr>
          </w:p>
        </w:tc>
        <w:tc>
          <w:tcPr>
            <w:tcW w:w="120" w:type="dxa"/>
            <w:vAlign w:val="bottom"/>
            <w:shd w:val="clear" w:color="auto" w:fill="DADADA"/>
          </w:tcPr>
          <w:p>
            <w:pPr>
              <w:spacing w:after="0"/>
              <w:rPr>
                <w:sz w:val="11"/>
                <w:szCs w:val="11"/>
                <w:color w:val="auto"/>
              </w:rPr>
            </w:pPr>
          </w:p>
        </w:tc>
        <w:tc>
          <w:tcPr>
            <w:tcW w:w="2020" w:type="dxa"/>
            <w:vAlign w:val="bottom"/>
            <w:tcBorders>
              <w:right w:val="single" w:sz="8" w:color="3F000B"/>
            </w:tcBorders>
            <w:vMerge w:val="continue"/>
            <w:shd w:val="clear" w:color="auto" w:fill="DADADA"/>
          </w:tcPr>
          <w:p>
            <w:pPr>
              <w:spacing w:after="0"/>
              <w:rPr>
                <w:sz w:val="11"/>
                <w:szCs w:val="11"/>
                <w:color w:val="auto"/>
              </w:rPr>
            </w:pPr>
          </w:p>
        </w:tc>
        <w:tc>
          <w:tcPr>
            <w:tcW w:w="100" w:type="dxa"/>
            <w:vAlign w:val="bottom"/>
            <w:tcBorders>
              <w:right w:val="single" w:sz="8" w:color="3F000B"/>
            </w:tcBorders>
          </w:tcPr>
          <w:p>
            <w:pPr>
              <w:spacing w:after="0"/>
              <w:rPr>
                <w:sz w:val="11"/>
                <w:szCs w:val="11"/>
                <w:color w:val="auto"/>
              </w:rPr>
            </w:pPr>
          </w:p>
        </w:tc>
        <w:tc>
          <w:tcPr>
            <w:tcW w:w="100" w:type="dxa"/>
            <w:vAlign w:val="bottom"/>
            <w:shd w:val="clear" w:color="auto" w:fill="DADADA"/>
          </w:tcPr>
          <w:p>
            <w:pPr>
              <w:spacing w:after="0"/>
              <w:rPr>
                <w:sz w:val="11"/>
                <w:szCs w:val="11"/>
                <w:color w:val="auto"/>
              </w:rPr>
            </w:pPr>
          </w:p>
        </w:tc>
        <w:tc>
          <w:tcPr>
            <w:tcW w:w="2060" w:type="dxa"/>
            <w:vAlign w:val="bottom"/>
            <w:tcBorders>
              <w:right w:val="single" w:sz="8" w:color="3F000B"/>
            </w:tcBorders>
            <w:vMerge w:val="continue"/>
            <w:shd w:val="clear" w:color="auto" w:fill="DADADA"/>
          </w:tcPr>
          <w:p>
            <w:pPr>
              <w:spacing w:after="0"/>
              <w:rPr>
                <w:sz w:val="11"/>
                <w:szCs w:val="11"/>
                <w:color w:val="auto"/>
              </w:rPr>
            </w:pPr>
          </w:p>
        </w:tc>
        <w:tc>
          <w:tcPr>
            <w:tcW w:w="120" w:type="dxa"/>
            <w:vAlign w:val="bottom"/>
            <w:tcBorders>
              <w:right w:val="single" w:sz="8" w:color="3F000B"/>
            </w:tcBorders>
          </w:tcPr>
          <w:p>
            <w:pPr>
              <w:spacing w:after="0"/>
              <w:rPr>
                <w:sz w:val="11"/>
                <w:szCs w:val="11"/>
                <w:color w:val="auto"/>
              </w:rPr>
            </w:pPr>
          </w:p>
        </w:tc>
        <w:tc>
          <w:tcPr>
            <w:tcW w:w="2140" w:type="dxa"/>
            <w:vAlign w:val="bottom"/>
            <w:tcBorders>
              <w:right w:val="single" w:sz="8" w:color="3F000B"/>
            </w:tcBorders>
            <w:vMerge w:val="restart"/>
            <w:shd w:val="clear" w:color="auto" w:fill="DADADA"/>
          </w:tcPr>
          <w:p>
            <w:pPr>
              <w:ind w:left="360"/>
              <w:spacing w:after="0"/>
              <w:rPr>
                <w:sz w:val="20"/>
                <w:szCs w:val="20"/>
                <w:color w:val="auto"/>
              </w:rPr>
            </w:pPr>
            <w:r>
              <w:rPr>
                <w:rFonts w:ascii="Arial" w:cs="Arial" w:eastAsia="Arial" w:hAnsi="Arial"/>
                <w:sz w:val="22"/>
                <w:szCs w:val="22"/>
                <w:b w:val="1"/>
                <w:bCs w:val="1"/>
                <w:color w:val="3F000B"/>
              </w:rPr>
              <w:t>Management</w:t>
            </w:r>
          </w:p>
        </w:tc>
        <w:tc>
          <w:tcPr>
            <w:tcW w:w="100" w:type="dxa"/>
            <w:vAlign w:val="bottom"/>
            <w:tcBorders>
              <w:right w:val="single" w:sz="8" w:color="3F000B"/>
            </w:tcBorders>
          </w:tcPr>
          <w:p>
            <w:pPr>
              <w:spacing w:after="0"/>
              <w:rPr>
                <w:sz w:val="11"/>
                <w:szCs w:val="11"/>
                <w:color w:val="auto"/>
              </w:rPr>
            </w:pPr>
          </w:p>
        </w:tc>
        <w:tc>
          <w:tcPr>
            <w:tcW w:w="2160" w:type="dxa"/>
            <w:vAlign w:val="bottom"/>
            <w:tcBorders>
              <w:right w:val="single" w:sz="8" w:color="3F000B"/>
            </w:tcBorders>
            <w:vMerge w:val="continue"/>
            <w:shd w:val="clear" w:color="auto" w:fill="DADADA"/>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3F000B"/>
            </w:tcBorders>
          </w:tcPr>
          <w:p>
            <w:pPr>
              <w:spacing w:after="0"/>
              <w:rPr>
                <w:sz w:val="10"/>
                <w:szCs w:val="10"/>
                <w:color w:val="auto"/>
              </w:rPr>
            </w:pPr>
          </w:p>
        </w:tc>
        <w:tc>
          <w:tcPr>
            <w:tcW w:w="120" w:type="dxa"/>
            <w:vAlign w:val="bottom"/>
            <w:shd w:val="clear" w:color="auto" w:fill="DADADA"/>
          </w:tcPr>
          <w:p>
            <w:pPr>
              <w:spacing w:after="0"/>
              <w:rPr>
                <w:sz w:val="10"/>
                <w:szCs w:val="10"/>
                <w:color w:val="auto"/>
              </w:rPr>
            </w:pPr>
          </w:p>
        </w:tc>
        <w:tc>
          <w:tcPr>
            <w:tcW w:w="2020" w:type="dxa"/>
            <w:vAlign w:val="bottom"/>
            <w:tcBorders>
              <w:right w:val="single" w:sz="8" w:color="3F000B"/>
            </w:tcBorders>
            <w:vMerge w:val="restart"/>
            <w:shd w:val="clear" w:color="auto" w:fill="DADADA"/>
          </w:tcPr>
          <w:p>
            <w:pPr>
              <w:ind w:left="360"/>
              <w:spacing w:after="0"/>
              <w:rPr>
                <w:sz w:val="20"/>
                <w:szCs w:val="20"/>
                <w:color w:val="auto"/>
              </w:rPr>
            </w:pPr>
            <w:r>
              <w:rPr>
                <w:rFonts w:ascii="Arial" w:cs="Arial" w:eastAsia="Arial" w:hAnsi="Arial"/>
                <w:sz w:val="22"/>
                <w:szCs w:val="22"/>
                <w:b w:val="1"/>
                <w:bCs w:val="1"/>
                <w:color w:val="3F000B"/>
              </w:rPr>
              <w:t>Committee</w:t>
            </w:r>
          </w:p>
        </w:tc>
        <w:tc>
          <w:tcPr>
            <w:tcW w:w="100" w:type="dxa"/>
            <w:vAlign w:val="bottom"/>
            <w:tcBorders>
              <w:right w:val="single" w:sz="8" w:color="3F000B"/>
            </w:tcBorders>
          </w:tcPr>
          <w:p>
            <w:pPr>
              <w:spacing w:after="0"/>
              <w:rPr>
                <w:sz w:val="10"/>
                <w:szCs w:val="10"/>
                <w:color w:val="auto"/>
              </w:rPr>
            </w:pPr>
          </w:p>
        </w:tc>
        <w:tc>
          <w:tcPr>
            <w:tcW w:w="100" w:type="dxa"/>
            <w:vAlign w:val="bottom"/>
            <w:shd w:val="clear" w:color="auto" w:fill="DADADA"/>
          </w:tcPr>
          <w:p>
            <w:pPr>
              <w:spacing w:after="0"/>
              <w:rPr>
                <w:sz w:val="10"/>
                <w:szCs w:val="10"/>
                <w:color w:val="auto"/>
              </w:rPr>
            </w:pPr>
          </w:p>
        </w:tc>
        <w:tc>
          <w:tcPr>
            <w:tcW w:w="2060" w:type="dxa"/>
            <w:vAlign w:val="bottom"/>
            <w:tcBorders>
              <w:right w:val="single" w:sz="8" w:color="3F000B"/>
            </w:tcBorders>
            <w:vMerge w:val="restart"/>
            <w:shd w:val="clear" w:color="auto" w:fill="DADADA"/>
          </w:tcPr>
          <w:p>
            <w:pPr>
              <w:jc w:val="center"/>
              <w:ind w:right="187"/>
              <w:spacing w:after="0"/>
              <w:rPr>
                <w:sz w:val="20"/>
                <w:szCs w:val="20"/>
                <w:color w:val="auto"/>
              </w:rPr>
            </w:pPr>
            <w:r>
              <w:rPr>
                <w:rFonts w:ascii="Arial" w:cs="Arial" w:eastAsia="Arial" w:hAnsi="Arial"/>
                <w:sz w:val="22"/>
                <w:szCs w:val="22"/>
                <w:b w:val="1"/>
                <w:bCs w:val="1"/>
                <w:color w:val="3F000B"/>
                <w:w w:val="90"/>
              </w:rPr>
              <w:t>Organization</w:t>
            </w:r>
          </w:p>
        </w:tc>
        <w:tc>
          <w:tcPr>
            <w:tcW w:w="120" w:type="dxa"/>
            <w:vAlign w:val="bottom"/>
            <w:tcBorders>
              <w:right w:val="single" w:sz="8" w:color="3F000B"/>
            </w:tcBorders>
          </w:tcPr>
          <w:p>
            <w:pPr>
              <w:spacing w:after="0"/>
              <w:rPr>
                <w:sz w:val="10"/>
                <w:szCs w:val="10"/>
                <w:color w:val="auto"/>
              </w:rPr>
            </w:pPr>
          </w:p>
        </w:tc>
        <w:tc>
          <w:tcPr>
            <w:tcW w:w="2140" w:type="dxa"/>
            <w:vAlign w:val="bottom"/>
            <w:tcBorders>
              <w:right w:val="single" w:sz="8" w:color="3F000B"/>
            </w:tcBorders>
            <w:vMerge w:val="continue"/>
            <w:shd w:val="clear" w:color="auto" w:fill="DADADA"/>
          </w:tcPr>
          <w:p>
            <w:pPr>
              <w:spacing w:after="0"/>
              <w:rPr>
                <w:sz w:val="10"/>
                <w:szCs w:val="10"/>
                <w:color w:val="auto"/>
              </w:rPr>
            </w:pPr>
          </w:p>
        </w:tc>
        <w:tc>
          <w:tcPr>
            <w:tcW w:w="100" w:type="dxa"/>
            <w:vAlign w:val="bottom"/>
            <w:tcBorders>
              <w:right w:val="single" w:sz="8" w:color="3F000B"/>
            </w:tcBorders>
          </w:tcPr>
          <w:p>
            <w:pPr>
              <w:spacing w:after="0"/>
              <w:rPr>
                <w:sz w:val="10"/>
                <w:szCs w:val="10"/>
                <w:color w:val="auto"/>
              </w:rPr>
            </w:pPr>
          </w:p>
        </w:tc>
        <w:tc>
          <w:tcPr>
            <w:tcW w:w="2160" w:type="dxa"/>
            <w:vAlign w:val="bottom"/>
            <w:tcBorders>
              <w:right w:val="single" w:sz="8" w:color="3F000B"/>
            </w:tcBorders>
            <w:vMerge w:val="restart"/>
            <w:shd w:val="clear" w:color="auto" w:fill="DADADA"/>
          </w:tcPr>
          <w:p>
            <w:pPr>
              <w:jc w:val="center"/>
              <w:ind w:right="85"/>
              <w:spacing w:after="0"/>
              <w:rPr>
                <w:sz w:val="20"/>
                <w:szCs w:val="20"/>
                <w:color w:val="auto"/>
              </w:rPr>
            </w:pPr>
            <w:r>
              <w:rPr>
                <w:rFonts w:ascii="Arial" w:cs="Arial" w:eastAsia="Arial" w:hAnsi="Arial"/>
                <w:sz w:val="22"/>
                <w:szCs w:val="22"/>
                <w:b w:val="1"/>
                <w:bCs w:val="1"/>
                <w:color w:val="3F000B"/>
                <w:w w:val="89"/>
              </w:rPr>
              <w:t>Committee</w:t>
            </w:r>
          </w:p>
        </w:tc>
        <w:tc>
          <w:tcPr>
            <w:tcW w:w="0" w:type="dxa"/>
            <w:vAlign w:val="bottom"/>
          </w:tcPr>
          <w:p>
            <w:pPr>
              <w:spacing w:after="0"/>
              <w:rPr>
                <w:sz w:val="1"/>
                <w:szCs w:val="1"/>
                <w:color w:val="auto"/>
              </w:rPr>
            </w:pPr>
          </w:p>
        </w:tc>
      </w:tr>
      <w:tr>
        <w:trPr>
          <w:trHeight w:val="135"/>
        </w:trPr>
        <w:tc>
          <w:tcPr>
            <w:tcW w:w="40" w:type="dxa"/>
            <w:vAlign w:val="bottom"/>
            <w:tcBorders>
              <w:right w:val="single" w:sz="8" w:color="3F000B"/>
            </w:tcBorders>
          </w:tcPr>
          <w:p>
            <w:pPr>
              <w:spacing w:after="0"/>
              <w:rPr>
                <w:sz w:val="11"/>
                <w:szCs w:val="11"/>
                <w:color w:val="auto"/>
              </w:rPr>
            </w:pPr>
          </w:p>
        </w:tc>
        <w:tc>
          <w:tcPr>
            <w:tcW w:w="120" w:type="dxa"/>
            <w:vAlign w:val="bottom"/>
            <w:shd w:val="clear" w:color="auto" w:fill="DADADA"/>
          </w:tcPr>
          <w:p>
            <w:pPr>
              <w:spacing w:after="0"/>
              <w:rPr>
                <w:sz w:val="11"/>
                <w:szCs w:val="11"/>
                <w:color w:val="auto"/>
              </w:rPr>
            </w:pPr>
          </w:p>
        </w:tc>
        <w:tc>
          <w:tcPr>
            <w:tcW w:w="2020" w:type="dxa"/>
            <w:vAlign w:val="bottom"/>
            <w:tcBorders>
              <w:right w:val="single" w:sz="8" w:color="3F000B"/>
            </w:tcBorders>
            <w:vMerge w:val="continue"/>
            <w:shd w:val="clear" w:color="auto" w:fill="DADADA"/>
          </w:tcPr>
          <w:p>
            <w:pPr>
              <w:spacing w:after="0"/>
              <w:rPr>
                <w:sz w:val="11"/>
                <w:szCs w:val="11"/>
                <w:color w:val="auto"/>
              </w:rPr>
            </w:pPr>
          </w:p>
        </w:tc>
        <w:tc>
          <w:tcPr>
            <w:tcW w:w="100" w:type="dxa"/>
            <w:vAlign w:val="bottom"/>
            <w:tcBorders>
              <w:right w:val="single" w:sz="8" w:color="3F000B"/>
            </w:tcBorders>
          </w:tcPr>
          <w:p>
            <w:pPr>
              <w:spacing w:after="0"/>
              <w:rPr>
                <w:sz w:val="11"/>
                <w:szCs w:val="11"/>
                <w:color w:val="auto"/>
              </w:rPr>
            </w:pPr>
          </w:p>
        </w:tc>
        <w:tc>
          <w:tcPr>
            <w:tcW w:w="100" w:type="dxa"/>
            <w:vAlign w:val="bottom"/>
            <w:shd w:val="clear" w:color="auto" w:fill="DADADA"/>
          </w:tcPr>
          <w:p>
            <w:pPr>
              <w:spacing w:after="0"/>
              <w:rPr>
                <w:sz w:val="11"/>
                <w:szCs w:val="11"/>
                <w:color w:val="auto"/>
              </w:rPr>
            </w:pPr>
          </w:p>
        </w:tc>
        <w:tc>
          <w:tcPr>
            <w:tcW w:w="2060" w:type="dxa"/>
            <w:vAlign w:val="bottom"/>
            <w:tcBorders>
              <w:right w:val="single" w:sz="8" w:color="3F000B"/>
            </w:tcBorders>
            <w:vMerge w:val="continue"/>
            <w:shd w:val="clear" w:color="auto" w:fill="DADADA"/>
          </w:tcPr>
          <w:p>
            <w:pPr>
              <w:spacing w:after="0"/>
              <w:rPr>
                <w:sz w:val="11"/>
                <w:szCs w:val="11"/>
                <w:color w:val="auto"/>
              </w:rPr>
            </w:pPr>
          </w:p>
        </w:tc>
        <w:tc>
          <w:tcPr>
            <w:tcW w:w="120" w:type="dxa"/>
            <w:vAlign w:val="bottom"/>
            <w:tcBorders>
              <w:right w:val="single" w:sz="8" w:color="3F000B"/>
            </w:tcBorders>
          </w:tcPr>
          <w:p>
            <w:pPr>
              <w:spacing w:after="0"/>
              <w:rPr>
                <w:sz w:val="11"/>
                <w:szCs w:val="11"/>
                <w:color w:val="auto"/>
              </w:rPr>
            </w:pPr>
          </w:p>
        </w:tc>
        <w:tc>
          <w:tcPr>
            <w:tcW w:w="2140" w:type="dxa"/>
            <w:vAlign w:val="bottom"/>
            <w:tcBorders>
              <w:right w:val="single" w:sz="8" w:color="3F000B"/>
            </w:tcBorders>
            <w:vMerge w:val="restart"/>
            <w:shd w:val="clear" w:color="auto" w:fill="DADADA"/>
          </w:tcPr>
          <w:p>
            <w:pPr>
              <w:ind w:left="460"/>
              <w:spacing w:after="0"/>
              <w:rPr>
                <w:sz w:val="20"/>
                <w:szCs w:val="20"/>
                <w:color w:val="auto"/>
              </w:rPr>
            </w:pPr>
            <w:r>
              <w:rPr>
                <w:rFonts w:ascii="Arial" w:cs="Arial" w:eastAsia="Arial" w:hAnsi="Arial"/>
                <w:sz w:val="22"/>
                <w:szCs w:val="22"/>
                <w:b w:val="1"/>
                <w:bCs w:val="1"/>
                <w:color w:val="3F000B"/>
              </w:rPr>
              <w:t>Committee</w:t>
            </w:r>
          </w:p>
        </w:tc>
        <w:tc>
          <w:tcPr>
            <w:tcW w:w="100" w:type="dxa"/>
            <w:vAlign w:val="bottom"/>
            <w:tcBorders>
              <w:right w:val="single" w:sz="8" w:color="3F000B"/>
            </w:tcBorders>
          </w:tcPr>
          <w:p>
            <w:pPr>
              <w:spacing w:after="0"/>
              <w:rPr>
                <w:sz w:val="11"/>
                <w:szCs w:val="11"/>
                <w:color w:val="auto"/>
              </w:rPr>
            </w:pPr>
          </w:p>
        </w:tc>
        <w:tc>
          <w:tcPr>
            <w:tcW w:w="2160" w:type="dxa"/>
            <w:vAlign w:val="bottom"/>
            <w:tcBorders>
              <w:right w:val="single" w:sz="8" w:color="3F000B"/>
            </w:tcBorders>
            <w:vMerge w:val="continue"/>
            <w:shd w:val="clear" w:color="auto" w:fill="DADADA"/>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3F000B"/>
            </w:tcBorders>
          </w:tcPr>
          <w:p>
            <w:pPr>
              <w:spacing w:after="0"/>
              <w:rPr>
                <w:sz w:val="12"/>
                <w:szCs w:val="12"/>
                <w:color w:val="auto"/>
              </w:rPr>
            </w:pPr>
          </w:p>
        </w:tc>
        <w:tc>
          <w:tcPr>
            <w:tcW w:w="120" w:type="dxa"/>
            <w:vAlign w:val="bottom"/>
            <w:shd w:val="clear" w:color="auto" w:fill="DADADA"/>
          </w:tcPr>
          <w:p>
            <w:pPr>
              <w:spacing w:after="0"/>
              <w:rPr>
                <w:sz w:val="12"/>
                <w:szCs w:val="12"/>
                <w:color w:val="auto"/>
              </w:rPr>
            </w:pPr>
          </w:p>
        </w:tc>
        <w:tc>
          <w:tcPr>
            <w:tcW w:w="2020" w:type="dxa"/>
            <w:vAlign w:val="bottom"/>
            <w:tcBorders>
              <w:right w:val="single" w:sz="8" w:color="3F000B"/>
            </w:tcBorders>
            <w:shd w:val="clear" w:color="auto" w:fill="DADADA"/>
          </w:tcPr>
          <w:p>
            <w:pPr>
              <w:spacing w:after="0"/>
              <w:rPr>
                <w:sz w:val="12"/>
                <w:szCs w:val="12"/>
                <w:color w:val="auto"/>
              </w:rPr>
            </w:pPr>
          </w:p>
        </w:tc>
        <w:tc>
          <w:tcPr>
            <w:tcW w:w="100" w:type="dxa"/>
            <w:vAlign w:val="bottom"/>
            <w:tcBorders>
              <w:right w:val="single" w:sz="8" w:color="3F000B"/>
            </w:tcBorders>
          </w:tcPr>
          <w:p>
            <w:pPr>
              <w:spacing w:after="0"/>
              <w:rPr>
                <w:sz w:val="12"/>
                <w:szCs w:val="12"/>
                <w:color w:val="auto"/>
              </w:rPr>
            </w:pPr>
          </w:p>
        </w:tc>
        <w:tc>
          <w:tcPr>
            <w:tcW w:w="100" w:type="dxa"/>
            <w:vAlign w:val="bottom"/>
            <w:shd w:val="clear" w:color="auto" w:fill="DADADA"/>
          </w:tcPr>
          <w:p>
            <w:pPr>
              <w:spacing w:after="0"/>
              <w:rPr>
                <w:sz w:val="12"/>
                <w:szCs w:val="12"/>
                <w:color w:val="auto"/>
              </w:rPr>
            </w:pPr>
          </w:p>
        </w:tc>
        <w:tc>
          <w:tcPr>
            <w:tcW w:w="2060" w:type="dxa"/>
            <w:vAlign w:val="bottom"/>
            <w:tcBorders>
              <w:right w:val="single" w:sz="8" w:color="3F000B"/>
            </w:tcBorders>
            <w:vMerge w:val="restart"/>
            <w:shd w:val="clear" w:color="auto" w:fill="DADADA"/>
          </w:tcPr>
          <w:p>
            <w:pPr>
              <w:jc w:val="center"/>
              <w:ind w:right="187"/>
              <w:spacing w:after="0"/>
              <w:rPr>
                <w:sz w:val="20"/>
                <w:szCs w:val="20"/>
                <w:color w:val="auto"/>
              </w:rPr>
            </w:pPr>
            <w:r>
              <w:rPr>
                <w:rFonts w:ascii="Arial" w:cs="Arial" w:eastAsia="Arial" w:hAnsi="Arial"/>
                <w:sz w:val="22"/>
                <w:szCs w:val="22"/>
                <w:b w:val="1"/>
                <w:bCs w:val="1"/>
                <w:color w:val="3F000B"/>
                <w:w w:val="89"/>
              </w:rPr>
              <w:t>Committee</w:t>
            </w:r>
          </w:p>
        </w:tc>
        <w:tc>
          <w:tcPr>
            <w:tcW w:w="120" w:type="dxa"/>
            <w:vAlign w:val="bottom"/>
            <w:tcBorders>
              <w:right w:val="single" w:sz="8" w:color="3F000B"/>
            </w:tcBorders>
          </w:tcPr>
          <w:p>
            <w:pPr>
              <w:spacing w:after="0"/>
              <w:rPr>
                <w:sz w:val="12"/>
                <w:szCs w:val="12"/>
                <w:color w:val="auto"/>
              </w:rPr>
            </w:pPr>
          </w:p>
        </w:tc>
        <w:tc>
          <w:tcPr>
            <w:tcW w:w="2140" w:type="dxa"/>
            <w:vAlign w:val="bottom"/>
            <w:tcBorders>
              <w:right w:val="single" w:sz="8" w:color="3F000B"/>
            </w:tcBorders>
            <w:vMerge w:val="continue"/>
            <w:shd w:val="clear" w:color="auto" w:fill="DADADA"/>
          </w:tcPr>
          <w:p>
            <w:pPr>
              <w:spacing w:after="0"/>
              <w:rPr>
                <w:sz w:val="12"/>
                <w:szCs w:val="12"/>
                <w:color w:val="auto"/>
              </w:rPr>
            </w:pPr>
          </w:p>
        </w:tc>
        <w:tc>
          <w:tcPr>
            <w:tcW w:w="100" w:type="dxa"/>
            <w:vAlign w:val="bottom"/>
            <w:tcBorders>
              <w:right w:val="single" w:sz="8" w:color="3F000B"/>
            </w:tcBorders>
          </w:tcPr>
          <w:p>
            <w:pPr>
              <w:spacing w:after="0"/>
              <w:rPr>
                <w:sz w:val="12"/>
                <w:szCs w:val="12"/>
                <w:color w:val="auto"/>
              </w:rPr>
            </w:pPr>
          </w:p>
        </w:tc>
        <w:tc>
          <w:tcPr>
            <w:tcW w:w="2160" w:type="dxa"/>
            <w:vAlign w:val="bottom"/>
            <w:tcBorders>
              <w:right w:val="single" w:sz="8" w:color="3F000B"/>
            </w:tcBorders>
            <w:shd w:val="clear" w:color="auto" w:fill="DADADA"/>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3F000B"/>
            </w:tcBorders>
          </w:tcPr>
          <w:p>
            <w:pPr>
              <w:spacing w:after="0"/>
              <w:rPr>
                <w:sz w:val="12"/>
                <w:szCs w:val="12"/>
                <w:color w:val="auto"/>
              </w:rPr>
            </w:pPr>
          </w:p>
        </w:tc>
        <w:tc>
          <w:tcPr>
            <w:tcW w:w="120" w:type="dxa"/>
            <w:vAlign w:val="bottom"/>
            <w:tcBorders>
              <w:bottom w:val="single" w:sz="8" w:color="3F000B"/>
            </w:tcBorders>
            <w:shd w:val="clear" w:color="auto" w:fill="DADADA"/>
          </w:tcPr>
          <w:p>
            <w:pPr>
              <w:spacing w:after="0"/>
              <w:rPr>
                <w:sz w:val="12"/>
                <w:szCs w:val="12"/>
                <w:color w:val="auto"/>
              </w:rPr>
            </w:pPr>
          </w:p>
        </w:tc>
        <w:tc>
          <w:tcPr>
            <w:tcW w:w="2020" w:type="dxa"/>
            <w:vAlign w:val="bottom"/>
            <w:tcBorders>
              <w:bottom w:val="single" w:sz="8" w:color="3F000B"/>
              <w:right w:val="single" w:sz="8" w:color="3F000B"/>
            </w:tcBorders>
            <w:shd w:val="clear" w:color="auto" w:fill="DADADA"/>
          </w:tcPr>
          <w:p>
            <w:pPr>
              <w:spacing w:after="0"/>
              <w:rPr>
                <w:sz w:val="12"/>
                <w:szCs w:val="12"/>
                <w:color w:val="auto"/>
              </w:rPr>
            </w:pPr>
          </w:p>
        </w:tc>
        <w:tc>
          <w:tcPr>
            <w:tcW w:w="100" w:type="dxa"/>
            <w:vAlign w:val="bottom"/>
            <w:tcBorders>
              <w:right w:val="single" w:sz="8" w:color="3F000B"/>
            </w:tcBorders>
          </w:tcPr>
          <w:p>
            <w:pPr>
              <w:spacing w:after="0"/>
              <w:rPr>
                <w:sz w:val="12"/>
                <w:szCs w:val="12"/>
                <w:color w:val="auto"/>
              </w:rPr>
            </w:pPr>
          </w:p>
        </w:tc>
        <w:tc>
          <w:tcPr>
            <w:tcW w:w="100" w:type="dxa"/>
            <w:vAlign w:val="bottom"/>
            <w:tcBorders>
              <w:bottom w:val="single" w:sz="8" w:color="3F000B"/>
            </w:tcBorders>
            <w:shd w:val="clear" w:color="auto" w:fill="DADADA"/>
          </w:tcPr>
          <w:p>
            <w:pPr>
              <w:spacing w:after="0"/>
              <w:rPr>
                <w:sz w:val="12"/>
                <w:szCs w:val="12"/>
                <w:color w:val="auto"/>
              </w:rPr>
            </w:pPr>
          </w:p>
        </w:tc>
        <w:tc>
          <w:tcPr>
            <w:tcW w:w="2060" w:type="dxa"/>
            <w:vAlign w:val="bottom"/>
            <w:tcBorders>
              <w:bottom w:val="single" w:sz="8" w:color="3F000B"/>
              <w:right w:val="single" w:sz="8" w:color="3F000B"/>
            </w:tcBorders>
            <w:vMerge w:val="continue"/>
            <w:shd w:val="clear" w:color="auto" w:fill="DADADA"/>
          </w:tcPr>
          <w:p>
            <w:pPr>
              <w:spacing w:after="0"/>
              <w:rPr>
                <w:sz w:val="12"/>
                <w:szCs w:val="12"/>
                <w:color w:val="auto"/>
              </w:rPr>
            </w:pPr>
          </w:p>
        </w:tc>
        <w:tc>
          <w:tcPr>
            <w:tcW w:w="120" w:type="dxa"/>
            <w:vAlign w:val="bottom"/>
            <w:tcBorders>
              <w:right w:val="single" w:sz="8" w:color="3F000B"/>
            </w:tcBorders>
          </w:tcPr>
          <w:p>
            <w:pPr>
              <w:spacing w:after="0"/>
              <w:rPr>
                <w:sz w:val="12"/>
                <w:szCs w:val="12"/>
                <w:color w:val="auto"/>
              </w:rPr>
            </w:pPr>
          </w:p>
        </w:tc>
        <w:tc>
          <w:tcPr>
            <w:tcW w:w="2140" w:type="dxa"/>
            <w:vAlign w:val="bottom"/>
            <w:tcBorders>
              <w:bottom w:val="single" w:sz="8" w:color="3F000B"/>
              <w:right w:val="single" w:sz="8" w:color="3F000B"/>
            </w:tcBorders>
            <w:shd w:val="clear" w:color="auto" w:fill="DADADA"/>
          </w:tcPr>
          <w:p>
            <w:pPr>
              <w:spacing w:after="0"/>
              <w:rPr>
                <w:sz w:val="12"/>
                <w:szCs w:val="12"/>
                <w:color w:val="auto"/>
              </w:rPr>
            </w:pPr>
          </w:p>
        </w:tc>
        <w:tc>
          <w:tcPr>
            <w:tcW w:w="100" w:type="dxa"/>
            <w:vAlign w:val="bottom"/>
            <w:tcBorders>
              <w:right w:val="single" w:sz="8" w:color="3F000B"/>
            </w:tcBorders>
          </w:tcPr>
          <w:p>
            <w:pPr>
              <w:spacing w:after="0"/>
              <w:rPr>
                <w:sz w:val="12"/>
                <w:szCs w:val="12"/>
                <w:color w:val="auto"/>
              </w:rPr>
            </w:pPr>
          </w:p>
        </w:tc>
        <w:tc>
          <w:tcPr>
            <w:tcW w:w="2160" w:type="dxa"/>
            <w:vAlign w:val="bottom"/>
            <w:tcBorders>
              <w:bottom w:val="single" w:sz="8" w:color="3F000B"/>
              <w:right w:val="single" w:sz="8" w:color="3F000B"/>
            </w:tcBorders>
            <w:shd w:val="clear" w:color="auto" w:fill="DADADA"/>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2020" w:type="dxa"/>
            <w:vAlign w:val="bottom"/>
          </w:tcPr>
          <w:p>
            <w:pPr>
              <w:ind w:left="40"/>
              <w:spacing w:after="0"/>
              <w:rPr>
                <w:sz w:val="20"/>
                <w:szCs w:val="20"/>
                <w:color w:val="auto"/>
              </w:rPr>
            </w:pPr>
            <w:r>
              <w:rPr>
                <w:rFonts w:ascii="Arial" w:cs="Arial" w:eastAsia="Arial" w:hAnsi="Arial"/>
                <w:sz w:val="18"/>
                <w:szCs w:val="18"/>
                <w:color w:val="auto"/>
              </w:rPr>
              <w:t>Oversee legal and</w:t>
            </w:r>
          </w:p>
        </w:tc>
        <w:tc>
          <w:tcPr>
            <w:tcW w:w="1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Oversee risks relating to</w:t>
            </w:r>
          </w:p>
        </w:tc>
        <w:tc>
          <w:tcPr>
            <w:tcW w:w="120" w:type="dxa"/>
            <w:vAlign w:val="bottom"/>
          </w:tcPr>
          <w:p>
            <w:pPr>
              <w:spacing w:after="0"/>
              <w:rPr>
                <w:sz w:val="23"/>
                <w:szCs w:val="23"/>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 Review key enterprise</w:t>
            </w:r>
          </w:p>
        </w:tc>
        <w:tc>
          <w:tcPr>
            <w:tcW w:w="10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 Oversee governance-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ind w:left="60"/>
              <w:spacing w:after="0" w:line="176" w:lineRule="exact"/>
              <w:rPr>
                <w:sz w:val="20"/>
                <w:szCs w:val="20"/>
                <w:color w:val="auto"/>
              </w:rPr>
            </w:pPr>
            <w:r>
              <w:rPr>
                <w:rFonts w:ascii="Arial" w:cs="Arial" w:eastAsia="Arial" w:hAnsi="Arial"/>
                <w:sz w:val="18"/>
                <w:szCs w:val="18"/>
                <w:color w:val="auto"/>
                <w:w w:val="90"/>
              </w:rPr>
              <w:t>regulatory compliance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ind w:left="60"/>
              <w:spacing w:after="0" w:line="176" w:lineRule="exact"/>
              <w:rPr>
                <w:sz w:val="20"/>
                <w:szCs w:val="20"/>
                <w:color w:val="auto"/>
              </w:rPr>
            </w:pPr>
            <w:r>
              <w:rPr>
                <w:rFonts w:ascii="Arial" w:cs="Arial" w:eastAsia="Arial" w:hAnsi="Arial"/>
                <w:sz w:val="18"/>
                <w:szCs w:val="18"/>
                <w:color w:val="auto"/>
                <w:w w:val="89"/>
              </w:rPr>
              <w:t>compensation program and</w:t>
            </w:r>
          </w:p>
        </w:tc>
        <w:tc>
          <w:tcPr>
            <w:tcW w:w="12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160"/>
              <w:spacing w:after="0" w:line="176" w:lineRule="exact"/>
              <w:rPr>
                <w:sz w:val="20"/>
                <w:szCs w:val="20"/>
                <w:color w:val="auto"/>
              </w:rPr>
            </w:pPr>
            <w:r>
              <w:rPr>
                <w:rFonts w:ascii="Arial" w:cs="Arial" w:eastAsia="Arial" w:hAnsi="Arial"/>
                <w:sz w:val="18"/>
                <w:szCs w:val="18"/>
                <w:color w:val="auto"/>
              </w:rPr>
              <w:t>related risks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vMerge w:val="restart"/>
          </w:tcPr>
          <w:p>
            <w:pPr>
              <w:ind w:left="60"/>
              <w:spacing w:after="0"/>
              <w:rPr>
                <w:sz w:val="20"/>
                <w:szCs w:val="20"/>
                <w:color w:val="auto"/>
              </w:rPr>
            </w:pPr>
            <w:r>
              <w:rPr>
                <w:rFonts w:ascii="Arial" w:cs="Arial" w:eastAsia="Arial" w:hAnsi="Arial"/>
                <w:sz w:val="18"/>
                <w:szCs w:val="18"/>
                <w:color w:val="auto"/>
              </w:rPr>
              <w:t>the Code of Conduct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policies</w:t>
            </w:r>
          </w:p>
        </w:tc>
        <w:tc>
          <w:tcPr>
            <w:tcW w:w="120" w:type="dxa"/>
            <w:vAlign w:val="bottom"/>
          </w:tcPr>
          <w:p>
            <w:pPr>
              <w:spacing w:after="0"/>
              <w:rPr>
                <w:sz w:val="12"/>
                <w:szCs w:val="12"/>
                <w:color w:val="auto"/>
              </w:rPr>
            </w:pPr>
          </w:p>
        </w:tc>
        <w:tc>
          <w:tcPr>
            <w:tcW w:w="2140" w:type="dxa"/>
            <w:vAlign w:val="bottom"/>
          </w:tcPr>
          <w:p>
            <w:pPr>
              <w:ind w:left="160"/>
              <w:spacing w:after="0" w:line="148" w:lineRule="exact"/>
              <w:rPr>
                <w:sz w:val="20"/>
                <w:szCs w:val="20"/>
                <w:color w:val="auto"/>
              </w:rPr>
            </w:pPr>
            <w:r>
              <w:rPr>
                <w:rFonts w:ascii="Arial" w:cs="Arial" w:eastAsia="Arial" w:hAnsi="Arial"/>
                <w:sz w:val="17"/>
                <w:szCs w:val="17"/>
                <w:color w:val="auto"/>
                <w:w w:val="97"/>
              </w:rPr>
              <w:t>risks identified through the</w:t>
            </w:r>
          </w:p>
        </w:tc>
        <w:tc>
          <w:tcPr>
            <w:tcW w:w="100" w:type="dxa"/>
            <w:vAlign w:val="bottom"/>
          </w:tcPr>
          <w:p>
            <w:pPr>
              <w:spacing w:after="0"/>
              <w:rPr>
                <w:sz w:val="12"/>
                <w:szCs w:val="12"/>
                <w:color w:val="auto"/>
              </w:rPr>
            </w:pPr>
          </w:p>
        </w:tc>
        <w:tc>
          <w:tcPr>
            <w:tcW w:w="2160" w:type="dxa"/>
            <w:vAlign w:val="bottom"/>
            <w:vMerge w:val="restart"/>
          </w:tcPr>
          <w:p>
            <w:pPr>
              <w:jc w:val="center"/>
              <w:ind w:right="85"/>
              <w:spacing w:after="0"/>
              <w:rPr>
                <w:sz w:val="20"/>
                <w:szCs w:val="20"/>
                <w:color w:val="auto"/>
              </w:rPr>
            </w:pPr>
            <w:r>
              <w:rPr>
                <w:rFonts w:ascii="Arial" w:cs="Arial" w:eastAsia="Arial" w:hAnsi="Arial"/>
                <w:sz w:val="18"/>
                <w:szCs w:val="18"/>
                <w:color w:val="auto"/>
                <w:w w:val="93"/>
              </w:rPr>
              <w:t>• Oversee compliance with</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160"/>
              <w:spacing w:after="0" w:line="176" w:lineRule="exact"/>
              <w:rPr>
                <w:sz w:val="20"/>
                <w:szCs w:val="20"/>
                <w:color w:val="auto"/>
              </w:rPr>
            </w:pPr>
            <w:r>
              <w:rPr>
                <w:rFonts w:ascii="Arial" w:cs="Arial" w:eastAsia="Arial" w:hAnsi="Arial"/>
                <w:sz w:val="18"/>
                <w:szCs w:val="18"/>
                <w:color w:val="auto"/>
              </w:rPr>
              <w:t>ERM process as well as</w:t>
            </w:r>
          </w:p>
        </w:tc>
        <w:tc>
          <w:tcPr>
            <w:tcW w:w="10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2020" w:type="dxa"/>
            <w:vAlign w:val="bottom"/>
          </w:tcPr>
          <w:p>
            <w:pPr>
              <w:ind w:left="40"/>
              <w:spacing w:after="0"/>
              <w:rPr>
                <w:sz w:val="20"/>
                <w:szCs w:val="20"/>
                <w:color w:val="auto"/>
              </w:rPr>
            </w:pPr>
            <w:r>
              <w:rPr>
                <w:rFonts w:ascii="Arial" w:cs="Arial" w:eastAsia="Arial" w:hAnsi="Arial"/>
                <w:sz w:val="18"/>
                <w:szCs w:val="18"/>
                <w:color w:val="auto"/>
                <w:w w:val="99"/>
              </w:rPr>
              <w:t>Oversee risks relating to</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Employ independent</w:t>
            </w:r>
          </w:p>
        </w:tc>
        <w:tc>
          <w:tcPr>
            <w:tcW w:w="1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risk mitigation plans,</w:t>
            </w:r>
          </w:p>
        </w:tc>
        <w:tc>
          <w:tcPr>
            <w:tcW w:w="10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w w:val="94"/>
              </w:rPr>
              <w:t>key corporate governance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ind w:left="60"/>
              <w:spacing w:after="0"/>
              <w:rPr>
                <w:sz w:val="20"/>
                <w:szCs w:val="20"/>
                <w:color w:val="auto"/>
              </w:rPr>
            </w:pPr>
            <w:r>
              <w:rPr>
                <w:rFonts w:ascii="Arial" w:cs="Arial" w:eastAsia="Arial" w:hAnsi="Arial"/>
                <w:sz w:val="18"/>
                <w:szCs w:val="18"/>
                <w:color w:val="auto"/>
              </w:rPr>
              <w:t>key accounting policies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w w:val="94"/>
              </w:rPr>
              <w:t>compensation consultants</w:t>
            </w:r>
          </w:p>
        </w:tc>
        <w:tc>
          <w:tcPr>
            <w:tcW w:w="1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including information</w:t>
            </w:r>
          </w:p>
        </w:tc>
        <w:tc>
          <w:tcPr>
            <w:tcW w:w="10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2020" w:type="dxa"/>
            <w:vAlign w:val="bottom"/>
          </w:tcPr>
          <w:p>
            <w:pPr>
              <w:ind w:left="40"/>
              <w:spacing w:after="0"/>
              <w:rPr>
                <w:sz w:val="20"/>
                <w:szCs w:val="20"/>
                <w:color w:val="auto"/>
              </w:rPr>
            </w:pPr>
            <w:r>
              <w:rPr>
                <w:rFonts w:ascii="Arial" w:cs="Arial" w:eastAsia="Arial" w:hAnsi="Arial"/>
                <w:sz w:val="18"/>
                <w:szCs w:val="18"/>
                <w:color w:val="auto"/>
              </w:rPr>
              <w:t>Review internal controls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to assist in reviewing</w:t>
            </w:r>
          </w:p>
        </w:tc>
        <w:tc>
          <w:tcPr>
            <w:tcW w:w="1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security</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ind w:left="60"/>
              <w:spacing w:after="0"/>
              <w:rPr>
                <w:sz w:val="20"/>
                <w:szCs w:val="20"/>
                <w:color w:val="auto"/>
              </w:rPr>
            </w:pPr>
            <w:r>
              <w:rPr>
                <w:rFonts w:ascii="Arial" w:cs="Arial" w:eastAsia="Arial" w:hAnsi="Arial"/>
                <w:sz w:val="18"/>
                <w:szCs w:val="18"/>
                <w:color w:val="auto"/>
              </w:rPr>
              <w:t>with management and</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ind w:left="60"/>
              <w:spacing w:after="0"/>
              <w:rPr>
                <w:sz w:val="20"/>
                <w:szCs w:val="20"/>
                <w:color w:val="auto"/>
              </w:rPr>
            </w:pPr>
            <w:r>
              <w:rPr>
                <w:rFonts w:ascii="Arial" w:cs="Arial" w:eastAsia="Arial" w:hAnsi="Arial"/>
                <w:sz w:val="18"/>
                <w:szCs w:val="18"/>
                <w:color w:val="auto"/>
              </w:rPr>
              <w:t>compensation program,</w:t>
            </w:r>
          </w:p>
        </w:tc>
        <w:tc>
          <w:tcPr>
            <w:tcW w:w="120" w:type="dxa"/>
            <w:vAlign w:val="bottom"/>
          </w:tcPr>
          <w:p>
            <w:pPr>
              <w:spacing w:after="0"/>
              <w:rPr>
                <w:sz w:val="23"/>
                <w:szCs w:val="23"/>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 Oversee key financial</w:t>
            </w:r>
          </w:p>
        </w:tc>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ind w:left="60"/>
              <w:spacing w:after="0"/>
              <w:rPr>
                <w:sz w:val="20"/>
                <w:szCs w:val="20"/>
                <w:color w:val="auto"/>
              </w:rPr>
            </w:pPr>
            <w:r>
              <w:rPr>
                <w:rFonts w:ascii="Arial" w:cs="Arial" w:eastAsia="Arial" w:hAnsi="Arial"/>
                <w:sz w:val="18"/>
                <w:szCs w:val="18"/>
                <w:color w:val="auto"/>
              </w:rPr>
              <w:t>internal auditors</w:t>
            </w:r>
          </w:p>
        </w:tc>
        <w:tc>
          <w:tcPr>
            <w:tcW w:w="1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including potential risks</w:t>
            </w:r>
          </w:p>
        </w:tc>
        <w:tc>
          <w:tcPr>
            <w:tcW w:w="1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risks</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060" w:type="dxa"/>
            <w:vAlign w:val="bottom"/>
          </w:tcPr>
          <w:p>
            <w:pPr>
              <w:ind w:left="60"/>
              <w:spacing w:after="0" w:line="110" w:lineRule="exact"/>
              <w:rPr>
                <w:sz w:val="20"/>
                <w:szCs w:val="20"/>
                <w:color w:val="auto"/>
              </w:rPr>
            </w:pPr>
            <w:r>
              <w:rPr>
                <w:rFonts w:ascii="Arial" w:cs="Arial" w:eastAsia="Arial" w:hAnsi="Arial"/>
                <w:sz w:val="12"/>
                <w:szCs w:val="12"/>
                <w:color w:val="auto"/>
              </w:rPr>
              <w:t>Oversee succession</w:t>
            </w: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440" w:type="dxa"/>
        <w:tblCellMar>
          <w:top w:w="0" w:type="dxa"/>
          <w:left w:w="0" w:type="dxa"/>
          <w:bottom w:w="0" w:type="dxa"/>
          <w:right w:w="0" w:type="dxa"/>
        </w:tblCellMar>
      </w:tblPr>
      <w:tr>
        <w:trPr>
          <w:trHeight w:val="200"/>
        </w:trPr>
        <w:tc>
          <w:tcPr>
            <w:tcW w:w="1960" w:type="dxa"/>
            <w:vAlign w:val="bottom"/>
            <w:vMerge w:val="restart"/>
          </w:tcPr>
          <w:p>
            <w:pPr>
              <w:spacing w:after="0"/>
              <w:rPr>
                <w:sz w:val="20"/>
                <w:szCs w:val="20"/>
                <w:color w:val="auto"/>
              </w:rPr>
            </w:pPr>
            <w:r>
              <w:rPr>
                <w:rFonts w:ascii="Arial" w:cs="Arial" w:eastAsia="Arial" w:hAnsi="Arial"/>
                <w:sz w:val="18"/>
                <w:szCs w:val="18"/>
                <w:color w:val="auto"/>
              </w:rPr>
              <w:t>planning and talent</w:t>
            </w:r>
          </w:p>
        </w:tc>
        <w:tc>
          <w:tcPr>
            <w:tcW w:w="2180" w:type="dxa"/>
            <w:vAlign w:val="bottom"/>
          </w:tcPr>
          <w:p>
            <w:pPr>
              <w:ind w:left="140"/>
              <w:spacing w:after="0" w:line="200" w:lineRule="exact"/>
              <w:rPr>
                <w:sz w:val="20"/>
                <w:szCs w:val="20"/>
                <w:color w:val="auto"/>
              </w:rPr>
            </w:pPr>
            <w:r>
              <w:rPr>
                <w:rFonts w:ascii="Arial" w:cs="Arial" w:eastAsia="Arial" w:hAnsi="Arial"/>
                <w:sz w:val="18"/>
                <w:szCs w:val="18"/>
                <w:color w:val="auto"/>
              </w:rPr>
              <w:t>• Oversee and approve</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2180" w:type="dxa"/>
            <w:vAlign w:val="bottom"/>
            <w:vMerge w:val="restart"/>
          </w:tcPr>
          <w:p>
            <w:pPr>
              <w:ind w:left="320"/>
              <w:spacing w:after="0"/>
              <w:rPr>
                <w:sz w:val="20"/>
                <w:szCs w:val="20"/>
                <w:color w:val="auto"/>
              </w:rPr>
            </w:pPr>
            <w:r>
              <w:rPr>
                <w:rFonts w:ascii="Arial" w:cs="Arial" w:eastAsia="Arial" w:hAnsi="Arial"/>
                <w:sz w:val="18"/>
                <w:szCs w:val="18"/>
                <w:color w:val="auto"/>
              </w:rPr>
              <w:t>merger and acquisition</w:t>
            </w:r>
          </w:p>
        </w:tc>
        <w:tc>
          <w:tcPr>
            <w:tcW w:w="0" w:type="dxa"/>
            <w:vAlign w:val="bottom"/>
          </w:tcPr>
          <w:p>
            <w:pPr>
              <w:spacing w:after="0"/>
              <w:rPr>
                <w:sz w:val="1"/>
                <w:szCs w:val="1"/>
                <w:color w:val="auto"/>
              </w:rPr>
            </w:pPr>
          </w:p>
        </w:tc>
      </w:tr>
      <w:tr>
        <w:trPr>
          <w:trHeight w:val="108"/>
        </w:trPr>
        <w:tc>
          <w:tcPr>
            <w:tcW w:w="1960" w:type="dxa"/>
            <w:vAlign w:val="bottom"/>
            <w:vMerge w:val="restart"/>
          </w:tcPr>
          <w:p>
            <w:pPr>
              <w:spacing w:after="0"/>
              <w:rPr>
                <w:sz w:val="20"/>
                <w:szCs w:val="20"/>
                <w:color w:val="auto"/>
              </w:rPr>
            </w:pPr>
            <w:r>
              <w:rPr>
                <w:rFonts w:ascii="Arial" w:cs="Arial" w:eastAsia="Arial" w:hAnsi="Arial"/>
                <w:sz w:val="18"/>
                <w:szCs w:val="18"/>
                <w:color w:val="auto"/>
                <w:w w:val="95"/>
              </w:rPr>
              <w:t>processes and programs,</w:t>
            </w: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2180" w:type="dxa"/>
            <w:vAlign w:val="bottom"/>
            <w:vMerge w:val="restart"/>
          </w:tcPr>
          <w:p>
            <w:pPr>
              <w:ind w:left="320"/>
              <w:spacing w:after="0"/>
              <w:rPr>
                <w:sz w:val="20"/>
                <w:szCs w:val="20"/>
                <w:color w:val="auto"/>
              </w:rPr>
            </w:pPr>
            <w:r>
              <w:rPr>
                <w:rFonts w:ascii="Arial" w:cs="Arial" w:eastAsia="Arial" w:hAnsi="Arial"/>
                <w:sz w:val="18"/>
                <w:szCs w:val="18"/>
                <w:color w:val="auto"/>
                <w:w w:val="89"/>
              </w:rPr>
              <w:t>activities and related risks</w:t>
            </w:r>
          </w:p>
        </w:tc>
        <w:tc>
          <w:tcPr>
            <w:tcW w:w="0" w:type="dxa"/>
            <w:vAlign w:val="bottom"/>
          </w:tcPr>
          <w:p>
            <w:pPr>
              <w:spacing w:after="0"/>
              <w:rPr>
                <w:sz w:val="1"/>
                <w:szCs w:val="1"/>
                <w:color w:val="auto"/>
              </w:rPr>
            </w:pPr>
          </w:p>
        </w:tc>
      </w:tr>
      <w:tr>
        <w:trPr>
          <w:trHeight w:val="122"/>
        </w:trPr>
        <w:tc>
          <w:tcPr>
            <w:tcW w:w="1960" w:type="dxa"/>
            <w:vAlign w:val="bottom"/>
            <w:vMerge w:val="restart"/>
          </w:tcPr>
          <w:p>
            <w:pPr>
              <w:spacing w:after="0"/>
              <w:rPr>
                <w:sz w:val="20"/>
                <w:szCs w:val="20"/>
                <w:color w:val="auto"/>
              </w:rPr>
            </w:pPr>
            <w:r>
              <w:rPr>
                <w:rFonts w:ascii="Arial" w:cs="Arial" w:eastAsia="Arial" w:hAnsi="Arial"/>
                <w:sz w:val="18"/>
                <w:szCs w:val="18"/>
                <w:color w:val="auto"/>
                <w:w w:val="99"/>
              </w:rPr>
              <w:t>including Human Capital</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Management and</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Diversity, Equity and</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Inclusion</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9"/>
        <w:spacing w:after="0"/>
        <w:rPr>
          <w:sz w:val="20"/>
          <w:szCs w:val="20"/>
          <w:color w:val="auto"/>
        </w:rPr>
      </w:pPr>
      <w:r>
        <w:rPr>
          <w:rFonts w:ascii="Arial" w:cs="Arial" w:eastAsia="Arial" w:hAnsi="Arial"/>
          <w:sz w:val="22"/>
          <w:szCs w:val="22"/>
          <w:b w:val="1"/>
          <w:bCs w:val="1"/>
          <w:color w:val="3F000B"/>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-339725</wp:posOffset>
            </wp:positionV>
            <wp:extent cx="1380490" cy="702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0490" cy="702945"/>
                    </a:xfrm>
                    <a:prstGeom prst="rect">
                      <a:avLst/>
                    </a:prstGeom>
                    <a:noFill/>
                  </pic:spPr>
                </pic:pic>
              </a:graphicData>
            </a:graphic>
          </wp:anchor>
        </w:drawing>
      </w:r>
    </w:p>
    <w:p>
      <w:pPr>
        <w:spacing w:after="0" w:line="7" w:lineRule="exact"/>
        <w:rPr>
          <w:sz w:val="20"/>
          <w:szCs w:val="20"/>
          <w:color w:val="auto"/>
        </w:rPr>
      </w:pPr>
    </w:p>
    <w:p>
      <w:pPr>
        <w:ind w:left="469"/>
        <w:spacing w:after="0"/>
        <w:rPr>
          <w:sz w:val="20"/>
          <w:szCs w:val="20"/>
          <w:color w:val="auto"/>
        </w:rPr>
      </w:pPr>
      <w:r>
        <w:rPr>
          <w:rFonts w:ascii="Arial" w:cs="Arial" w:eastAsia="Arial" w:hAnsi="Arial"/>
          <w:sz w:val="22"/>
          <w:szCs w:val="22"/>
          <w:b w:val="1"/>
          <w:bCs w:val="1"/>
          <w:color w:val="3F000B"/>
        </w:rPr>
        <w:t>Committee</w:t>
      </w:r>
    </w:p>
    <w:p>
      <w:pPr>
        <w:spacing w:after="0" w:line="344" w:lineRule="exact"/>
        <w:rPr>
          <w:sz w:val="20"/>
          <w:szCs w:val="20"/>
          <w:color w:val="auto"/>
        </w:rPr>
      </w:pPr>
    </w:p>
    <w:p>
      <w:pPr>
        <w:ind w:left="169" w:hanging="169"/>
        <w:spacing w:after="0" w:line="255" w:lineRule="auto"/>
        <w:tabs>
          <w:tab w:leader="none" w:pos="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Approve related party transactions between the Company and entities affiliated with the Company and certain of its directors</w:t>
      </w:r>
    </w:p>
    <w:p>
      <w:pPr>
        <w:spacing w:after="0" w:line="2176" w:lineRule="exact"/>
        <w:rPr>
          <w:sz w:val="20"/>
          <w:szCs w:val="20"/>
          <w:color w:val="auto"/>
        </w:rPr>
      </w:pPr>
    </w:p>
    <w:p>
      <w:pPr>
        <w:sectPr>
          <w:pgSz w:w="11900" w:h="16838" w:orient="portrait"/>
          <w:cols w:equalWidth="0" w:num="2">
            <w:col w:w="8960" w:space="111"/>
            <w:col w:w="2109"/>
          </w:cols>
          <w:pgMar w:left="320" w:top="1111" w:right="399" w:bottom="1440" w:gutter="0" w:footer="0" w:header="0"/>
          <w:type w:val="continuous"/>
        </w:sectPr>
      </w:pPr>
    </w:p>
    <w:p>
      <w:pPr>
        <w:ind w:right="60"/>
        <w:spacing w:after="0" w:line="258" w:lineRule="auto"/>
        <w:rPr>
          <w:sz w:val="20"/>
          <w:szCs w:val="20"/>
          <w:color w:val="auto"/>
        </w:rPr>
      </w:pPr>
      <w:r>
        <w:rPr>
          <w:rFonts w:ascii="Arial" w:cs="Arial" w:eastAsia="Arial" w:hAnsi="Arial"/>
          <w:sz w:val="18"/>
          <w:szCs w:val="18"/>
          <w:color w:val="auto"/>
        </w:rPr>
        <w:t>The decision to administer the Board’s oversight responsibilities in this manner has an important effect on the Board’s leadership and committee structure, described in more detail above. The Board believes that its structure – including a</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strong Lead Independent Director, 13 of 14 independent directors and key committees comprised entirely of independent directors – helps to ensure that key strategic decisions made by senior management, up to and including the CEO, are reviewed and overseen by independent directors of the Board.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Information Security</w:t>
      </w:r>
    </w:p>
    <w:p>
      <w:pPr>
        <w:spacing w:after="0" w:line="10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indicated above, the Finance and Risk Management Committee is responsible for reviewing key enterprise risks identified through the ERM process, which includes information security strategies and risks, as well as data privacy and protection risks and mitigation strategies (“Information Security”). At each regularly scheduled Finance and Risk Management Committee meeting, management, through the Company’s Chief Information Security Officer, reports on Information Security controls, audits, guidelines and developments. The Chief Information Security Officer oversees the dedicated Information Security team, which works in partnership with internal audit to review information technology-related internal controls with our external auditors as part of the overall internal controls process. Annual third-party audits are also conducted on penetration testing and overall program maturity.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111" w:right="3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Our Company-wide Information Security training program includes:</w:t>
      </w:r>
    </w:p>
    <w:p>
      <w:pPr>
        <w:spacing w:after="0" w:line="11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Security awareness training, including regular phishing simulations;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Acceptable use training;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targeted trainings throughout the year.</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currently maintain a cyber insurance policy that provides coverage for security breaches. The Company has neither experienced an Information Security breach nor incurred any breach-related expenses over the last three years.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Experiences,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5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5690" cy="8255"/>
                    </a:xfrm>
                    <a:prstGeom prst="rect">
                      <a:avLst/>
                    </a:prstGeom>
                    <a:noFill/>
                  </pic:spPr>
                </pic:pic>
              </a:graphicData>
            </a:graphic>
          </wp:anchor>
        </w:drawing>
      </w:r>
    </w:p>
    <w:p>
      <w:pPr>
        <w:spacing w:after="0" w:line="251" w:lineRule="auto"/>
        <w:rPr>
          <w:sz w:val="20"/>
          <w:szCs w:val="20"/>
          <w:color w:val="auto"/>
        </w:rPr>
      </w:pPr>
      <w:r>
        <w:rPr>
          <w:rFonts w:ascii="Arial" w:cs="Arial" w:eastAsia="Arial" w:hAnsi="Arial"/>
          <w:sz w:val="18"/>
          <w:szCs w:val="18"/>
          <w:color w:val="auto"/>
        </w:rPr>
        <w:t>The Governance Committee works with the Board to determine the appropriate skills, experiences and attributes that should be possessed by the Board as a whole as well as its individual members. While the Governance Committee has not established minimum criteria for director candidates, in general, the Board seeks individuals with skills and backgrounds that will complement those of other directors and maximize the diversity and effectiveness of the Board as a whole. The Board also seeks individuals who bring unique and varied perspectives and life experiences to the Board. As such, the Governance Committee assists the Board by recommending prospective director candidates who will enhance the overall diversity of the Board. The Board views diversity broadly, taking into consideration the age, professional experience, race, education, gender and other attributes of its members. In addition, the Board’s Corporate Governance Guidelines describe the general experiences, qualifications, attributes and skills sought by the Board of any director nominee, including:</w:t>
      </w:r>
    </w:p>
    <w:p>
      <w:pPr>
        <w:spacing w:after="0" w:line="125" w:lineRule="exact"/>
        <w:rPr>
          <w:sz w:val="20"/>
          <w:szCs w:val="20"/>
          <w:color w:val="auto"/>
        </w:rPr>
      </w:pPr>
    </w:p>
    <w:p>
      <w:pPr>
        <w:ind w:left="1900"/>
        <w:spacing w:after="0"/>
        <w:tabs>
          <w:tab w:leader="none" w:pos="7660" w:val="left"/>
        </w:tabs>
        <w:rPr>
          <w:sz w:val="20"/>
          <w:szCs w:val="20"/>
          <w:color w:val="auto"/>
        </w:rPr>
      </w:pPr>
      <w:r>
        <w:rPr>
          <w:rFonts w:ascii="Arial" w:cs="Arial" w:eastAsia="Arial" w:hAnsi="Arial"/>
          <w:sz w:val="18"/>
          <w:szCs w:val="18"/>
          <w:b w:val="1"/>
          <w:bCs w:val="1"/>
          <w:color w:val="3F000B"/>
        </w:rPr>
        <w:t>Qualifications, Attributes and Skills</w:t>
      </w:r>
      <w:r>
        <w:rPr>
          <w:sz w:val="20"/>
          <w:szCs w:val="20"/>
          <w:color w:val="auto"/>
        </w:rPr>
        <w:tab/>
      </w:r>
      <w:r>
        <w:rPr>
          <w:rFonts w:ascii="Arial" w:cs="Arial" w:eastAsia="Arial" w:hAnsi="Arial"/>
          <w:sz w:val="16"/>
          <w:szCs w:val="16"/>
          <w:b w:val="1"/>
          <w:bCs w:val="1"/>
          <w:color w:val="3F000B"/>
        </w:rPr>
        <w:t>Knowledge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900545" cy="19970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0545" cy="199707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p>
      <w:pPr>
        <w:spacing w:after="0" w:line="45" w:lineRule="exact"/>
        <w:rPr>
          <w:sz w:val="20"/>
          <w:szCs w:val="20"/>
          <w:color w:val="auto"/>
        </w:rPr>
      </w:pPr>
    </w:p>
    <w:p>
      <w:pPr>
        <w:ind w:left="240" w:hanging="133"/>
        <w:spacing w:after="0"/>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Integrity</w:t>
      </w:r>
    </w:p>
    <w:p>
      <w:pPr>
        <w:spacing w:after="0" w:line="59" w:lineRule="exact"/>
        <w:rPr>
          <w:rFonts w:ascii="Arial" w:cs="Arial" w:eastAsia="Arial" w:hAnsi="Arial"/>
          <w:sz w:val="16"/>
          <w:szCs w:val="16"/>
          <w:color w:val="auto"/>
        </w:rPr>
      </w:pPr>
    </w:p>
    <w:p>
      <w:pPr>
        <w:ind w:left="240" w:hanging="133"/>
        <w:spacing w:after="0"/>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Judgment</w:t>
      </w:r>
    </w:p>
    <w:p>
      <w:pPr>
        <w:spacing w:after="0" w:line="59" w:lineRule="exact"/>
        <w:rPr>
          <w:rFonts w:ascii="Arial" w:cs="Arial" w:eastAsia="Arial" w:hAnsi="Arial"/>
          <w:sz w:val="16"/>
          <w:szCs w:val="16"/>
          <w:color w:val="auto"/>
        </w:rPr>
      </w:pPr>
    </w:p>
    <w:p>
      <w:pPr>
        <w:ind w:left="240" w:hanging="133"/>
        <w:spacing w:after="0"/>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Skill</w:t>
      </w:r>
    </w:p>
    <w:p>
      <w:pPr>
        <w:spacing w:after="0" w:line="59" w:lineRule="exact"/>
        <w:rPr>
          <w:rFonts w:ascii="Arial" w:cs="Arial" w:eastAsia="Arial" w:hAnsi="Arial"/>
          <w:sz w:val="16"/>
          <w:szCs w:val="16"/>
          <w:color w:val="auto"/>
        </w:rPr>
      </w:pPr>
    </w:p>
    <w:p>
      <w:pPr>
        <w:ind w:left="240" w:hanging="133"/>
        <w:spacing w:after="0"/>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Diversity</w:t>
      </w:r>
    </w:p>
    <w:p>
      <w:pPr>
        <w:spacing w:after="0" w:line="59" w:lineRule="exact"/>
        <w:rPr>
          <w:rFonts w:ascii="Arial" w:cs="Arial" w:eastAsia="Arial" w:hAnsi="Arial"/>
          <w:sz w:val="16"/>
          <w:szCs w:val="16"/>
          <w:color w:val="auto"/>
        </w:rPr>
      </w:pPr>
    </w:p>
    <w:p>
      <w:pPr>
        <w:ind w:left="240" w:hanging="133"/>
        <w:spacing w:after="0"/>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Ability to express informed, useful and constructive views</w:t>
      </w:r>
    </w:p>
    <w:p>
      <w:pPr>
        <w:spacing w:after="0" w:line="59" w:lineRule="exact"/>
        <w:rPr>
          <w:rFonts w:ascii="Arial" w:cs="Arial" w:eastAsia="Arial" w:hAnsi="Arial"/>
          <w:sz w:val="16"/>
          <w:szCs w:val="16"/>
          <w:color w:val="auto"/>
        </w:rPr>
      </w:pPr>
    </w:p>
    <w:p>
      <w:pPr>
        <w:ind w:left="240" w:hanging="133"/>
        <w:spacing w:after="0"/>
        <w:tabs>
          <w:tab w:leader="none" w:pos="2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Experience with businesses and other organizations of comparable size</w:t>
      </w:r>
    </w:p>
    <w:p>
      <w:pPr>
        <w:spacing w:after="0" w:line="82" w:lineRule="exact"/>
        <w:rPr>
          <w:rFonts w:ascii="Arial" w:cs="Arial" w:eastAsia="Arial" w:hAnsi="Arial"/>
          <w:sz w:val="14"/>
          <w:szCs w:val="14"/>
          <w:color w:val="auto"/>
        </w:rPr>
      </w:pPr>
    </w:p>
    <w:p>
      <w:pPr>
        <w:ind w:left="360" w:right="1368" w:hanging="253"/>
        <w:spacing w:after="0" w:line="261" w:lineRule="auto"/>
        <w:tabs>
          <w:tab w:leader="none" w:pos="2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Ability to commit the time necessary to learn our business and to prepare for and participate actively in committee meetings and in Board meetings</w:t>
      </w:r>
    </w:p>
    <w:p>
      <w:pPr>
        <w:spacing w:after="0" w:line="317" w:lineRule="exact"/>
        <w:rPr>
          <w:rFonts w:ascii="Arial" w:cs="Arial" w:eastAsia="Arial" w:hAnsi="Arial"/>
          <w:sz w:val="16"/>
          <w:szCs w:val="16"/>
          <w:color w:val="auto"/>
        </w:rPr>
      </w:pPr>
    </w:p>
    <w:p>
      <w:pPr>
        <w:ind w:left="360" w:right="1308" w:hanging="253"/>
        <w:spacing w:after="0" w:line="275" w:lineRule="auto"/>
        <w:tabs>
          <w:tab w:leader="none" w:pos="2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Interplay of skills, experiences and attributes with those of the other Board members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Consumer Products</w:t>
      </w:r>
    </w:p>
    <w:p>
      <w:pPr>
        <w:spacing w:after="0" w:line="59"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Innovation</w:t>
      </w:r>
    </w:p>
    <w:p>
      <w:pPr>
        <w:spacing w:after="0" w:line="59"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Mergers and Acquisitions</w:t>
      </w:r>
    </w:p>
    <w:p>
      <w:pPr>
        <w:spacing w:after="0" w:line="82" w:lineRule="exact"/>
        <w:rPr>
          <w:rFonts w:ascii="Arial" w:cs="Arial" w:eastAsia="Arial" w:hAnsi="Arial"/>
          <w:sz w:val="14"/>
          <w:szCs w:val="14"/>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Government Relations</w:t>
      </w:r>
    </w:p>
    <w:p>
      <w:pPr>
        <w:spacing w:after="0" w:line="59"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Supply Chain</w:t>
      </w:r>
    </w:p>
    <w:p>
      <w:pPr>
        <w:spacing w:after="0" w:line="59"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Emerging Markets</w:t>
      </w:r>
    </w:p>
    <w:p>
      <w:pPr>
        <w:spacing w:after="0" w:line="59"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Finance</w:t>
      </w:r>
    </w:p>
    <w:p>
      <w:pPr>
        <w:spacing w:after="0" w:line="113"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Marketing</w:t>
      </w:r>
    </w:p>
    <w:p>
      <w:pPr>
        <w:spacing w:after="0" w:line="329"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Risk Management</w:t>
      </w:r>
    </w:p>
    <w:p>
      <w:pPr>
        <w:spacing w:after="0" w:line="113" w:lineRule="exact"/>
        <w:rPr>
          <w:rFonts w:ascii="Arial" w:cs="Arial" w:eastAsia="Arial" w:hAnsi="Arial"/>
          <w:sz w:val="16"/>
          <w:szCs w:val="16"/>
          <w:color w:val="auto"/>
        </w:rPr>
      </w:pPr>
    </w:p>
    <w:p>
      <w:pPr>
        <w:ind w:left="132" w:hanging="132"/>
        <w:spacing w:after="0"/>
        <w:tabs>
          <w:tab w:leader="none" w:pos="1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Technology</w:t>
      </w:r>
    </w:p>
    <w:p>
      <w:pPr>
        <w:spacing w:after="0" w:line="248" w:lineRule="exact"/>
        <w:rPr>
          <w:sz w:val="20"/>
          <w:szCs w:val="20"/>
          <w:color w:val="auto"/>
        </w:rPr>
      </w:pPr>
    </w:p>
    <w:p>
      <w:pPr>
        <w:sectPr>
          <w:pgSz w:w="11900" w:h="16838" w:orient="portrait"/>
          <w:cols w:equalWidth="0" w:num="2">
            <w:col w:w="5948" w:space="720"/>
            <w:col w:w="4552"/>
          </w:cols>
          <w:pgMar w:left="320" w:top="895" w:right="359" w:bottom="1440" w:gutter="0" w:footer="0" w:header="0"/>
          <w:type w:val="continuous"/>
        </w:sectPr>
      </w:pPr>
    </w:p>
    <w:p>
      <w:pPr>
        <w:spacing w:after="0" w:line="8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to evaluating new director candidates, the Governance Committee regularly assesses the composition of the Board in order to ensure it reflects an appropriate balance of knowledge, skills, expertise, diversity and independence. As part of this assessment, each director is asked to identify and assess the particular experiences, skills and other attributes that qualify him or her to serve as a member of the Board. Based on the most recent assessment of the Board’s composition completed in February 2021, the Governance Committee and the Board have determined that, in light of the Company’s current business structure and strategies, the Board has an appropriate mix of director experiences, skills, qualifications and backgrounds.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895"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The following chart provides a summary of the collective qualifications of our director nominees: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60" w:type="dxa"/>
            <w:vAlign w:val="bottom"/>
            <w:tcBorders>
              <w:top w:val="single" w:sz="8" w:color="auto"/>
              <w:left w:val="single" w:sz="8" w:color="auto"/>
              <w:right w:val="single" w:sz="8" w:color="DADADA"/>
            </w:tcBorders>
            <w:shd w:val="clear" w:color="auto" w:fill="3F000B"/>
          </w:tcPr>
          <w:p>
            <w:pPr>
              <w:ind w:left="1640"/>
              <w:spacing w:after="0"/>
              <w:rPr>
                <w:sz w:val="20"/>
                <w:szCs w:val="20"/>
                <w:color w:val="auto"/>
              </w:rPr>
            </w:pPr>
            <w:r>
              <w:rPr>
                <w:rFonts w:ascii="Arial" w:cs="Arial" w:eastAsia="Arial" w:hAnsi="Arial"/>
                <w:sz w:val="16"/>
                <w:szCs w:val="16"/>
                <w:b w:val="1"/>
                <w:bCs w:val="1"/>
                <w:color w:val="FFFFFF"/>
              </w:rPr>
              <w:t>Experience</w:t>
            </w:r>
          </w:p>
        </w:tc>
        <w:tc>
          <w:tcPr>
            <w:tcW w:w="5680" w:type="dxa"/>
            <w:vAlign w:val="bottom"/>
            <w:tcBorders>
              <w:top w:val="single" w:sz="8" w:color="auto"/>
              <w:right w:val="single" w:sz="8" w:color="3F000B"/>
            </w:tcBorders>
            <w:shd w:val="clear" w:color="auto" w:fill="3F000B"/>
          </w:tcPr>
          <w:p>
            <w:pPr>
              <w:ind w:left="2340"/>
              <w:spacing w:after="0"/>
              <w:rPr>
                <w:sz w:val="20"/>
                <w:szCs w:val="20"/>
                <w:color w:val="auto"/>
              </w:rPr>
            </w:pPr>
            <w:r>
              <w:rPr>
                <w:rFonts w:ascii="Arial" w:cs="Arial" w:eastAsia="Arial" w:hAnsi="Arial"/>
                <w:sz w:val="16"/>
                <w:szCs w:val="16"/>
                <w:b w:val="1"/>
                <w:bCs w:val="1"/>
                <w:color w:val="FFFFFF"/>
              </w:rPr>
              <w:t>Qualifications</w:t>
            </w:r>
          </w:p>
        </w:tc>
        <w:tc>
          <w:tcPr>
            <w:tcW w:w="1520" w:type="dxa"/>
            <w:vAlign w:val="bottom"/>
            <w:tcBorders>
              <w:top w:val="single" w:sz="8" w:color="3F000B"/>
              <w:right w:val="single" w:sz="8" w:color="3F000B"/>
            </w:tcBorders>
            <w:shd w:val="clear" w:color="auto" w:fill="3F000B"/>
          </w:tcPr>
          <w:p>
            <w:pPr>
              <w:ind w:left="80"/>
              <w:spacing w:after="0"/>
              <w:rPr>
                <w:sz w:val="20"/>
                <w:szCs w:val="20"/>
                <w:color w:val="auto"/>
              </w:rPr>
            </w:pPr>
            <w:r>
              <w:rPr>
                <w:rFonts w:ascii="Arial" w:cs="Arial" w:eastAsia="Arial" w:hAnsi="Arial"/>
                <w:sz w:val="16"/>
                <w:szCs w:val="16"/>
                <w:b w:val="1"/>
                <w:bCs w:val="1"/>
                <w:color w:val="FFFFFF"/>
                <w:w w:val="94"/>
              </w:rPr>
              <w:t>Board Composition</w:t>
            </w:r>
          </w:p>
        </w:tc>
        <w:tc>
          <w:tcPr>
            <w:tcW w:w="0" w:type="dxa"/>
            <w:vAlign w:val="bottom"/>
          </w:tcPr>
          <w:p>
            <w:pPr>
              <w:spacing w:after="0"/>
              <w:rPr>
                <w:sz w:val="1"/>
                <w:szCs w:val="1"/>
                <w:color w:val="auto"/>
              </w:rPr>
            </w:pPr>
          </w:p>
        </w:tc>
      </w:tr>
      <w:tr>
        <w:trPr>
          <w:trHeight w:val="166"/>
        </w:trPr>
        <w:tc>
          <w:tcPr>
            <w:tcW w:w="406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6"/>
                <w:szCs w:val="16"/>
                <w:color w:val="auto"/>
              </w:rPr>
              <w:t>Risk Management</w:t>
            </w:r>
          </w:p>
        </w:tc>
        <w:tc>
          <w:tcPr>
            <w:tcW w:w="5680" w:type="dxa"/>
            <w:vAlign w:val="bottom"/>
            <w:tcBorders>
              <w:right w:val="single" w:sz="8" w:color="3F000B"/>
            </w:tcBorders>
          </w:tcPr>
          <w:p>
            <w:pPr>
              <w:spacing w:after="0" w:line="166" w:lineRule="exact"/>
              <w:rPr>
                <w:sz w:val="20"/>
                <w:szCs w:val="20"/>
                <w:color w:val="auto"/>
              </w:rPr>
            </w:pPr>
            <w:r>
              <w:rPr>
                <w:rFonts w:ascii="Arial" w:cs="Arial" w:eastAsia="Arial" w:hAnsi="Arial"/>
                <w:sz w:val="16"/>
                <w:szCs w:val="16"/>
                <w:color w:val="auto"/>
              </w:rPr>
              <w:t>Experience with ERM programs (through operations or via board/committee</w:t>
            </w:r>
          </w:p>
        </w:tc>
        <w:tc>
          <w:tcPr>
            <w:tcW w:w="1520" w:type="dxa"/>
            <w:vAlign w:val="bottom"/>
            <w:tcBorders>
              <w:right w:val="single" w:sz="8" w:color="3F000B"/>
            </w:tcBorders>
            <w:vMerge w:val="restart"/>
          </w:tcPr>
          <w:p>
            <w:pPr>
              <w:jc w:val="center"/>
              <w:spacing w:after="0"/>
              <w:rPr>
                <w:sz w:val="20"/>
                <w:szCs w:val="20"/>
                <w:color w:val="auto"/>
              </w:rPr>
            </w:pPr>
            <w:r>
              <w:rPr>
                <w:rFonts w:ascii="Arial" w:cs="Arial" w:eastAsia="Arial" w:hAnsi="Arial"/>
                <w:sz w:val="16"/>
                <w:szCs w:val="16"/>
                <w:color w:val="auto"/>
                <w:w w:val="93"/>
              </w:rPr>
              <w:t>92%</w:t>
            </w: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continue"/>
          </w:tcPr>
          <w:p>
            <w:pPr>
              <w:spacing w:after="0"/>
              <w:rPr>
                <w:sz w:val="14"/>
                <w:szCs w:val="14"/>
                <w:color w:val="auto"/>
              </w:rPr>
            </w:pPr>
          </w:p>
        </w:tc>
        <w:tc>
          <w:tcPr>
            <w:tcW w:w="5680" w:type="dxa"/>
            <w:vAlign w:val="bottom"/>
            <w:tcBorders>
              <w:right w:val="single" w:sz="8" w:color="3F000B"/>
            </w:tcBorders>
          </w:tcPr>
          <w:p>
            <w:pPr>
              <w:spacing w:after="0" w:line="162" w:lineRule="exact"/>
              <w:rPr>
                <w:sz w:val="20"/>
                <w:szCs w:val="20"/>
                <w:color w:val="auto"/>
              </w:rPr>
            </w:pPr>
            <w:r>
              <w:rPr>
                <w:rFonts w:ascii="Arial" w:cs="Arial" w:eastAsia="Arial" w:hAnsi="Arial"/>
                <w:sz w:val="16"/>
                <w:szCs w:val="16"/>
                <w:color w:val="auto"/>
                <w:w w:val="94"/>
              </w:rPr>
              <w:t>oversight), including strategic, financial, operational and commercial risks, as well as</w:t>
            </w:r>
          </w:p>
        </w:tc>
        <w:tc>
          <w:tcPr>
            <w:tcW w:w="1520" w:type="dxa"/>
            <w:vAlign w:val="bottom"/>
            <w:tcBorders>
              <w:right w:val="single" w:sz="8" w:color="3F000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3F000B"/>
              <w:bottom w:val="single" w:sz="8" w:color="3F000B"/>
              <w:right w:val="single" w:sz="8" w:color="3F000B"/>
            </w:tcBorders>
          </w:tcPr>
          <w:p>
            <w:pPr>
              <w:spacing w:after="0"/>
              <w:rPr>
                <w:sz w:val="18"/>
                <w:szCs w:val="18"/>
                <w:color w:val="auto"/>
              </w:rPr>
            </w:pPr>
          </w:p>
        </w:tc>
        <w:tc>
          <w:tcPr>
            <w:tcW w:w="5680" w:type="dxa"/>
            <w:vAlign w:val="bottom"/>
            <w:tcBorders>
              <w:bottom w:val="single" w:sz="8" w:color="3F000B"/>
              <w:right w:val="single" w:sz="8" w:color="3F000B"/>
            </w:tcBorders>
          </w:tcPr>
          <w:p>
            <w:pPr>
              <w:spacing w:after="0"/>
              <w:rPr>
                <w:sz w:val="20"/>
                <w:szCs w:val="20"/>
                <w:color w:val="auto"/>
              </w:rPr>
            </w:pPr>
            <w:r>
              <w:rPr>
                <w:rFonts w:ascii="Arial" w:cs="Arial" w:eastAsia="Arial" w:hAnsi="Arial"/>
                <w:sz w:val="16"/>
                <w:szCs w:val="16"/>
                <w:color w:val="auto"/>
              </w:rPr>
              <w:t>experience with cybersecurity risk and/or ESG oversight/execution</w:t>
            </w:r>
          </w:p>
        </w:tc>
        <w:tc>
          <w:tcPr>
            <w:tcW w:w="1520" w:type="dxa"/>
            <w:vAlign w:val="bottom"/>
            <w:tcBorders>
              <w:bottom w:val="single" w:sz="8" w:color="3F000B"/>
              <w:right w:val="single" w:sz="8" w:color="3F000B"/>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shd w:val="clear" w:color="auto" w:fill="DADADA"/>
          </w:tcPr>
          <w:p>
            <w:pPr>
              <w:ind w:left="40"/>
              <w:spacing w:after="0"/>
              <w:rPr>
                <w:sz w:val="20"/>
                <w:szCs w:val="20"/>
                <w:color w:val="auto"/>
              </w:rPr>
            </w:pPr>
            <w:r>
              <w:rPr>
                <w:rFonts w:ascii="Arial" w:cs="Arial" w:eastAsia="Arial" w:hAnsi="Arial"/>
                <w:sz w:val="16"/>
                <w:szCs w:val="16"/>
                <w:color w:val="auto"/>
              </w:rPr>
              <w:t>Operational Leadership</w:t>
            </w: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rPr>
              <w:t>Functional experience in a senior operating position (President, Chief Operating</w:t>
            </w:r>
          </w:p>
        </w:tc>
        <w:tc>
          <w:tcPr>
            <w:tcW w:w="152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6"/>
                <w:szCs w:val="16"/>
                <w:color w:val="auto"/>
                <w:w w:val="93"/>
              </w:rPr>
              <w:t>75%</w:t>
            </w: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continue"/>
            <w:shd w:val="clear" w:color="auto" w:fill="DADADA"/>
          </w:tcPr>
          <w:p>
            <w:pPr>
              <w:spacing w:after="0"/>
              <w:rPr>
                <w:sz w:val="14"/>
                <w:szCs w:val="14"/>
                <w:color w:val="auto"/>
              </w:rPr>
            </w:pP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6"/>
              </w:rPr>
              <w:t>Officer, head of large division) within a public/private company, including current or</w:t>
            </w:r>
          </w:p>
        </w:tc>
        <w:tc>
          <w:tcPr>
            <w:tcW w:w="1520" w:type="dxa"/>
            <w:vAlign w:val="bottom"/>
            <w:tcBorders>
              <w:right w:val="single" w:sz="8" w:color="3F000B"/>
            </w:tcBorders>
            <w:vMerge w:val="continue"/>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3F000B"/>
              <w:bottom w:val="single" w:sz="8" w:color="3F000B"/>
              <w:right w:val="single" w:sz="8" w:color="3F000B"/>
            </w:tcBorders>
            <w:shd w:val="clear" w:color="auto" w:fill="DADADA"/>
          </w:tcPr>
          <w:p>
            <w:pPr>
              <w:spacing w:after="0"/>
              <w:rPr>
                <w:sz w:val="18"/>
                <w:szCs w:val="18"/>
                <w:color w:val="auto"/>
              </w:rPr>
            </w:pPr>
          </w:p>
        </w:tc>
        <w:tc>
          <w:tcPr>
            <w:tcW w:w="5680" w:type="dxa"/>
            <w:vAlign w:val="bottom"/>
            <w:tcBorders>
              <w:bottom w:val="single" w:sz="8" w:color="3F000B"/>
              <w:right w:val="single" w:sz="8" w:color="3F000B"/>
            </w:tcBorders>
            <w:shd w:val="clear" w:color="auto" w:fill="DADADA"/>
          </w:tcPr>
          <w:p>
            <w:pPr>
              <w:spacing w:after="0"/>
              <w:rPr>
                <w:sz w:val="20"/>
                <w:szCs w:val="20"/>
                <w:color w:val="auto"/>
              </w:rPr>
            </w:pPr>
            <w:r>
              <w:rPr>
                <w:rFonts w:ascii="Arial" w:cs="Arial" w:eastAsia="Arial" w:hAnsi="Arial"/>
                <w:sz w:val="16"/>
                <w:szCs w:val="16"/>
                <w:color w:val="auto"/>
              </w:rPr>
              <w:t>recent experience as a public company CEO</w:t>
            </w:r>
          </w:p>
        </w:tc>
        <w:tc>
          <w:tcPr>
            <w:tcW w:w="1520" w:type="dxa"/>
            <w:vAlign w:val="bottom"/>
            <w:tcBorders>
              <w:bottom w:val="single" w:sz="8" w:color="3F000B"/>
              <w:right w:val="single" w:sz="8" w:color="3F000B"/>
            </w:tcBorders>
            <w:shd w:val="clear" w:color="auto" w:fill="DADADA"/>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6"/>
                <w:szCs w:val="16"/>
                <w:color w:val="auto"/>
              </w:rPr>
              <w:t>Innovation</w:t>
            </w:r>
          </w:p>
        </w:tc>
        <w:tc>
          <w:tcPr>
            <w:tcW w:w="5680" w:type="dxa"/>
            <w:vAlign w:val="bottom"/>
            <w:tcBorders>
              <w:right w:val="single" w:sz="8" w:color="3F000B"/>
            </w:tcBorders>
          </w:tcPr>
          <w:p>
            <w:pPr>
              <w:spacing w:after="0" w:line="162" w:lineRule="exact"/>
              <w:rPr>
                <w:sz w:val="20"/>
                <w:szCs w:val="20"/>
                <w:color w:val="auto"/>
              </w:rPr>
            </w:pPr>
            <w:r>
              <w:rPr>
                <w:rFonts w:ascii="Arial" w:cs="Arial" w:eastAsia="Arial" w:hAnsi="Arial"/>
                <w:sz w:val="16"/>
                <w:szCs w:val="16"/>
                <w:color w:val="auto"/>
                <w:w w:val="92"/>
              </w:rPr>
              <w:t>Experience in research &amp; development/new product and packaging innovation, proven</w:t>
            </w:r>
          </w:p>
        </w:tc>
        <w:tc>
          <w:tcPr>
            <w:tcW w:w="1520" w:type="dxa"/>
            <w:vAlign w:val="bottom"/>
            <w:tcBorders>
              <w:right w:val="single" w:sz="8" w:color="3F000B"/>
            </w:tcBorders>
            <w:vMerge w:val="restart"/>
          </w:tcPr>
          <w:p>
            <w:pPr>
              <w:jc w:val="center"/>
              <w:spacing w:after="0"/>
              <w:rPr>
                <w:sz w:val="20"/>
                <w:szCs w:val="20"/>
                <w:color w:val="auto"/>
              </w:rPr>
            </w:pPr>
            <w:r>
              <w:rPr>
                <w:rFonts w:ascii="Arial" w:cs="Arial" w:eastAsia="Arial" w:hAnsi="Arial"/>
                <w:sz w:val="16"/>
                <w:szCs w:val="16"/>
                <w:color w:val="auto"/>
                <w:w w:val="93"/>
              </w:rPr>
              <w:t>58%</w:t>
            </w:r>
          </w:p>
        </w:tc>
        <w:tc>
          <w:tcPr>
            <w:tcW w:w="0" w:type="dxa"/>
            <w:vAlign w:val="bottom"/>
          </w:tcPr>
          <w:p>
            <w:pPr>
              <w:spacing w:after="0"/>
              <w:rPr>
                <w:sz w:val="1"/>
                <w:szCs w:val="1"/>
                <w:color w:val="auto"/>
              </w:rPr>
            </w:pPr>
          </w:p>
        </w:tc>
      </w:tr>
      <w:tr>
        <w:trPr>
          <w:trHeight w:val="125"/>
        </w:trPr>
        <w:tc>
          <w:tcPr>
            <w:tcW w:w="4060" w:type="dxa"/>
            <w:vAlign w:val="bottom"/>
            <w:tcBorders>
              <w:left w:val="single" w:sz="8" w:color="3F000B"/>
              <w:right w:val="single" w:sz="8" w:color="3F000B"/>
            </w:tcBorders>
            <w:vMerge w:val="continue"/>
          </w:tcPr>
          <w:p>
            <w:pPr>
              <w:spacing w:after="0"/>
              <w:rPr>
                <w:sz w:val="10"/>
                <w:szCs w:val="10"/>
                <w:color w:val="auto"/>
              </w:rPr>
            </w:pPr>
          </w:p>
        </w:tc>
        <w:tc>
          <w:tcPr>
            <w:tcW w:w="5680" w:type="dxa"/>
            <w:vAlign w:val="bottom"/>
            <w:tcBorders>
              <w:right w:val="single" w:sz="8" w:color="3F000B"/>
            </w:tcBorders>
            <w:vMerge w:val="restart"/>
          </w:tcPr>
          <w:p>
            <w:pPr>
              <w:spacing w:after="0"/>
              <w:rPr>
                <w:sz w:val="20"/>
                <w:szCs w:val="20"/>
                <w:color w:val="auto"/>
              </w:rPr>
            </w:pPr>
            <w:r>
              <w:rPr>
                <w:rFonts w:ascii="Arial" w:cs="Arial" w:eastAsia="Arial" w:hAnsi="Arial"/>
                <w:sz w:val="16"/>
                <w:szCs w:val="16"/>
                <w:color w:val="auto"/>
              </w:rPr>
              <w:t>track record of implementing innovative ways of working</w:t>
            </w:r>
          </w:p>
        </w:tc>
        <w:tc>
          <w:tcPr>
            <w:tcW w:w="1520" w:type="dxa"/>
            <w:vAlign w:val="bottom"/>
            <w:tcBorders>
              <w:right w:val="single" w:sz="8" w:color="3F000B"/>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60" w:type="dxa"/>
            <w:vAlign w:val="bottom"/>
            <w:tcBorders>
              <w:left w:val="single" w:sz="8" w:color="3F000B"/>
              <w:bottom w:val="single" w:sz="8" w:color="3F000B"/>
              <w:right w:val="single" w:sz="8" w:color="3F000B"/>
            </w:tcBorders>
          </w:tcPr>
          <w:p>
            <w:pPr>
              <w:spacing w:after="0"/>
              <w:rPr>
                <w:sz w:val="7"/>
                <w:szCs w:val="7"/>
                <w:color w:val="auto"/>
              </w:rPr>
            </w:pPr>
          </w:p>
        </w:tc>
        <w:tc>
          <w:tcPr>
            <w:tcW w:w="5680" w:type="dxa"/>
            <w:vAlign w:val="bottom"/>
            <w:tcBorders>
              <w:bottom w:val="single" w:sz="8" w:color="3F000B"/>
              <w:right w:val="single" w:sz="8" w:color="3F000B"/>
            </w:tcBorders>
            <w:vMerge w:val="continue"/>
          </w:tcPr>
          <w:p>
            <w:pPr>
              <w:spacing w:after="0"/>
              <w:rPr>
                <w:sz w:val="7"/>
                <w:szCs w:val="7"/>
                <w:color w:val="auto"/>
              </w:rPr>
            </w:pPr>
          </w:p>
        </w:tc>
        <w:tc>
          <w:tcPr>
            <w:tcW w:w="1520" w:type="dxa"/>
            <w:vAlign w:val="bottom"/>
            <w:tcBorders>
              <w:bottom w:val="single" w:sz="8" w:color="3F000B"/>
              <w:right w:val="single" w:sz="8" w:color="3F000B"/>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shd w:val="clear" w:color="auto" w:fill="DADADA"/>
          </w:tcPr>
          <w:p>
            <w:pPr>
              <w:ind w:left="40"/>
              <w:spacing w:after="0"/>
              <w:rPr>
                <w:sz w:val="20"/>
                <w:szCs w:val="20"/>
                <w:color w:val="auto"/>
              </w:rPr>
            </w:pPr>
            <w:r>
              <w:rPr>
                <w:rFonts w:ascii="Arial" w:cs="Arial" w:eastAsia="Arial" w:hAnsi="Arial"/>
                <w:sz w:val="16"/>
                <w:szCs w:val="16"/>
                <w:color w:val="auto"/>
              </w:rPr>
              <w:t>International</w:t>
            </w: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5"/>
              </w:rPr>
              <w:t>Significant experience working and managing operations in markets outside the US,</w:t>
            </w:r>
          </w:p>
        </w:tc>
        <w:tc>
          <w:tcPr>
            <w:tcW w:w="152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6"/>
                <w:szCs w:val="16"/>
                <w:color w:val="auto"/>
                <w:w w:val="93"/>
              </w:rPr>
              <w:t>58%.</w:t>
            </w: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continue"/>
            <w:shd w:val="clear" w:color="auto" w:fill="DADADA"/>
          </w:tcPr>
          <w:p>
            <w:pPr>
              <w:spacing w:after="0"/>
              <w:rPr>
                <w:sz w:val="14"/>
                <w:szCs w:val="14"/>
                <w:color w:val="auto"/>
              </w:rPr>
            </w:pP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2"/>
              </w:rPr>
              <w:t>combined with an intimate understanding of issues, trends and other relevant business</w:t>
            </w:r>
          </w:p>
        </w:tc>
        <w:tc>
          <w:tcPr>
            <w:tcW w:w="1520" w:type="dxa"/>
            <w:vAlign w:val="bottom"/>
            <w:tcBorders>
              <w:right w:val="single" w:sz="8" w:color="3F000B"/>
            </w:tcBorders>
            <w:vMerge w:val="continue"/>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3F000B"/>
              <w:bottom w:val="single" w:sz="8" w:color="3F000B"/>
              <w:right w:val="single" w:sz="8" w:color="3F000B"/>
            </w:tcBorders>
            <w:shd w:val="clear" w:color="auto" w:fill="DADADA"/>
          </w:tcPr>
          <w:p>
            <w:pPr>
              <w:spacing w:after="0"/>
              <w:rPr>
                <w:sz w:val="18"/>
                <w:szCs w:val="18"/>
                <w:color w:val="auto"/>
              </w:rPr>
            </w:pPr>
          </w:p>
        </w:tc>
        <w:tc>
          <w:tcPr>
            <w:tcW w:w="5680" w:type="dxa"/>
            <w:vAlign w:val="bottom"/>
            <w:tcBorders>
              <w:bottom w:val="single" w:sz="8" w:color="3F000B"/>
              <w:right w:val="single" w:sz="8" w:color="3F000B"/>
            </w:tcBorders>
            <w:shd w:val="clear" w:color="auto" w:fill="DADADA"/>
          </w:tcPr>
          <w:p>
            <w:pPr>
              <w:spacing w:after="0"/>
              <w:rPr>
                <w:sz w:val="20"/>
                <w:szCs w:val="20"/>
                <w:color w:val="auto"/>
              </w:rPr>
            </w:pPr>
            <w:r>
              <w:rPr>
                <w:rFonts w:ascii="Arial" w:cs="Arial" w:eastAsia="Arial" w:hAnsi="Arial"/>
                <w:sz w:val="16"/>
                <w:szCs w:val="16"/>
                <w:color w:val="auto"/>
              </w:rPr>
              <w:t>activities in those markets</w:t>
            </w:r>
          </w:p>
        </w:tc>
        <w:tc>
          <w:tcPr>
            <w:tcW w:w="1520" w:type="dxa"/>
            <w:vAlign w:val="bottom"/>
            <w:tcBorders>
              <w:bottom w:val="single" w:sz="8" w:color="3F000B"/>
              <w:right w:val="single" w:sz="8" w:color="3F000B"/>
            </w:tcBorders>
            <w:shd w:val="clear" w:color="auto" w:fill="DADADA"/>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6"/>
                <w:szCs w:val="16"/>
                <w:color w:val="auto"/>
              </w:rPr>
              <w:t>Consumer Packaged Goods (“CPG”)</w:t>
            </w:r>
          </w:p>
        </w:tc>
        <w:tc>
          <w:tcPr>
            <w:tcW w:w="5680" w:type="dxa"/>
            <w:vAlign w:val="bottom"/>
            <w:tcBorders>
              <w:right w:val="single" w:sz="8" w:color="3F000B"/>
            </w:tcBorders>
          </w:tcPr>
          <w:p>
            <w:pPr>
              <w:spacing w:after="0" w:line="162" w:lineRule="exact"/>
              <w:rPr>
                <w:sz w:val="20"/>
                <w:szCs w:val="20"/>
                <w:color w:val="auto"/>
              </w:rPr>
            </w:pPr>
            <w:r>
              <w:rPr>
                <w:rFonts w:ascii="Arial" w:cs="Arial" w:eastAsia="Arial" w:hAnsi="Arial"/>
                <w:sz w:val="16"/>
                <w:szCs w:val="16"/>
                <w:color w:val="auto"/>
                <w:w w:val="95"/>
              </w:rPr>
              <w:t>Experience in a senior level position of a durable or non-durable consumer-oriented</w:t>
            </w:r>
          </w:p>
        </w:tc>
        <w:tc>
          <w:tcPr>
            <w:tcW w:w="1520" w:type="dxa"/>
            <w:vAlign w:val="bottom"/>
            <w:tcBorders>
              <w:right w:val="single" w:sz="8" w:color="3F000B"/>
            </w:tcBorders>
            <w:vMerge w:val="restart"/>
          </w:tcPr>
          <w:p>
            <w:pPr>
              <w:jc w:val="center"/>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continue"/>
          </w:tcPr>
          <w:p>
            <w:pPr>
              <w:spacing w:after="0"/>
              <w:rPr>
                <w:sz w:val="14"/>
                <w:szCs w:val="14"/>
                <w:color w:val="auto"/>
              </w:rPr>
            </w:pPr>
          </w:p>
        </w:tc>
        <w:tc>
          <w:tcPr>
            <w:tcW w:w="5680" w:type="dxa"/>
            <w:vAlign w:val="bottom"/>
            <w:tcBorders>
              <w:right w:val="single" w:sz="8" w:color="3F000B"/>
            </w:tcBorders>
          </w:tcPr>
          <w:p>
            <w:pPr>
              <w:spacing w:after="0" w:line="162" w:lineRule="exact"/>
              <w:rPr>
                <w:sz w:val="20"/>
                <w:szCs w:val="20"/>
                <w:color w:val="auto"/>
              </w:rPr>
            </w:pPr>
            <w:r>
              <w:rPr>
                <w:rFonts w:ascii="Arial" w:cs="Arial" w:eastAsia="Arial" w:hAnsi="Arial"/>
                <w:sz w:val="16"/>
                <w:szCs w:val="16"/>
                <w:color w:val="auto"/>
                <w:w w:val="99"/>
              </w:rPr>
              <w:t>company, preferably within the fast-moving consumer goods sector; senior-level</w:t>
            </w:r>
          </w:p>
        </w:tc>
        <w:tc>
          <w:tcPr>
            <w:tcW w:w="1520" w:type="dxa"/>
            <w:vAlign w:val="bottom"/>
            <w:tcBorders>
              <w:right w:val="single" w:sz="8" w:color="3F000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3F000B"/>
              <w:bottom w:val="single" w:sz="8" w:color="3F000B"/>
              <w:right w:val="single" w:sz="8" w:color="3F000B"/>
            </w:tcBorders>
          </w:tcPr>
          <w:p>
            <w:pPr>
              <w:spacing w:after="0"/>
              <w:rPr>
                <w:sz w:val="18"/>
                <w:szCs w:val="18"/>
                <w:color w:val="auto"/>
              </w:rPr>
            </w:pPr>
          </w:p>
        </w:tc>
        <w:tc>
          <w:tcPr>
            <w:tcW w:w="5680" w:type="dxa"/>
            <w:vAlign w:val="bottom"/>
            <w:tcBorders>
              <w:bottom w:val="single" w:sz="8" w:color="3F000B"/>
              <w:right w:val="single" w:sz="8" w:color="3F000B"/>
            </w:tcBorders>
          </w:tcPr>
          <w:p>
            <w:pPr>
              <w:spacing w:after="0"/>
              <w:rPr>
                <w:sz w:val="20"/>
                <w:szCs w:val="20"/>
                <w:color w:val="auto"/>
              </w:rPr>
            </w:pPr>
            <w:r>
              <w:rPr>
                <w:rFonts w:ascii="Arial" w:cs="Arial" w:eastAsia="Arial" w:hAnsi="Arial"/>
                <w:sz w:val="16"/>
                <w:szCs w:val="16"/>
                <w:color w:val="auto"/>
              </w:rPr>
              <w:t>experience with consumer marketing, sales and/or CPG retailers</w:t>
            </w:r>
          </w:p>
        </w:tc>
        <w:tc>
          <w:tcPr>
            <w:tcW w:w="1520" w:type="dxa"/>
            <w:vAlign w:val="bottom"/>
            <w:tcBorders>
              <w:bottom w:val="single" w:sz="8" w:color="3F000B"/>
              <w:right w:val="single" w:sz="8" w:color="3F000B"/>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shd w:val="clear" w:color="auto" w:fill="DADADA"/>
          </w:tcPr>
          <w:p>
            <w:pPr>
              <w:spacing w:after="0"/>
              <w:rPr>
                <w:sz w:val="14"/>
                <w:szCs w:val="14"/>
                <w:color w:val="auto"/>
              </w:rPr>
            </w:pP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7"/>
              </w:rPr>
              <w:t>Has been a public company Chief Financial Officer, Audit Partner or has chaired a</w:t>
            </w:r>
          </w:p>
        </w:tc>
        <w:tc>
          <w:tcPr>
            <w:tcW w:w="1520" w:type="dxa"/>
            <w:vAlign w:val="bottom"/>
            <w:tcBorders>
              <w:right w:val="single" w:sz="8" w:color="3F000B"/>
            </w:tcBorders>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shd w:val="clear" w:color="auto" w:fill="DADADA"/>
          </w:tcPr>
          <w:p>
            <w:pPr>
              <w:ind w:left="40"/>
              <w:spacing w:after="0"/>
              <w:rPr>
                <w:sz w:val="20"/>
                <w:szCs w:val="20"/>
                <w:color w:val="auto"/>
              </w:rPr>
            </w:pPr>
            <w:r>
              <w:rPr>
                <w:rFonts w:ascii="Arial" w:cs="Arial" w:eastAsia="Arial" w:hAnsi="Arial"/>
                <w:sz w:val="16"/>
                <w:szCs w:val="16"/>
                <w:color w:val="auto"/>
              </w:rPr>
              <w:t>Financial/Investment Leadership</w:t>
            </w: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8"/>
              </w:rPr>
              <w:t>public company Audit Committee or has significant experience in capital markets,</w:t>
            </w:r>
          </w:p>
        </w:tc>
        <w:tc>
          <w:tcPr>
            <w:tcW w:w="152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125"/>
        </w:trPr>
        <w:tc>
          <w:tcPr>
            <w:tcW w:w="4060" w:type="dxa"/>
            <w:vAlign w:val="bottom"/>
            <w:tcBorders>
              <w:left w:val="single" w:sz="8" w:color="3F000B"/>
              <w:right w:val="single" w:sz="8" w:color="3F000B"/>
            </w:tcBorders>
            <w:vMerge w:val="continue"/>
            <w:shd w:val="clear" w:color="auto" w:fill="DADADA"/>
          </w:tcPr>
          <w:p>
            <w:pPr>
              <w:spacing w:after="0"/>
              <w:rPr>
                <w:sz w:val="10"/>
                <w:szCs w:val="10"/>
                <w:color w:val="auto"/>
              </w:rPr>
            </w:pPr>
          </w:p>
        </w:tc>
        <w:tc>
          <w:tcPr>
            <w:tcW w:w="5680" w:type="dxa"/>
            <w:vAlign w:val="bottom"/>
            <w:tcBorders>
              <w:right w:val="single" w:sz="8" w:color="3F000B"/>
            </w:tcBorders>
            <w:vMerge w:val="restart"/>
            <w:shd w:val="clear" w:color="auto" w:fill="DADADA"/>
          </w:tcPr>
          <w:p>
            <w:pPr>
              <w:spacing w:after="0" w:line="162" w:lineRule="exact"/>
              <w:rPr>
                <w:sz w:val="20"/>
                <w:szCs w:val="20"/>
                <w:color w:val="auto"/>
              </w:rPr>
            </w:pPr>
            <w:r>
              <w:rPr>
                <w:rFonts w:ascii="Arial" w:cs="Arial" w:eastAsia="Arial" w:hAnsi="Arial"/>
                <w:sz w:val="16"/>
                <w:szCs w:val="16"/>
                <w:color w:val="auto"/>
              </w:rPr>
              <w:t>investment banking, corporate finance, financial reporting or the financial</w:t>
            </w:r>
          </w:p>
        </w:tc>
        <w:tc>
          <w:tcPr>
            <w:tcW w:w="1520" w:type="dxa"/>
            <w:vAlign w:val="bottom"/>
            <w:tcBorders>
              <w:right w:val="single" w:sz="8" w:color="3F000B"/>
            </w:tcBorders>
            <w:vMerge w:val="continue"/>
            <w:shd w:val="clear" w:color="auto" w:fill="DADADA"/>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4060" w:type="dxa"/>
            <w:vAlign w:val="bottom"/>
            <w:tcBorders>
              <w:left w:val="single" w:sz="8" w:color="3F000B"/>
              <w:right w:val="single" w:sz="8" w:color="3F000B"/>
            </w:tcBorders>
            <w:shd w:val="clear" w:color="auto" w:fill="DADADA"/>
          </w:tcPr>
          <w:p>
            <w:pPr>
              <w:spacing w:after="0"/>
              <w:rPr>
                <w:sz w:val="3"/>
                <w:szCs w:val="3"/>
                <w:color w:val="auto"/>
              </w:rPr>
            </w:pPr>
          </w:p>
        </w:tc>
        <w:tc>
          <w:tcPr>
            <w:tcW w:w="5680" w:type="dxa"/>
            <w:vAlign w:val="bottom"/>
            <w:tcBorders>
              <w:right w:val="single" w:sz="8" w:color="3F000B"/>
            </w:tcBorders>
            <w:vMerge w:val="continue"/>
            <w:shd w:val="clear" w:color="auto" w:fill="DADADA"/>
          </w:tcPr>
          <w:p>
            <w:pPr>
              <w:spacing w:after="0"/>
              <w:rPr>
                <w:sz w:val="3"/>
                <w:szCs w:val="3"/>
                <w:color w:val="auto"/>
              </w:rPr>
            </w:pPr>
          </w:p>
        </w:tc>
        <w:tc>
          <w:tcPr>
            <w:tcW w:w="1520" w:type="dxa"/>
            <w:vAlign w:val="bottom"/>
            <w:tcBorders>
              <w:right w:val="single" w:sz="8" w:color="3F000B"/>
            </w:tcBorders>
            <w:shd w:val="clear" w:color="auto" w:fill="DADADA"/>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tcBorders>
              <w:left w:val="single" w:sz="8" w:color="3F000B"/>
              <w:bottom w:val="single" w:sz="8" w:color="3F000B"/>
              <w:right w:val="single" w:sz="8" w:color="3F000B"/>
            </w:tcBorders>
            <w:shd w:val="clear" w:color="auto" w:fill="DADADA"/>
          </w:tcPr>
          <w:p>
            <w:pPr>
              <w:spacing w:after="0"/>
              <w:rPr>
                <w:sz w:val="18"/>
                <w:szCs w:val="18"/>
                <w:color w:val="auto"/>
              </w:rPr>
            </w:pPr>
          </w:p>
        </w:tc>
        <w:tc>
          <w:tcPr>
            <w:tcW w:w="5680" w:type="dxa"/>
            <w:vAlign w:val="bottom"/>
            <w:tcBorders>
              <w:bottom w:val="single" w:sz="8" w:color="3F000B"/>
              <w:right w:val="single" w:sz="8" w:color="3F000B"/>
            </w:tcBorders>
            <w:shd w:val="clear" w:color="auto" w:fill="DADADA"/>
          </w:tcPr>
          <w:p>
            <w:pPr>
              <w:spacing w:after="0"/>
              <w:rPr>
                <w:sz w:val="20"/>
                <w:szCs w:val="20"/>
                <w:color w:val="auto"/>
              </w:rPr>
            </w:pPr>
            <w:r>
              <w:rPr>
                <w:rFonts w:ascii="Arial" w:cs="Arial" w:eastAsia="Arial" w:hAnsi="Arial"/>
                <w:sz w:val="16"/>
                <w:szCs w:val="16"/>
                <w:color w:val="auto"/>
              </w:rPr>
              <w:t>management of a major organization</w:t>
            </w:r>
          </w:p>
        </w:tc>
        <w:tc>
          <w:tcPr>
            <w:tcW w:w="1520" w:type="dxa"/>
            <w:vAlign w:val="bottom"/>
            <w:tcBorders>
              <w:bottom w:val="single" w:sz="8" w:color="3F000B"/>
              <w:right w:val="single" w:sz="8" w:color="3F000B"/>
            </w:tcBorders>
            <w:shd w:val="clear" w:color="auto" w:fill="DADADA"/>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6"/>
                <w:szCs w:val="16"/>
                <w:color w:val="auto"/>
              </w:rPr>
              <w:t>Mergers &amp; Acquisitions (“M&amp;A”)</w:t>
            </w:r>
          </w:p>
        </w:tc>
        <w:tc>
          <w:tcPr>
            <w:tcW w:w="5680" w:type="dxa"/>
            <w:vAlign w:val="bottom"/>
            <w:tcBorders>
              <w:right w:val="single" w:sz="8" w:color="3F000B"/>
            </w:tcBorders>
          </w:tcPr>
          <w:p>
            <w:pPr>
              <w:spacing w:after="0" w:line="162" w:lineRule="exact"/>
              <w:rPr>
                <w:sz w:val="20"/>
                <w:szCs w:val="20"/>
                <w:color w:val="auto"/>
              </w:rPr>
            </w:pPr>
            <w:r>
              <w:rPr>
                <w:rFonts w:ascii="Arial" w:cs="Arial" w:eastAsia="Arial" w:hAnsi="Arial"/>
                <w:sz w:val="16"/>
                <w:szCs w:val="16"/>
                <w:color w:val="auto"/>
                <w:w w:val="98"/>
              </w:rPr>
              <w:t>Experience sourcing, negotiating and integrating complex M&amp;A deals, either as a</w:t>
            </w:r>
          </w:p>
        </w:tc>
        <w:tc>
          <w:tcPr>
            <w:tcW w:w="1520" w:type="dxa"/>
            <w:vAlign w:val="bottom"/>
            <w:tcBorders>
              <w:right w:val="single" w:sz="8" w:color="3F000B"/>
            </w:tcBorders>
            <w:vMerge w:val="restart"/>
          </w:tcPr>
          <w:p>
            <w:pPr>
              <w:jc w:val="center"/>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125"/>
        </w:trPr>
        <w:tc>
          <w:tcPr>
            <w:tcW w:w="4060" w:type="dxa"/>
            <w:vAlign w:val="bottom"/>
            <w:tcBorders>
              <w:left w:val="single" w:sz="8" w:color="3F000B"/>
              <w:right w:val="single" w:sz="8" w:color="3F000B"/>
            </w:tcBorders>
            <w:vMerge w:val="continue"/>
          </w:tcPr>
          <w:p>
            <w:pPr>
              <w:spacing w:after="0"/>
              <w:rPr>
                <w:sz w:val="10"/>
                <w:szCs w:val="10"/>
                <w:color w:val="auto"/>
              </w:rPr>
            </w:pPr>
          </w:p>
        </w:tc>
        <w:tc>
          <w:tcPr>
            <w:tcW w:w="5680" w:type="dxa"/>
            <w:vAlign w:val="bottom"/>
            <w:tcBorders>
              <w:right w:val="single" w:sz="8" w:color="3F000B"/>
            </w:tcBorders>
            <w:vMerge w:val="restart"/>
          </w:tcPr>
          <w:p>
            <w:pPr>
              <w:spacing w:after="0"/>
              <w:rPr>
                <w:sz w:val="20"/>
                <w:szCs w:val="20"/>
                <w:color w:val="auto"/>
              </w:rPr>
            </w:pPr>
            <w:r>
              <w:rPr>
                <w:rFonts w:ascii="Arial" w:cs="Arial" w:eastAsia="Arial" w:hAnsi="Arial"/>
                <w:sz w:val="16"/>
                <w:szCs w:val="16"/>
                <w:color w:val="auto"/>
                <w:w w:val="97"/>
              </w:rPr>
              <w:t>senior operating executive or an investment banking or private equity professional</w:t>
            </w:r>
          </w:p>
        </w:tc>
        <w:tc>
          <w:tcPr>
            <w:tcW w:w="1520" w:type="dxa"/>
            <w:vAlign w:val="bottom"/>
            <w:tcBorders>
              <w:right w:val="single" w:sz="8" w:color="3F000B"/>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60" w:type="dxa"/>
            <w:vAlign w:val="bottom"/>
            <w:tcBorders>
              <w:left w:val="single" w:sz="8" w:color="3F000B"/>
              <w:bottom w:val="single" w:sz="8" w:color="3F000B"/>
              <w:right w:val="single" w:sz="8" w:color="3F000B"/>
            </w:tcBorders>
          </w:tcPr>
          <w:p>
            <w:pPr>
              <w:spacing w:after="0"/>
              <w:rPr>
                <w:sz w:val="7"/>
                <w:szCs w:val="7"/>
                <w:color w:val="auto"/>
              </w:rPr>
            </w:pPr>
          </w:p>
        </w:tc>
        <w:tc>
          <w:tcPr>
            <w:tcW w:w="5680" w:type="dxa"/>
            <w:vAlign w:val="bottom"/>
            <w:tcBorders>
              <w:bottom w:val="single" w:sz="8" w:color="3F000B"/>
              <w:right w:val="single" w:sz="8" w:color="3F000B"/>
            </w:tcBorders>
            <w:vMerge w:val="continue"/>
          </w:tcPr>
          <w:p>
            <w:pPr>
              <w:spacing w:after="0"/>
              <w:rPr>
                <w:sz w:val="7"/>
                <w:szCs w:val="7"/>
                <w:color w:val="auto"/>
              </w:rPr>
            </w:pPr>
          </w:p>
        </w:tc>
        <w:tc>
          <w:tcPr>
            <w:tcW w:w="1520" w:type="dxa"/>
            <w:vAlign w:val="bottom"/>
            <w:tcBorders>
              <w:bottom w:val="single" w:sz="8" w:color="3F000B"/>
              <w:right w:val="single" w:sz="8" w:color="3F000B"/>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shd w:val="clear" w:color="auto" w:fill="DADADA"/>
          </w:tcPr>
          <w:p>
            <w:pPr>
              <w:spacing w:after="0"/>
              <w:rPr>
                <w:sz w:val="14"/>
                <w:szCs w:val="14"/>
                <w:color w:val="auto"/>
              </w:rPr>
            </w:pP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2"/>
              </w:rPr>
              <w:t>Recent leadership experience implementing new technologies to drive efficiencies and</w:t>
            </w:r>
          </w:p>
        </w:tc>
        <w:tc>
          <w:tcPr>
            <w:tcW w:w="1520" w:type="dxa"/>
            <w:vAlign w:val="bottom"/>
            <w:tcBorders>
              <w:right w:val="single" w:sz="8" w:color="3F000B"/>
            </w:tcBorders>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shd w:val="clear" w:color="auto" w:fill="DADADA"/>
          </w:tcPr>
          <w:p>
            <w:pPr>
              <w:ind w:left="80"/>
              <w:spacing w:after="0"/>
              <w:rPr>
                <w:sz w:val="20"/>
                <w:szCs w:val="20"/>
                <w:color w:val="auto"/>
              </w:rPr>
            </w:pPr>
            <w:r>
              <w:rPr>
                <w:rFonts w:ascii="Arial" w:cs="Arial" w:eastAsia="Arial" w:hAnsi="Arial"/>
                <w:sz w:val="16"/>
                <w:szCs w:val="16"/>
                <w:color w:val="auto"/>
              </w:rPr>
              <w:t>Technology</w:t>
            </w: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3"/>
              </w:rPr>
              <w:t>deliver commercial advantage; significant experience with data analytics or enterprise</w:t>
            </w:r>
          </w:p>
        </w:tc>
        <w:tc>
          <w:tcPr>
            <w:tcW w:w="152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6"/>
                <w:szCs w:val="16"/>
                <w:color w:val="auto"/>
                <w:w w:val="93"/>
              </w:rPr>
              <w:t>42%</w:t>
            </w: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continue"/>
            <w:shd w:val="clear" w:color="auto" w:fill="DADADA"/>
          </w:tcPr>
          <w:p>
            <w:pPr>
              <w:spacing w:after="0"/>
              <w:rPr>
                <w:sz w:val="14"/>
                <w:szCs w:val="14"/>
                <w:color w:val="auto"/>
              </w:rPr>
            </w:pP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6"/>
              </w:rPr>
              <w:t>digital transformation and ability to drive unique insights that lead to better strategic</w:t>
            </w:r>
          </w:p>
        </w:tc>
        <w:tc>
          <w:tcPr>
            <w:tcW w:w="1520" w:type="dxa"/>
            <w:vAlign w:val="bottom"/>
            <w:tcBorders>
              <w:right w:val="single" w:sz="8" w:color="3F000B"/>
            </w:tcBorders>
            <w:vMerge w:val="continue"/>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shd w:val="clear" w:color="auto" w:fill="DADADA"/>
          </w:tcPr>
          <w:p>
            <w:pPr>
              <w:spacing w:after="0"/>
              <w:rPr>
                <w:sz w:val="14"/>
                <w:szCs w:val="14"/>
                <w:color w:val="auto"/>
              </w:rPr>
            </w:pP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2"/>
              </w:rPr>
              <w:t>decisions and actions; senior leadership in a digital marketing organization or business</w:t>
            </w:r>
          </w:p>
        </w:tc>
        <w:tc>
          <w:tcPr>
            <w:tcW w:w="1520" w:type="dxa"/>
            <w:vAlign w:val="bottom"/>
            <w:tcBorders>
              <w:right w:val="single" w:sz="8" w:color="3F000B"/>
            </w:tcBorders>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3F000B"/>
              <w:bottom w:val="single" w:sz="8" w:color="3F000B"/>
              <w:right w:val="single" w:sz="8" w:color="3F000B"/>
            </w:tcBorders>
            <w:shd w:val="clear" w:color="auto" w:fill="DADADA"/>
          </w:tcPr>
          <w:p>
            <w:pPr>
              <w:spacing w:after="0"/>
              <w:rPr>
                <w:sz w:val="18"/>
                <w:szCs w:val="18"/>
                <w:color w:val="auto"/>
              </w:rPr>
            </w:pPr>
          </w:p>
        </w:tc>
        <w:tc>
          <w:tcPr>
            <w:tcW w:w="5680" w:type="dxa"/>
            <w:vAlign w:val="bottom"/>
            <w:tcBorders>
              <w:bottom w:val="single" w:sz="8" w:color="3F000B"/>
              <w:right w:val="single" w:sz="8" w:color="3F000B"/>
            </w:tcBorders>
            <w:shd w:val="clear" w:color="auto" w:fill="DADADA"/>
          </w:tcPr>
          <w:p>
            <w:pPr>
              <w:spacing w:after="0"/>
              <w:rPr>
                <w:sz w:val="20"/>
                <w:szCs w:val="20"/>
                <w:color w:val="auto"/>
              </w:rPr>
            </w:pPr>
            <w:r>
              <w:rPr>
                <w:rFonts w:ascii="Arial" w:cs="Arial" w:eastAsia="Arial" w:hAnsi="Arial"/>
                <w:sz w:val="16"/>
                <w:szCs w:val="16"/>
                <w:color w:val="auto"/>
              </w:rPr>
              <w:t>unit</w:t>
            </w:r>
          </w:p>
        </w:tc>
        <w:tc>
          <w:tcPr>
            <w:tcW w:w="1520" w:type="dxa"/>
            <w:vAlign w:val="bottom"/>
            <w:tcBorders>
              <w:bottom w:val="single" w:sz="8" w:color="3F000B"/>
              <w:right w:val="single" w:sz="8" w:color="3F000B"/>
            </w:tcBorders>
            <w:shd w:val="clear" w:color="auto" w:fill="DADADA"/>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6"/>
                <w:szCs w:val="16"/>
                <w:color w:val="auto"/>
              </w:rPr>
              <w:t>Government Relations/Regulatory</w:t>
            </w:r>
          </w:p>
        </w:tc>
        <w:tc>
          <w:tcPr>
            <w:tcW w:w="5680" w:type="dxa"/>
            <w:vAlign w:val="bottom"/>
            <w:tcBorders>
              <w:right w:val="single" w:sz="8" w:color="3F000B"/>
            </w:tcBorders>
          </w:tcPr>
          <w:p>
            <w:pPr>
              <w:spacing w:after="0" w:line="162" w:lineRule="exact"/>
              <w:rPr>
                <w:sz w:val="20"/>
                <w:szCs w:val="20"/>
                <w:color w:val="auto"/>
              </w:rPr>
            </w:pPr>
            <w:r>
              <w:rPr>
                <w:rFonts w:ascii="Arial" w:cs="Arial" w:eastAsia="Arial" w:hAnsi="Arial"/>
                <w:sz w:val="16"/>
                <w:szCs w:val="16"/>
                <w:color w:val="auto"/>
              </w:rPr>
              <w:t>Experience in a government capacity at the state or federal level and/or senior</w:t>
            </w:r>
          </w:p>
        </w:tc>
        <w:tc>
          <w:tcPr>
            <w:tcW w:w="1520" w:type="dxa"/>
            <w:vAlign w:val="bottom"/>
            <w:tcBorders>
              <w:right w:val="single" w:sz="8" w:color="3F000B"/>
            </w:tcBorders>
            <w:vMerge w:val="restart"/>
          </w:tcPr>
          <w:p>
            <w:pPr>
              <w:jc w:val="center"/>
              <w:spacing w:after="0"/>
              <w:rPr>
                <w:sz w:val="20"/>
                <w:szCs w:val="20"/>
                <w:color w:val="auto"/>
              </w:rPr>
            </w:pPr>
            <w:r>
              <w:rPr>
                <w:rFonts w:ascii="Arial" w:cs="Arial" w:eastAsia="Arial" w:hAnsi="Arial"/>
                <w:sz w:val="16"/>
                <w:szCs w:val="16"/>
                <w:color w:val="auto"/>
                <w:w w:val="93"/>
              </w:rPr>
              <w:t>33%</w:t>
            </w:r>
          </w:p>
        </w:tc>
        <w:tc>
          <w:tcPr>
            <w:tcW w:w="0" w:type="dxa"/>
            <w:vAlign w:val="bottom"/>
          </w:tcPr>
          <w:p>
            <w:pPr>
              <w:spacing w:after="0"/>
              <w:rPr>
                <w:sz w:val="1"/>
                <w:szCs w:val="1"/>
                <w:color w:val="auto"/>
              </w:rPr>
            </w:pPr>
          </w:p>
        </w:tc>
      </w:tr>
      <w:tr>
        <w:trPr>
          <w:trHeight w:val="125"/>
        </w:trPr>
        <w:tc>
          <w:tcPr>
            <w:tcW w:w="4060" w:type="dxa"/>
            <w:vAlign w:val="bottom"/>
            <w:tcBorders>
              <w:left w:val="single" w:sz="8" w:color="3F000B"/>
              <w:right w:val="single" w:sz="8" w:color="3F000B"/>
            </w:tcBorders>
            <w:vMerge w:val="continue"/>
          </w:tcPr>
          <w:p>
            <w:pPr>
              <w:spacing w:after="0"/>
              <w:rPr>
                <w:sz w:val="10"/>
                <w:szCs w:val="10"/>
                <w:color w:val="auto"/>
              </w:rPr>
            </w:pPr>
          </w:p>
        </w:tc>
        <w:tc>
          <w:tcPr>
            <w:tcW w:w="5680" w:type="dxa"/>
            <w:vAlign w:val="bottom"/>
            <w:tcBorders>
              <w:right w:val="single" w:sz="8" w:color="3F000B"/>
            </w:tcBorders>
            <w:vMerge w:val="restart"/>
          </w:tcPr>
          <w:p>
            <w:pPr>
              <w:spacing w:after="0"/>
              <w:rPr>
                <w:sz w:val="20"/>
                <w:szCs w:val="20"/>
                <w:color w:val="auto"/>
              </w:rPr>
            </w:pPr>
            <w:r>
              <w:rPr>
                <w:rFonts w:ascii="Arial" w:cs="Arial" w:eastAsia="Arial" w:hAnsi="Arial"/>
                <w:sz w:val="16"/>
                <w:szCs w:val="16"/>
                <w:color w:val="auto"/>
              </w:rPr>
              <w:t>executive experience within legal, regulatory or other policy-making functions</w:t>
            </w:r>
          </w:p>
        </w:tc>
        <w:tc>
          <w:tcPr>
            <w:tcW w:w="1520" w:type="dxa"/>
            <w:vAlign w:val="bottom"/>
            <w:tcBorders>
              <w:right w:val="single" w:sz="8" w:color="3F000B"/>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60" w:type="dxa"/>
            <w:vAlign w:val="bottom"/>
            <w:tcBorders>
              <w:left w:val="single" w:sz="8" w:color="3F000B"/>
              <w:bottom w:val="single" w:sz="8" w:color="3F000B"/>
              <w:right w:val="single" w:sz="8" w:color="3F000B"/>
            </w:tcBorders>
          </w:tcPr>
          <w:p>
            <w:pPr>
              <w:spacing w:after="0"/>
              <w:rPr>
                <w:sz w:val="7"/>
                <w:szCs w:val="7"/>
                <w:color w:val="auto"/>
              </w:rPr>
            </w:pPr>
          </w:p>
        </w:tc>
        <w:tc>
          <w:tcPr>
            <w:tcW w:w="5680" w:type="dxa"/>
            <w:vAlign w:val="bottom"/>
            <w:tcBorders>
              <w:bottom w:val="single" w:sz="8" w:color="3F000B"/>
              <w:right w:val="single" w:sz="8" w:color="3F000B"/>
            </w:tcBorders>
            <w:vMerge w:val="continue"/>
          </w:tcPr>
          <w:p>
            <w:pPr>
              <w:spacing w:after="0"/>
              <w:rPr>
                <w:sz w:val="7"/>
                <w:szCs w:val="7"/>
                <w:color w:val="auto"/>
              </w:rPr>
            </w:pPr>
          </w:p>
        </w:tc>
        <w:tc>
          <w:tcPr>
            <w:tcW w:w="1520" w:type="dxa"/>
            <w:vAlign w:val="bottom"/>
            <w:tcBorders>
              <w:bottom w:val="single" w:sz="8" w:color="3F000B"/>
              <w:right w:val="single" w:sz="8" w:color="3F000B"/>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restart"/>
            <w:shd w:val="clear" w:color="auto" w:fill="DADADA"/>
          </w:tcPr>
          <w:p>
            <w:pPr>
              <w:ind w:left="40"/>
              <w:spacing w:after="0"/>
              <w:rPr>
                <w:sz w:val="20"/>
                <w:szCs w:val="20"/>
                <w:color w:val="auto"/>
              </w:rPr>
            </w:pPr>
            <w:r>
              <w:rPr>
                <w:rFonts w:ascii="Arial" w:cs="Arial" w:eastAsia="Arial" w:hAnsi="Arial"/>
                <w:sz w:val="16"/>
                <w:szCs w:val="16"/>
                <w:color w:val="auto"/>
              </w:rPr>
              <w:t>Supply Chain</w:t>
            </w: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w w:val="93"/>
              </w:rPr>
              <w:t>Experience at a senior level managing or overseeing global supply chain strategy and</w:t>
            </w:r>
          </w:p>
        </w:tc>
        <w:tc>
          <w:tcPr>
            <w:tcW w:w="152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6"/>
                <w:szCs w:val="16"/>
                <w:color w:val="auto"/>
                <w:w w:val="93"/>
              </w:rPr>
              <w:t>33%</w:t>
            </w:r>
          </w:p>
        </w:tc>
        <w:tc>
          <w:tcPr>
            <w:tcW w:w="0" w:type="dxa"/>
            <w:vAlign w:val="bottom"/>
          </w:tcPr>
          <w:p>
            <w:pPr>
              <w:spacing w:after="0"/>
              <w:rPr>
                <w:sz w:val="1"/>
                <w:szCs w:val="1"/>
                <w:color w:val="auto"/>
              </w:rPr>
            </w:pPr>
          </w:p>
        </w:tc>
      </w:tr>
      <w:tr>
        <w:trPr>
          <w:trHeight w:val="162"/>
        </w:trPr>
        <w:tc>
          <w:tcPr>
            <w:tcW w:w="4060" w:type="dxa"/>
            <w:vAlign w:val="bottom"/>
            <w:tcBorders>
              <w:left w:val="single" w:sz="8" w:color="3F000B"/>
              <w:right w:val="single" w:sz="8" w:color="3F000B"/>
            </w:tcBorders>
            <w:vMerge w:val="continue"/>
            <w:shd w:val="clear" w:color="auto" w:fill="DADADA"/>
          </w:tcPr>
          <w:p>
            <w:pPr>
              <w:spacing w:after="0"/>
              <w:rPr>
                <w:sz w:val="14"/>
                <w:szCs w:val="14"/>
                <w:color w:val="auto"/>
              </w:rPr>
            </w:pPr>
          </w:p>
        </w:tc>
        <w:tc>
          <w:tcPr>
            <w:tcW w:w="5680" w:type="dxa"/>
            <w:vAlign w:val="bottom"/>
            <w:tcBorders>
              <w:right w:val="single" w:sz="8" w:color="3F000B"/>
            </w:tcBorders>
            <w:shd w:val="clear" w:color="auto" w:fill="DADADA"/>
          </w:tcPr>
          <w:p>
            <w:pPr>
              <w:spacing w:after="0" w:line="162" w:lineRule="exact"/>
              <w:rPr>
                <w:sz w:val="20"/>
                <w:szCs w:val="20"/>
                <w:color w:val="auto"/>
              </w:rPr>
            </w:pPr>
            <w:r>
              <w:rPr>
                <w:rFonts w:ascii="Arial" w:cs="Arial" w:eastAsia="Arial" w:hAnsi="Arial"/>
                <w:sz w:val="16"/>
                <w:szCs w:val="16"/>
                <w:color w:val="auto"/>
              </w:rPr>
              <w:t>execution for a major corporation, including responsibility for demand planning,</w:t>
            </w:r>
          </w:p>
        </w:tc>
        <w:tc>
          <w:tcPr>
            <w:tcW w:w="1520" w:type="dxa"/>
            <w:vAlign w:val="bottom"/>
            <w:tcBorders>
              <w:right w:val="single" w:sz="8" w:color="3F000B"/>
            </w:tcBorders>
            <w:vMerge w:val="continue"/>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tcBorders>
              <w:left w:val="single" w:sz="8" w:color="3F000B"/>
              <w:bottom w:val="single" w:sz="8" w:color="3F000B"/>
              <w:right w:val="single" w:sz="8" w:color="3F000B"/>
            </w:tcBorders>
            <w:shd w:val="clear" w:color="auto" w:fill="DADADA"/>
          </w:tcPr>
          <w:p>
            <w:pPr>
              <w:spacing w:after="0"/>
              <w:rPr>
                <w:sz w:val="18"/>
                <w:szCs w:val="18"/>
                <w:color w:val="auto"/>
              </w:rPr>
            </w:pPr>
          </w:p>
        </w:tc>
        <w:tc>
          <w:tcPr>
            <w:tcW w:w="5680" w:type="dxa"/>
            <w:vAlign w:val="bottom"/>
            <w:tcBorders>
              <w:bottom w:val="single" w:sz="8" w:color="3F000B"/>
              <w:right w:val="single" w:sz="8" w:color="3F000B"/>
            </w:tcBorders>
            <w:shd w:val="clear" w:color="auto" w:fill="DADADA"/>
          </w:tcPr>
          <w:p>
            <w:pPr>
              <w:spacing w:after="0"/>
              <w:rPr>
                <w:sz w:val="20"/>
                <w:szCs w:val="20"/>
                <w:color w:val="auto"/>
              </w:rPr>
            </w:pPr>
            <w:r>
              <w:rPr>
                <w:rFonts w:ascii="Arial" w:cs="Arial" w:eastAsia="Arial" w:hAnsi="Arial"/>
                <w:sz w:val="16"/>
                <w:szCs w:val="16"/>
                <w:color w:val="auto"/>
              </w:rPr>
              <w:t>procurement/sourcing, shipping, warehousing and logistics management</w:t>
            </w:r>
          </w:p>
        </w:tc>
        <w:tc>
          <w:tcPr>
            <w:tcW w:w="1520" w:type="dxa"/>
            <w:vAlign w:val="bottom"/>
            <w:tcBorders>
              <w:bottom w:val="single" w:sz="8" w:color="3F000B"/>
              <w:right w:val="single" w:sz="8" w:color="3F000B"/>
            </w:tcBorders>
            <w:shd w:val="clear" w:color="auto" w:fill="DADADA"/>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description of the most relevant experiences, skills and attributes that qualify each director nominee to serve as a member of the Board is included in his or her biography.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1003" w:right="31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25"/>
          <w:szCs w:val="25"/>
          <w:b w:val="1"/>
          <w:bCs w:val="1"/>
          <w:color w:val="3F000B"/>
        </w:rPr>
        <w:t>MEETINGS AND COMMITTEES OF THE BOARD</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Meetings of the Board of Directors and Director Attendance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194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9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Board held 12 meetings in 2020. Each incumbent director attended at least 92% of all of the meetings of the Board and committees of the Board on which he or she served in 2020. Average director attendance for all meetings equaled 98%.</w:t>
      </w:r>
    </w:p>
    <w:p>
      <w:pPr>
        <w:spacing w:after="0" w:line="11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the independent directors meet regularly in executive session at every Board meeting and at other times as the independent directors deem necessary. These meetings allow the independent directors to discuss important issues, including the business and affairs of the Company as well as matters concerning management, without any member of management present. Each executive session is chaired by the Lead Independent Director. In the absence of the Lead Independent Director, executive sessions are chaired by an independent director assigned on a rotating basis. Members of the Audit Committee, Compensation Committee, Finance and Risk Management Committee, and Governance Committee also meet regularly in executive session.</w:t>
      </w:r>
    </w:p>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Directors are expected to attend our annual meetings of stockholders. Eleven of the twelve directors standing for election at the 2020 Annual Meeting of Stockholders of the Company attended the virtual meeting.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1121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213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Board has established five standing committees. Membership on each of these committees, as of March 18, 2021, is shown in the following chart:</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360" w:type="dxa"/>
            <w:vAlign w:val="bottom"/>
            <w:tcBorders>
              <w:top w:val="single" w:sz="8" w:color="3F000B"/>
              <w:left w:val="single" w:sz="8" w:color="3F000B"/>
              <w:right w:val="single" w:sz="8" w:color="DADADA"/>
            </w:tcBorders>
            <w:shd w:val="clear" w:color="auto" w:fill="3F000B"/>
          </w:tcPr>
          <w:p>
            <w:pPr>
              <w:spacing w:after="0"/>
              <w:rPr>
                <w:sz w:val="16"/>
                <w:szCs w:val="16"/>
                <w:color w:val="auto"/>
              </w:rPr>
            </w:pPr>
          </w:p>
        </w:tc>
        <w:tc>
          <w:tcPr>
            <w:tcW w:w="1660" w:type="dxa"/>
            <w:vAlign w:val="bottom"/>
            <w:tcBorders>
              <w:top w:val="single" w:sz="8" w:color="3F000B"/>
              <w:right w:val="single" w:sz="8" w:color="DADADA"/>
            </w:tcBorders>
            <w:shd w:val="clear" w:color="auto" w:fill="3F000B"/>
          </w:tcPr>
          <w:p>
            <w:pPr>
              <w:spacing w:after="0"/>
              <w:rPr>
                <w:sz w:val="16"/>
                <w:szCs w:val="16"/>
                <w:color w:val="auto"/>
              </w:rPr>
            </w:pPr>
          </w:p>
        </w:tc>
        <w:tc>
          <w:tcPr>
            <w:tcW w:w="1660" w:type="dxa"/>
            <w:vAlign w:val="bottom"/>
            <w:tcBorders>
              <w:top w:val="single" w:sz="8" w:color="3F000B"/>
              <w:right w:val="single" w:sz="8" w:color="DADADA"/>
            </w:tcBorders>
            <w:shd w:val="clear" w:color="auto" w:fill="3F000B"/>
          </w:tcPr>
          <w:p>
            <w:pPr>
              <w:jc w:val="center"/>
              <w:spacing w:after="0" w:line="189" w:lineRule="exact"/>
              <w:rPr>
                <w:sz w:val="20"/>
                <w:szCs w:val="20"/>
                <w:color w:val="auto"/>
              </w:rPr>
            </w:pPr>
            <w:r>
              <w:rPr>
                <w:rFonts w:ascii="Arial" w:cs="Arial" w:eastAsia="Arial" w:hAnsi="Arial"/>
                <w:sz w:val="18"/>
                <w:szCs w:val="18"/>
                <w:b w:val="1"/>
                <w:bCs w:val="1"/>
                <w:color w:val="FFFFFF"/>
                <w:w w:val="88"/>
              </w:rPr>
              <w:t>Compensation and</w:t>
            </w:r>
          </w:p>
        </w:tc>
        <w:tc>
          <w:tcPr>
            <w:tcW w:w="1920" w:type="dxa"/>
            <w:vAlign w:val="bottom"/>
            <w:tcBorders>
              <w:top w:val="single" w:sz="8" w:color="3F000B"/>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Finance and Risk</w:t>
            </w:r>
          </w:p>
        </w:tc>
        <w:tc>
          <w:tcPr>
            <w:tcW w:w="1680" w:type="dxa"/>
            <w:vAlign w:val="bottom"/>
            <w:tcBorders>
              <w:top w:val="single" w:sz="8" w:color="3F000B"/>
              <w:right w:val="single" w:sz="8" w:color="3F000B"/>
            </w:tcBorders>
            <w:shd w:val="clear" w:color="auto" w:fill="3F000B"/>
          </w:tcPr>
          <w:p>
            <w:pPr>
              <w:spacing w:after="0"/>
              <w:rPr>
                <w:sz w:val="16"/>
                <w:szCs w:val="16"/>
                <w:color w:val="auto"/>
              </w:rPr>
            </w:pPr>
          </w:p>
        </w:tc>
        <w:tc>
          <w:tcPr>
            <w:tcW w:w="1780" w:type="dxa"/>
            <w:vAlign w:val="bottom"/>
            <w:tcBorders>
              <w:top w:val="single" w:sz="8" w:color="3F000B"/>
              <w:right w:val="single" w:sz="8" w:color="3F000B"/>
            </w:tcBorders>
            <w:shd w:val="clear" w:color="auto" w:fill="3F000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60" w:type="dxa"/>
            <w:vAlign w:val="bottom"/>
            <w:tcBorders>
              <w:left w:val="single" w:sz="8" w:color="3F000B"/>
              <w:right w:val="single" w:sz="8" w:color="DADADA"/>
            </w:tcBorders>
            <w:shd w:val="clear" w:color="auto" w:fill="3F000B"/>
          </w:tcPr>
          <w:p>
            <w:pPr>
              <w:spacing w:after="0"/>
              <w:rPr>
                <w:sz w:val="15"/>
                <w:szCs w:val="15"/>
                <w:color w:val="auto"/>
              </w:rPr>
            </w:pPr>
          </w:p>
        </w:tc>
        <w:tc>
          <w:tcPr>
            <w:tcW w:w="1660" w:type="dxa"/>
            <w:vAlign w:val="bottom"/>
            <w:tcBorders>
              <w:right w:val="single" w:sz="8" w:color="DADADA"/>
            </w:tcBorders>
            <w:vMerge w:val="restart"/>
            <w:shd w:val="clear" w:color="auto" w:fill="3F000B"/>
          </w:tcPr>
          <w:p>
            <w:pPr>
              <w:ind w:left="600"/>
              <w:spacing w:after="0"/>
              <w:rPr>
                <w:sz w:val="20"/>
                <w:szCs w:val="20"/>
                <w:color w:val="auto"/>
              </w:rPr>
            </w:pPr>
            <w:r>
              <w:rPr>
                <w:rFonts w:ascii="Arial" w:cs="Arial" w:eastAsia="Arial" w:hAnsi="Arial"/>
                <w:sz w:val="18"/>
                <w:szCs w:val="18"/>
                <w:b w:val="1"/>
                <w:bCs w:val="1"/>
                <w:color w:val="FFFFFF"/>
              </w:rPr>
              <w:t>Audit</w:t>
            </w:r>
          </w:p>
        </w:tc>
        <w:tc>
          <w:tcPr>
            <w:tcW w:w="1660" w:type="dxa"/>
            <w:vAlign w:val="bottom"/>
            <w:tcBorders>
              <w:right w:val="single" w:sz="8" w:color="DADADA"/>
            </w:tcBorders>
            <w:shd w:val="clear" w:color="auto" w:fill="3F000B"/>
          </w:tcPr>
          <w:p>
            <w:pPr>
              <w:jc w:val="center"/>
              <w:spacing w:after="0" w:line="176" w:lineRule="exact"/>
              <w:rPr>
                <w:sz w:val="20"/>
                <w:szCs w:val="20"/>
                <w:color w:val="auto"/>
              </w:rPr>
            </w:pPr>
            <w:r>
              <w:rPr>
                <w:rFonts w:ascii="Arial" w:cs="Arial" w:eastAsia="Arial" w:hAnsi="Arial"/>
                <w:sz w:val="18"/>
                <w:szCs w:val="18"/>
                <w:b w:val="1"/>
                <w:bCs w:val="1"/>
                <w:color w:val="FFFFFF"/>
                <w:w w:val="87"/>
              </w:rPr>
              <w:t>Executive</w:t>
            </w:r>
          </w:p>
        </w:tc>
        <w:tc>
          <w:tcPr>
            <w:tcW w:w="1920" w:type="dxa"/>
            <w:vAlign w:val="bottom"/>
            <w:tcBorders>
              <w:right w:val="single" w:sz="8" w:color="3F000B"/>
            </w:tcBorders>
            <w:vMerge w:val="continue"/>
            <w:shd w:val="clear" w:color="auto" w:fill="3F000B"/>
          </w:tcPr>
          <w:p>
            <w:pPr>
              <w:spacing w:after="0"/>
              <w:rPr>
                <w:sz w:val="15"/>
                <w:szCs w:val="15"/>
                <w:color w:val="auto"/>
              </w:rPr>
            </w:pPr>
          </w:p>
        </w:tc>
        <w:tc>
          <w:tcPr>
            <w:tcW w:w="168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Governance</w:t>
            </w:r>
          </w:p>
        </w:tc>
        <w:tc>
          <w:tcPr>
            <w:tcW w:w="178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Executive</w:t>
            </w:r>
          </w:p>
        </w:tc>
        <w:tc>
          <w:tcPr>
            <w:tcW w:w="0" w:type="dxa"/>
            <w:vAlign w:val="bottom"/>
          </w:tcPr>
          <w:p>
            <w:pPr>
              <w:spacing w:after="0"/>
              <w:rPr>
                <w:sz w:val="1"/>
                <w:szCs w:val="1"/>
                <w:color w:val="auto"/>
              </w:rPr>
            </w:pPr>
          </w:p>
        </w:tc>
      </w:tr>
      <w:tr>
        <w:trPr>
          <w:trHeight w:val="243"/>
        </w:trPr>
        <w:tc>
          <w:tcPr>
            <w:tcW w:w="2360" w:type="dxa"/>
            <w:vAlign w:val="bottom"/>
            <w:tcBorders>
              <w:left w:val="single" w:sz="8" w:color="3F000B"/>
              <w:right w:val="single" w:sz="8" w:color="DADADA"/>
            </w:tcBorders>
            <w:shd w:val="clear" w:color="auto" w:fill="3F000B"/>
          </w:tcPr>
          <w:p>
            <w:pPr>
              <w:ind w:left="960"/>
              <w:spacing w:after="0"/>
              <w:rPr>
                <w:sz w:val="20"/>
                <w:szCs w:val="20"/>
                <w:color w:val="auto"/>
              </w:rPr>
            </w:pPr>
            <w:r>
              <w:rPr>
                <w:rFonts w:ascii="Arial" w:cs="Arial" w:eastAsia="Arial" w:hAnsi="Arial"/>
                <w:sz w:val="16"/>
                <w:szCs w:val="16"/>
                <w:b w:val="1"/>
                <w:bCs w:val="1"/>
                <w:color w:val="FFFFFF"/>
              </w:rPr>
              <w:t>Name</w:t>
            </w:r>
          </w:p>
        </w:tc>
        <w:tc>
          <w:tcPr>
            <w:tcW w:w="1660" w:type="dxa"/>
            <w:vAlign w:val="bottom"/>
            <w:tcBorders>
              <w:right w:val="single" w:sz="8" w:color="DADADA"/>
            </w:tcBorders>
            <w:vMerge w:val="continue"/>
            <w:shd w:val="clear" w:color="auto" w:fill="3F000B"/>
          </w:tcPr>
          <w:p>
            <w:pPr>
              <w:spacing w:after="0"/>
              <w:rPr>
                <w:sz w:val="21"/>
                <w:szCs w:val="21"/>
                <w:color w:val="auto"/>
              </w:rPr>
            </w:pPr>
          </w:p>
        </w:tc>
        <w:tc>
          <w:tcPr>
            <w:tcW w:w="16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Organization</w:t>
            </w:r>
          </w:p>
        </w:tc>
        <w:tc>
          <w:tcPr>
            <w:tcW w:w="19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Management</w:t>
            </w:r>
          </w:p>
        </w:tc>
        <w:tc>
          <w:tcPr>
            <w:tcW w:w="1680" w:type="dxa"/>
            <w:vAlign w:val="bottom"/>
            <w:tcBorders>
              <w:right w:val="single" w:sz="8" w:color="3F000B"/>
            </w:tcBorders>
            <w:vMerge w:val="continue"/>
            <w:shd w:val="clear" w:color="auto" w:fill="3F000B"/>
          </w:tcPr>
          <w:p>
            <w:pPr>
              <w:spacing w:after="0"/>
              <w:rPr>
                <w:sz w:val="21"/>
                <w:szCs w:val="21"/>
                <w:color w:val="auto"/>
              </w:rPr>
            </w:pPr>
          </w:p>
        </w:tc>
        <w:tc>
          <w:tcPr>
            <w:tcW w:w="1780" w:type="dxa"/>
            <w:vAlign w:val="bottom"/>
            <w:tcBorders>
              <w:right w:val="single" w:sz="8" w:color="3F000B"/>
            </w:tcBorders>
            <w:vMerge w:val="continue"/>
            <w:shd w:val="clear" w:color="auto" w:fill="3F000B"/>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Pamela M. Arway</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jc w:val="center"/>
              <w:spacing w:after="0"/>
              <w:rPr>
                <w:sz w:val="20"/>
                <w:szCs w:val="20"/>
                <w:color w:val="auto"/>
              </w:rPr>
            </w:pPr>
            <w:r>
              <w:rPr>
                <w:rFonts w:ascii="Arial" w:cs="Arial" w:eastAsia="Arial" w:hAnsi="Arial"/>
                <w:sz w:val="18"/>
                <w:szCs w:val="18"/>
                <w:color w:val="auto"/>
                <w:w w:val="92"/>
              </w:rPr>
              <w:t>Chair</w:t>
            </w: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James W. Brown</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Michele G. Buck</w:t>
            </w:r>
          </w:p>
        </w:tc>
        <w:tc>
          <w:tcPr>
            <w:tcW w:w="1660" w:type="dxa"/>
            <w:vAlign w:val="bottom"/>
            <w:tcBorders>
              <w:bottom w:val="single" w:sz="8" w:color="3F000B"/>
              <w:right w:val="single" w:sz="8" w:color="3F000B"/>
            </w:tcBorders>
          </w:tcPr>
          <w:p>
            <w:pPr>
              <w:spacing w:after="0"/>
              <w:rPr>
                <w:sz w:val="19"/>
                <w:szCs w:val="19"/>
                <w:color w:val="auto"/>
              </w:rPr>
            </w:pPr>
          </w:p>
        </w:tc>
        <w:tc>
          <w:tcPr>
            <w:tcW w:w="1660" w:type="dxa"/>
            <w:vAlign w:val="bottom"/>
            <w:tcBorders>
              <w:bottom w:val="single" w:sz="8" w:color="3F000B"/>
              <w:right w:val="single" w:sz="8" w:color="3F000B"/>
            </w:tcBorders>
          </w:tcPr>
          <w:p>
            <w:pPr>
              <w:spacing w:after="0"/>
              <w:rPr>
                <w:sz w:val="19"/>
                <w:szCs w:val="19"/>
                <w:color w:val="auto"/>
              </w:rPr>
            </w:pPr>
          </w:p>
        </w:tc>
        <w:tc>
          <w:tcPr>
            <w:tcW w:w="1920" w:type="dxa"/>
            <w:vAlign w:val="bottom"/>
            <w:tcBorders>
              <w:bottom w:val="single" w:sz="8" w:color="3F000B"/>
              <w:right w:val="single" w:sz="8" w:color="3F000B"/>
            </w:tcBorders>
          </w:tcPr>
          <w:p>
            <w:pPr>
              <w:spacing w:after="0"/>
              <w:rPr>
                <w:sz w:val="19"/>
                <w:szCs w:val="19"/>
                <w:color w:val="auto"/>
              </w:rPr>
            </w:pPr>
          </w:p>
        </w:tc>
        <w:tc>
          <w:tcPr>
            <w:tcW w:w="1680" w:type="dxa"/>
            <w:vAlign w:val="bottom"/>
            <w:tcBorders>
              <w:bottom w:val="single" w:sz="8" w:color="3F000B"/>
              <w:right w:val="single" w:sz="8" w:color="3F000B"/>
            </w:tcBorders>
          </w:tcPr>
          <w:p>
            <w:pPr>
              <w:spacing w:after="0"/>
              <w:rPr>
                <w:sz w:val="19"/>
                <w:szCs w:val="19"/>
                <w:color w:val="auto"/>
              </w:rPr>
            </w:pPr>
          </w:p>
        </w:tc>
        <w:tc>
          <w:tcPr>
            <w:tcW w:w="1780" w:type="dxa"/>
            <w:vAlign w:val="bottom"/>
            <w:tcBorders>
              <w:bottom w:val="single" w:sz="8" w:color="3F000B"/>
              <w:right w:val="single" w:sz="8" w:color="3F000B"/>
            </w:tcBorders>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Victor L. Crawford</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Charles A. Davis</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Robert M. Dutkowsky</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Mary Kay Haben</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jc w:val="center"/>
              <w:spacing w:after="0"/>
              <w:rPr>
                <w:sz w:val="20"/>
                <w:szCs w:val="20"/>
                <w:color w:val="auto"/>
              </w:rPr>
            </w:pPr>
            <w:r>
              <w:rPr>
                <w:rFonts w:ascii="Arial" w:cs="Arial" w:eastAsia="Arial" w:hAnsi="Arial"/>
                <w:sz w:val="18"/>
                <w:szCs w:val="18"/>
                <w:color w:val="auto"/>
                <w:w w:val="92"/>
              </w:rPr>
              <w:t>Chair</w:t>
            </w: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James C. Katzman</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 Diane Koken</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Robert M. Malcolm</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jc w:val="center"/>
              <w:spacing w:after="0"/>
              <w:rPr>
                <w:sz w:val="20"/>
                <w:szCs w:val="20"/>
                <w:color w:val="auto"/>
              </w:rPr>
            </w:pPr>
            <w:r>
              <w:rPr>
                <w:rFonts w:ascii="Arial" w:cs="Arial" w:eastAsia="Arial" w:hAnsi="Arial"/>
                <w:sz w:val="18"/>
                <w:szCs w:val="18"/>
                <w:color w:val="auto"/>
                <w:w w:val="92"/>
              </w:rPr>
              <w:t>Chair</w:t>
            </w: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Anthony J. Palmer</w:t>
            </w:r>
          </w:p>
        </w:tc>
        <w:tc>
          <w:tcPr>
            <w:tcW w:w="1660" w:type="dxa"/>
            <w:vAlign w:val="bottom"/>
            <w:tcBorders>
              <w:bottom w:val="single" w:sz="8" w:color="3F000B"/>
              <w:right w:val="single" w:sz="8" w:color="3F000B"/>
            </w:tcBorders>
          </w:tcPr>
          <w:p>
            <w:pPr>
              <w:jc w:val="right"/>
              <w:ind w:right="5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3F000B"/>
              <w:right w:val="single" w:sz="8" w:color="3F000B"/>
            </w:tcBorders>
          </w:tcPr>
          <w:p>
            <w:pPr>
              <w:jc w:val="right"/>
              <w:ind w:right="5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3F000B"/>
              <w:right w:val="single" w:sz="8" w:color="3F000B"/>
            </w:tcBorders>
          </w:tcPr>
          <w:p>
            <w:pPr>
              <w:jc w:val="right"/>
              <w:ind w:right="6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Juan R. Perez</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Wendy L. Schoppert</w:t>
            </w:r>
          </w:p>
        </w:tc>
        <w:tc>
          <w:tcPr>
            <w:tcW w:w="1660" w:type="dxa"/>
            <w:vAlign w:val="bottom"/>
            <w:tcBorders>
              <w:bottom w:val="single" w:sz="8" w:color="3F000B"/>
              <w:right w:val="single" w:sz="8" w:color="3F000B"/>
            </w:tcBorders>
          </w:tcPr>
          <w:p>
            <w:pPr>
              <w:spacing w:after="0"/>
              <w:rPr>
                <w:sz w:val="24"/>
                <w:szCs w:val="24"/>
                <w:color w:val="auto"/>
              </w:rPr>
            </w:pP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David L. Shedlarz</w:t>
            </w:r>
          </w:p>
        </w:tc>
        <w:tc>
          <w:tcPr>
            <w:tcW w:w="1660" w:type="dxa"/>
            <w:vAlign w:val="bottom"/>
            <w:tcBorders>
              <w:bottom w:val="single" w:sz="8" w:color="3F000B"/>
              <w:right w:val="single" w:sz="8" w:color="3F000B"/>
            </w:tcBorders>
          </w:tcPr>
          <w:p>
            <w:pPr>
              <w:ind w:left="620"/>
              <w:spacing w:after="0"/>
              <w:rPr>
                <w:sz w:val="20"/>
                <w:szCs w:val="20"/>
                <w:color w:val="auto"/>
              </w:rPr>
            </w:pPr>
            <w:r>
              <w:rPr>
                <w:rFonts w:ascii="Arial" w:cs="Arial" w:eastAsia="Arial" w:hAnsi="Arial"/>
                <w:sz w:val="18"/>
                <w:szCs w:val="18"/>
                <w:color w:val="auto"/>
              </w:rPr>
              <w:t>Chair</w:t>
            </w:r>
          </w:p>
        </w:tc>
        <w:tc>
          <w:tcPr>
            <w:tcW w:w="1660" w:type="dxa"/>
            <w:vAlign w:val="bottom"/>
            <w:tcBorders>
              <w:bottom w:val="single" w:sz="8" w:color="3F000B"/>
              <w:right w:val="single" w:sz="8" w:color="3F000B"/>
            </w:tcBorders>
          </w:tcPr>
          <w:p>
            <w:pPr>
              <w:spacing w:after="0"/>
              <w:rPr>
                <w:sz w:val="24"/>
                <w:szCs w:val="24"/>
                <w:color w:val="auto"/>
              </w:rPr>
            </w:pPr>
          </w:p>
        </w:tc>
        <w:tc>
          <w:tcPr>
            <w:tcW w:w="1920" w:type="dxa"/>
            <w:vAlign w:val="bottom"/>
            <w:tcBorders>
              <w:bottom w:val="single" w:sz="8" w:color="3F000B"/>
              <w:right w:val="single" w:sz="8" w:color="3F000B"/>
            </w:tcBorders>
          </w:tcPr>
          <w:p>
            <w:pPr>
              <w:spacing w:after="0"/>
              <w:rPr>
                <w:sz w:val="24"/>
                <w:szCs w:val="24"/>
                <w:color w:val="auto"/>
              </w:rPr>
            </w:pPr>
          </w:p>
        </w:tc>
        <w:tc>
          <w:tcPr>
            <w:tcW w:w="1680" w:type="dxa"/>
            <w:vAlign w:val="bottom"/>
            <w:tcBorders>
              <w:bottom w:val="single" w:sz="8" w:color="3F000B"/>
              <w:right w:val="single" w:sz="8" w:color="3F000B"/>
            </w:tcBorders>
          </w:tcPr>
          <w:p>
            <w:pPr>
              <w:spacing w:after="0"/>
              <w:rPr>
                <w:sz w:val="24"/>
                <w:szCs w:val="24"/>
                <w:color w:val="auto"/>
              </w:rPr>
            </w:pPr>
          </w:p>
        </w:tc>
        <w:tc>
          <w:tcPr>
            <w:tcW w:w="1780" w:type="dxa"/>
            <w:vAlign w:val="bottom"/>
            <w:tcBorders>
              <w:bottom w:val="single" w:sz="8" w:color="3F000B"/>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60" w:type="dxa"/>
            <w:vAlign w:val="bottom"/>
          </w:tcPr>
          <w:p>
            <w:pPr>
              <w:spacing w:after="0"/>
              <w:rPr>
                <w:sz w:val="20"/>
                <w:szCs w:val="20"/>
                <w:color w:val="auto"/>
              </w:rPr>
            </w:pPr>
            <w:r>
              <w:rPr>
                <w:rFonts w:ascii="Arial" w:cs="Arial" w:eastAsia="Arial" w:hAnsi="Arial"/>
                <w:sz w:val="18"/>
                <w:szCs w:val="18"/>
                <w:b w:val="1"/>
                <w:bCs w:val="1"/>
                <w:color w:val="3F000B"/>
              </w:rPr>
              <w:t>____________________</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-3128645</wp:posOffset>
            </wp:positionV>
            <wp:extent cx="120015"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-3128645</wp:posOffset>
            </wp:positionV>
            <wp:extent cx="120015"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-2914015</wp:posOffset>
            </wp:positionV>
            <wp:extent cx="120015"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-2914015</wp:posOffset>
            </wp:positionV>
            <wp:extent cx="120015"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-2545715</wp:posOffset>
            </wp:positionV>
            <wp:extent cx="120015"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-2545715</wp:posOffset>
            </wp:positionV>
            <wp:extent cx="120015"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-2331085</wp:posOffset>
            </wp:positionV>
            <wp:extent cx="120015"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-2331085</wp:posOffset>
            </wp:positionV>
            <wp:extent cx="120015"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-2117090</wp:posOffset>
            </wp:positionV>
            <wp:extent cx="120015"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-2117090</wp:posOffset>
            </wp:positionV>
            <wp:extent cx="120015"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-1902460</wp:posOffset>
            </wp:positionV>
            <wp:extent cx="120015"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-1902460</wp:posOffset>
            </wp:positionV>
            <wp:extent cx="120015"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-1688465</wp:posOffset>
            </wp:positionV>
            <wp:extent cx="120015" cy="111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-1688465</wp:posOffset>
            </wp:positionV>
            <wp:extent cx="120015" cy="111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-1473835</wp:posOffset>
            </wp:positionV>
            <wp:extent cx="120015"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-1473835</wp:posOffset>
            </wp:positionV>
            <wp:extent cx="12001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-1259840</wp:posOffset>
            </wp:positionV>
            <wp:extent cx="120015"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-1259840</wp:posOffset>
            </wp:positionV>
            <wp:extent cx="120015"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-1045210</wp:posOffset>
            </wp:positionV>
            <wp:extent cx="120015" cy="111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-1045210</wp:posOffset>
            </wp:positionV>
            <wp:extent cx="120015"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-1045210</wp:posOffset>
            </wp:positionV>
            <wp:extent cx="120015"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-1045210</wp:posOffset>
            </wp:positionV>
            <wp:extent cx="12001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-1045210</wp:posOffset>
            </wp:positionV>
            <wp:extent cx="120015"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-831215</wp:posOffset>
            </wp:positionV>
            <wp:extent cx="120015"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-831215</wp:posOffset>
            </wp:positionV>
            <wp:extent cx="120015"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-616585</wp:posOffset>
            </wp:positionV>
            <wp:extent cx="120015"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-616585</wp:posOffset>
            </wp:positionV>
            <wp:extent cx="120015"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-402590</wp:posOffset>
            </wp:positionV>
            <wp:extent cx="120015" cy="111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-402590</wp:posOffset>
            </wp:positionV>
            <wp:extent cx="120015"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93980</wp:posOffset>
            </wp:positionV>
            <wp:extent cx="120015"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Committee Member</w:t>
      </w:r>
    </w:p>
    <w:p>
      <w:pPr>
        <w:spacing w:after="0" w:line="50" w:lineRule="exact"/>
        <w:rPr>
          <w:sz w:val="20"/>
          <w:szCs w:val="20"/>
          <w:color w:val="auto"/>
        </w:rPr>
      </w:pPr>
    </w:p>
    <w:p>
      <w:pPr>
        <w:ind w:left="20"/>
        <w:spacing w:after="0"/>
        <w:tabs>
          <w:tab w:leader="none" w:pos="520" w:val="left"/>
        </w:tabs>
        <w:rPr>
          <w:sz w:val="20"/>
          <w:szCs w:val="20"/>
          <w:color w:val="auto"/>
        </w:rPr>
      </w:pPr>
      <w:r>
        <w:rPr>
          <w:sz w:val="1"/>
          <w:szCs w:val="1"/>
          <w:color w:val="auto"/>
        </w:rPr>
        <w:drawing>
          <wp:inline distT="0" distB="0" distL="0" distR="0">
            <wp:extent cx="120015" cy="1111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Ex-Officio</w:t>
      </w:r>
    </w:p>
    <w:p>
      <w:pPr>
        <w:spacing w:after="0" w:line="25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Board’s Corporate Governance Guidelines require that every member of the Audit Committee, Compensation Committee, Finance and Risk Management Committee, and Governance Committee be independent.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Board may also from time to time establish committees of limited duration for a special purpose. No such committees were established in 2020.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886" w:right="359" w:bottom="1440" w:gutter="0" w:footer="0" w:header="0"/>
        </w:sectPr>
      </w:pPr>
    </w:p>
    <w:bookmarkStart w:id="27" w:name="page28"/>
    <w:bookmarkEnd w:id="27"/>
    <w:p>
      <w:pPr>
        <w:ind w:right="140"/>
        <w:spacing w:after="0" w:line="277" w:lineRule="auto"/>
        <w:rPr>
          <w:sz w:val="20"/>
          <w:szCs w:val="20"/>
          <w:color w:val="auto"/>
        </w:rPr>
      </w:pPr>
      <w:r>
        <w:rPr>
          <w:rFonts w:ascii="Arial" w:cs="Arial" w:eastAsia="Arial" w:hAnsi="Arial"/>
          <w:sz w:val="18"/>
          <w:szCs w:val="18"/>
          <w:color w:val="auto"/>
        </w:rPr>
        <w:t>The table below identifies the number of meetings held by each standing committee in 2020, provides a brief description of the duties and responsibilities of each committee, and provides general information regarding the location of each committee’s charter: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shd w:val="clear" w:color="auto" w:fill="DADADA"/>
          </w:tcPr>
          <w:p>
            <w:pPr>
              <w:ind w:left="20"/>
              <w:spacing w:after="0"/>
              <w:rPr>
                <w:sz w:val="20"/>
                <w:szCs w:val="20"/>
                <w:color w:val="auto"/>
              </w:rPr>
            </w:pPr>
            <w:r>
              <w:rPr>
                <w:rFonts w:ascii="Arial" w:cs="Arial" w:eastAsia="Arial" w:hAnsi="Arial"/>
                <w:sz w:val="18"/>
                <w:szCs w:val="18"/>
                <w:b w:val="1"/>
                <w:bCs w:val="1"/>
                <w:color w:val="3F000B"/>
              </w:rPr>
              <w:t>Audit Committee</w:t>
            </w:r>
          </w:p>
        </w:tc>
        <w:tc>
          <w:tcPr>
            <w:tcW w:w="540" w:type="dxa"/>
            <w:vAlign w:val="bottom"/>
            <w:shd w:val="clear" w:color="auto" w:fill="DADADA"/>
          </w:tcPr>
          <w:p>
            <w:pPr>
              <w:spacing w:after="0"/>
              <w:rPr>
                <w:sz w:val="19"/>
                <w:szCs w:val="19"/>
                <w:color w:val="auto"/>
              </w:rPr>
            </w:pPr>
          </w:p>
        </w:tc>
        <w:tc>
          <w:tcPr>
            <w:tcW w:w="8900" w:type="dxa"/>
            <w:vAlign w:val="bottom"/>
            <w:shd w:val="clear" w:color="auto" w:fill="DADADA"/>
          </w:tcPr>
          <w:p>
            <w:pPr>
              <w:ind w:left="7380"/>
              <w:spacing w:after="0"/>
              <w:rPr>
                <w:sz w:val="20"/>
                <w:szCs w:val="20"/>
                <w:color w:val="auto"/>
              </w:rPr>
            </w:pPr>
            <w:r>
              <w:rPr>
                <w:rFonts w:ascii="Arial" w:cs="Arial" w:eastAsia="Arial" w:hAnsi="Arial"/>
                <w:sz w:val="18"/>
                <w:szCs w:val="18"/>
                <w:b w:val="1"/>
                <w:bCs w:val="1"/>
                <w:color w:val="auto"/>
                <w:w w:val="90"/>
              </w:rPr>
              <w:t>Meetings in 2020: 6</w:t>
            </w:r>
          </w:p>
        </w:tc>
      </w:tr>
      <w:tr>
        <w:trPr>
          <w:trHeight w:val="225"/>
        </w:trPr>
        <w:tc>
          <w:tcPr>
            <w:tcW w:w="1780" w:type="dxa"/>
            <w:vAlign w:val="bottom"/>
          </w:tcPr>
          <w:p>
            <w:pPr>
              <w:ind w:left="20"/>
              <w:spacing w:after="0"/>
              <w:rPr>
                <w:sz w:val="20"/>
                <w:szCs w:val="20"/>
                <w:color w:val="auto"/>
              </w:rPr>
            </w:pPr>
            <w:r>
              <w:rPr>
                <w:rFonts w:ascii="Arial" w:cs="Arial" w:eastAsia="Arial" w:hAnsi="Arial"/>
                <w:sz w:val="18"/>
                <w:szCs w:val="18"/>
                <w:b w:val="1"/>
                <w:bCs w:val="1"/>
                <w:color w:val="auto"/>
              </w:rPr>
              <w:t>Duties and</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Oversee financial reporting processes and integrity of the financial statements.</w:t>
            </w:r>
          </w:p>
        </w:tc>
      </w:tr>
      <w:tr>
        <w:trPr>
          <w:trHeight w:val="220"/>
        </w:trPr>
        <w:tc>
          <w:tcPr>
            <w:tcW w:w="1780" w:type="dxa"/>
            <w:vAlign w:val="bottom"/>
          </w:tcPr>
          <w:p>
            <w:pPr>
              <w:ind w:left="20"/>
              <w:spacing w:after="0"/>
              <w:rPr>
                <w:sz w:val="20"/>
                <w:szCs w:val="20"/>
                <w:color w:val="auto"/>
              </w:rPr>
            </w:pPr>
            <w:r>
              <w:rPr>
                <w:rFonts w:ascii="Arial" w:cs="Arial" w:eastAsia="Arial" w:hAnsi="Arial"/>
                <w:sz w:val="18"/>
                <w:szCs w:val="18"/>
                <w:b w:val="1"/>
                <w:bCs w:val="1"/>
                <w:color w:val="auto"/>
              </w:rPr>
              <w:t>Responsibilities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Oversee compliance with legal and regulatory requirements.</w:t>
            </w:r>
          </w:p>
        </w:tc>
      </w:tr>
      <w:tr>
        <w:trPr>
          <w:trHeight w:val="216"/>
        </w:trPr>
        <w:tc>
          <w:tcPr>
            <w:tcW w:w="1780" w:type="dxa"/>
            <w:vAlign w:val="bottom"/>
          </w:tcPr>
          <w:p>
            <w:pPr>
              <w:spacing w:after="0"/>
              <w:rPr>
                <w:sz w:val="18"/>
                <w:szCs w:val="18"/>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Oversee independent auditors and the internal audit function.</w:t>
            </w:r>
          </w:p>
        </w:tc>
      </w:tr>
      <w:tr>
        <w:trPr>
          <w:trHeight w:val="216"/>
        </w:trPr>
        <w:tc>
          <w:tcPr>
            <w:tcW w:w="178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8"/>
                <w:szCs w:val="18"/>
                <w:color w:val="auto"/>
              </w:rPr>
              <w:t>• Approve audit and non-audit services and fees.</w:t>
            </w:r>
          </w:p>
        </w:tc>
      </w:tr>
      <w:tr>
        <w:trPr>
          <w:trHeight w:val="216"/>
        </w:trPr>
        <w:tc>
          <w:tcPr>
            <w:tcW w:w="1780" w:type="dxa"/>
            <w:vAlign w:val="bottom"/>
          </w:tcPr>
          <w:p>
            <w:pPr>
              <w:spacing w:after="0"/>
              <w:rPr>
                <w:sz w:val="18"/>
                <w:szCs w:val="18"/>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w w:val="93"/>
              </w:rPr>
              <w:t>Oversee (in consultation with the Finance and Risk Management Committee) risk management processes and policies.</w:t>
            </w:r>
          </w:p>
        </w:tc>
      </w:tr>
      <w:tr>
        <w:trPr>
          <w:trHeight w:val="216"/>
        </w:trPr>
        <w:tc>
          <w:tcPr>
            <w:tcW w:w="1780" w:type="dxa"/>
            <w:vAlign w:val="bottom"/>
          </w:tcPr>
          <w:p>
            <w:pPr>
              <w:spacing w:after="0"/>
              <w:rPr>
                <w:sz w:val="18"/>
                <w:szCs w:val="18"/>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Review adequacy of internal controls.</w:t>
            </w:r>
          </w:p>
        </w:tc>
      </w:tr>
      <w:tr>
        <w:trPr>
          <w:trHeight w:val="216"/>
        </w:trPr>
        <w:tc>
          <w:tcPr>
            <w:tcW w:w="1780" w:type="dxa"/>
            <w:vAlign w:val="bottom"/>
          </w:tcPr>
          <w:p>
            <w:pPr>
              <w:spacing w:after="0"/>
              <w:rPr>
                <w:sz w:val="18"/>
                <w:szCs w:val="18"/>
                <w:color w:val="auto"/>
              </w:rPr>
            </w:pPr>
          </w:p>
        </w:tc>
        <w:tc>
          <w:tcPr>
            <w:tcW w:w="9440" w:type="dxa"/>
            <w:vAlign w:val="bottom"/>
            <w:gridSpan w:val="2"/>
          </w:tcPr>
          <w:p>
            <w:pPr>
              <w:ind w:left="440"/>
              <w:spacing w:after="0"/>
              <w:rPr>
                <w:sz w:val="20"/>
                <w:szCs w:val="20"/>
                <w:color w:val="auto"/>
              </w:rPr>
            </w:pPr>
            <w:r>
              <w:rPr>
                <w:rFonts w:ascii="Arial" w:cs="Arial" w:eastAsia="Arial" w:hAnsi="Arial"/>
                <w:sz w:val="18"/>
                <w:szCs w:val="18"/>
                <w:color w:val="auto"/>
              </w:rPr>
              <w:t>• Review Quarterly and Annual Reports.</w:t>
            </w:r>
          </w:p>
        </w:tc>
      </w:tr>
      <w:tr>
        <w:trPr>
          <w:trHeight w:val="230"/>
        </w:trPr>
        <w:tc>
          <w:tcPr>
            <w:tcW w:w="1780" w:type="dxa"/>
            <w:vAlign w:val="bottom"/>
          </w:tcPr>
          <w:p>
            <w:pPr>
              <w:spacing w:after="0"/>
              <w:rPr>
                <w:sz w:val="20"/>
                <w:szCs w:val="20"/>
                <w:color w:val="auto"/>
              </w:rPr>
            </w:pP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8900" w:type="dxa"/>
            <w:vAlign w:val="bottom"/>
          </w:tcPr>
          <w:p>
            <w:pPr>
              <w:ind w:left="40"/>
              <w:spacing w:after="0"/>
              <w:rPr>
                <w:sz w:val="20"/>
                <w:szCs w:val="20"/>
                <w:color w:val="auto"/>
              </w:rPr>
            </w:pPr>
            <w:r>
              <w:rPr>
                <w:rFonts w:ascii="Arial" w:cs="Arial" w:eastAsia="Arial" w:hAnsi="Arial"/>
                <w:sz w:val="18"/>
                <w:szCs w:val="18"/>
                <w:color w:val="auto"/>
              </w:rPr>
              <w:t>Review earnings releases.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-1113790</wp:posOffset>
            </wp:positionV>
            <wp:extent cx="8255" cy="2125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2125980"/>
                    </a:xfrm>
                    <a:prstGeom prst="rect">
                      <a:avLst/>
                    </a:prstGeom>
                    <a:noFill/>
                  </pic:spPr>
                </pic:pic>
              </a:graphicData>
            </a:graphic>
          </wp:anchor>
        </w:drawing>
      </w:r>
    </w:p>
    <w:p>
      <w:pPr>
        <w:spacing w:after="0" w:line="232" w:lineRule="exact"/>
        <w:rPr>
          <w:sz w:val="20"/>
          <w:szCs w:val="20"/>
          <w:color w:val="auto"/>
        </w:rPr>
      </w:pPr>
    </w:p>
    <w:p>
      <w:pPr>
        <w:ind w:left="2220" w:right="700" w:hanging="2348"/>
        <w:spacing w:after="0" w:line="261" w:lineRule="auto"/>
        <w:tabs>
          <w:tab w:leader="none" w:pos="2200" w:val="left"/>
        </w:tabs>
        <w:rPr>
          <w:sz w:val="20"/>
          <w:szCs w:val="20"/>
          <w:color w:val="auto"/>
        </w:rPr>
      </w:pPr>
      <w:r>
        <w:rPr>
          <w:rFonts w:ascii="Arial" w:cs="Arial" w:eastAsia="Arial" w:hAnsi="Arial"/>
          <w:sz w:val="18"/>
          <w:szCs w:val="18"/>
          <w:b w:val="1"/>
          <w:bCs w:val="1"/>
          <w:color w:val="auto"/>
        </w:rPr>
        <w:t>General Information</w:t>
      </w:r>
      <w:r>
        <w:rPr>
          <w:sz w:val="20"/>
          <w:szCs w:val="20"/>
          <w:color w:val="auto"/>
        </w:rPr>
        <w:tab/>
      </w:r>
      <w:r>
        <w:rPr>
          <w:rFonts w:ascii="Arial" w:cs="Arial" w:eastAsia="Arial" w:hAnsi="Arial"/>
          <w:sz w:val="18"/>
          <w:szCs w:val="18"/>
          <w:color w:val="auto"/>
        </w:rPr>
        <w:t>• All Audit Committee members are financially literate. Ms. Schoppert and Messrs. Crawford and Shedlarz qualify as “audit committee financial experts.”</w:t>
      </w:r>
    </w:p>
    <w:p>
      <w:pPr>
        <w:ind w:left="2360" w:hanging="147"/>
        <w:spacing w:after="0"/>
        <w:tabs>
          <w:tab w:leader="none" w:pos="2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Charter can be viewed on the Investors section of our website at </w:t>
      </w:r>
      <w:r>
        <w:rPr>
          <w:rFonts w:ascii="Arial" w:cs="Arial" w:eastAsia="Arial" w:hAnsi="Arial"/>
          <w:sz w:val="18"/>
          <w:szCs w:val="18"/>
          <w:i w:val="1"/>
          <w:iCs w:val="1"/>
          <w:color w:val="auto"/>
        </w:rPr>
        <w:t>www.thehersheycompany.com.</w:t>
      </w:r>
    </w:p>
    <w:p>
      <w:pPr>
        <w:spacing w:after="0" w:line="9" w:lineRule="exact"/>
        <w:rPr>
          <w:rFonts w:ascii="Arial" w:cs="Arial" w:eastAsia="Arial" w:hAnsi="Arial"/>
          <w:sz w:val="18"/>
          <w:szCs w:val="18"/>
          <w:color w:val="auto"/>
        </w:rPr>
      </w:pPr>
    </w:p>
    <w:p>
      <w:pPr>
        <w:ind w:left="2380" w:right="140" w:hanging="167"/>
        <w:spacing w:after="0" w:line="255" w:lineRule="auto"/>
        <w:tabs>
          <w:tab w:leader="none" w:pos="23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Charter prohibits any member of the Audit Committee from serving on the audit committees of more than two other public companies unless the Board determines that such simultaneous service would not impair the ability of the director to effectively serve on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1713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660" w:val="left"/>
        </w:tabs>
        <w:rPr>
          <w:sz w:val="20"/>
          <w:szCs w:val="20"/>
          <w:color w:val="auto"/>
        </w:rPr>
      </w:pPr>
      <w:r>
        <w:rPr>
          <w:rFonts w:ascii="Arial" w:cs="Arial" w:eastAsia="Arial" w:hAnsi="Arial"/>
          <w:sz w:val="18"/>
          <w:szCs w:val="18"/>
          <w:b w:val="1"/>
          <w:bCs w:val="1"/>
          <w:color w:val="3F000B"/>
        </w:rPr>
        <w:t>Compensation and Executive Organization Committee</w:t>
      </w:r>
      <w:r>
        <w:rPr>
          <w:sz w:val="20"/>
          <w:szCs w:val="20"/>
          <w:color w:val="auto"/>
        </w:rPr>
        <w:tab/>
      </w:r>
      <w:r>
        <w:rPr>
          <w:rFonts w:ascii="Arial" w:cs="Arial" w:eastAsia="Arial" w:hAnsi="Arial"/>
          <w:sz w:val="16"/>
          <w:szCs w:val="16"/>
          <w:b w:val="1"/>
          <w:bCs w:val="1"/>
          <w:color w:val="auto"/>
        </w:rPr>
        <w:t>Meetings in 2020: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31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13112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Duties and Responsibilities </w:t>
      </w:r>
      <w:r>
        <w:rPr>
          <w:rFonts w:ascii="Arial" w:cs="Arial" w:eastAsia="Arial" w:hAnsi="Arial"/>
          <w:sz w:val="16"/>
          <w:szCs w:val="16"/>
          <w:color w:val="auto"/>
        </w:rPr>
        <w:t>• Establish executive officer compensation (other than CEO compensation) and oversee compensation program and policies.</w:t>
      </w:r>
    </w:p>
    <w:p>
      <w:pPr>
        <w:spacing w:after="0" w:line="50" w:lineRule="exact"/>
        <w:rPr>
          <w:sz w:val="20"/>
          <w:szCs w:val="20"/>
          <w:color w:val="auto"/>
        </w:rPr>
      </w:pPr>
    </w:p>
    <w:p>
      <w:pPr>
        <w:ind w:left="2320" w:hanging="107"/>
        <w:spacing w:after="0"/>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 CEO performance and make recommendations regarding CEO compensation.</w:t>
      </w:r>
    </w:p>
    <w:p>
      <w:pPr>
        <w:spacing w:after="0" w:line="9" w:lineRule="exact"/>
        <w:rPr>
          <w:rFonts w:ascii="Arial" w:cs="Arial" w:eastAsia="Arial" w:hAnsi="Arial"/>
          <w:sz w:val="18"/>
          <w:szCs w:val="18"/>
          <w:color w:val="auto"/>
        </w:rPr>
      </w:pPr>
    </w:p>
    <w:p>
      <w:pPr>
        <w:ind w:left="2320" w:hanging="107"/>
        <w:spacing w:after="0"/>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director compensation.</w:t>
      </w:r>
    </w:p>
    <w:p>
      <w:pPr>
        <w:spacing w:after="0" w:line="9" w:lineRule="exact"/>
        <w:rPr>
          <w:rFonts w:ascii="Arial" w:cs="Arial" w:eastAsia="Arial" w:hAnsi="Arial"/>
          <w:sz w:val="18"/>
          <w:szCs w:val="18"/>
          <w:color w:val="auto"/>
        </w:rPr>
      </w:pPr>
    </w:p>
    <w:p>
      <w:pPr>
        <w:ind w:left="2320" w:hanging="107"/>
        <w:spacing w:after="0"/>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equity grants under and administer the Equity and Incentive Compensation Plan (the “EICP”).</w:t>
      </w:r>
    </w:p>
    <w:p>
      <w:pPr>
        <w:spacing w:after="0" w:line="9" w:lineRule="exact"/>
        <w:rPr>
          <w:rFonts w:ascii="Arial" w:cs="Arial" w:eastAsia="Arial" w:hAnsi="Arial"/>
          <w:sz w:val="18"/>
          <w:szCs w:val="18"/>
          <w:color w:val="auto"/>
        </w:rPr>
      </w:pPr>
    </w:p>
    <w:p>
      <w:pPr>
        <w:ind w:left="2320" w:hanging="107"/>
        <w:spacing w:after="0"/>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 target award levels and make awards under the annual cash incentive component of the EICP.</w:t>
      </w:r>
    </w:p>
    <w:p>
      <w:pPr>
        <w:spacing w:after="0" w:line="9" w:lineRule="exact"/>
        <w:rPr>
          <w:rFonts w:ascii="Arial" w:cs="Arial" w:eastAsia="Arial" w:hAnsi="Arial"/>
          <w:sz w:val="18"/>
          <w:szCs w:val="18"/>
          <w:color w:val="auto"/>
        </w:rPr>
      </w:pPr>
    </w:p>
    <w:p>
      <w:pPr>
        <w:ind w:left="2320" w:hanging="107"/>
        <w:spacing w:after="0"/>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the Company’s executive organization.</w:t>
      </w:r>
    </w:p>
    <w:p>
      <w:pPr>
        <w:spacing w:after="0" w:line="9" w:lineRule="exact"/>
        <w:rPr>
          <w:rFonts w:ascii="Arial" w:cs="Arial" w:eastAsia="Arial" w:hAnsi="Arial"/>
          <w:sz w:val="18"/>
          <w:szCs w:val="18"/>
          <w:color w:val="auto"/>
        </w:rPr>
      </w:pPr>
    </w:p>
    <w:p>
      <w:pPr>
        <w:ind w:left="2320" w:hanging="107"/>
        <w:spacing w:after="0"/>
        <w:tabs>
          <w:tab w:leader="none" w:pos="2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 executive succession planning.</w:t>
      </w:r>
    </w:p>
    <w:p>
      <w:pPr>
        <w:spacing w:after="0" w:line="45"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8"/>
          <w:szCs w:val="18"/>
          <w:b w:val="1"/>
          <w:bCs w:val="1"/>
          <w:color w:val="auto"/>
        </w:rPr>
        <w:t>General Information</w:t>
      </w:r>
      <w:r>
        <w:rPr>
          <w:sz w:val="20"/>
          <w:szCs w:val="20"/>
          <w:color w:val="auto"/>
        </w:rPr>
        <w:tab/>
      </w:r>
      <w:r>
        <w:rPr>
          <w:rFonts w:ascii="Arial" w:cs="Arial" w:eastAsia="Arial" w:hAnsi="Arial"/>
          <w:sz w:val="16"/>
          <w:szCs w:val="16"/>
          <w:color w:val="auto"/>
        </w:rPr>
        <w:t xml:space="preserve">• Charter can be viewed on the Investors section of our website at </w:t>
      </w:r>
      <w:r>
        <w:rPr>
          <w:rFonts w:ascii="Arial" w:cs="Arial" w:eastAsia="Arial" w:hAnsi="Arial"/>
          <w:sz w:val="16"/>
          <w:szCs w:val="16"/>
          <w:i w:val="1"/>
          <w:iCs w:val="1"/>
          <w:color w:val="auto"/>
        </w:rPr>
        <w:t>www.thehersheycompany.com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138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3"/>
            <w:shd w:val="clear" w:color="auto" w:fill="DADADA"/>
          </w:tcPr>
          <w:p>
            <w:pPr>
              <w:ind w:left="20"/>
              <w:spacing w:after="0"/>
              <w:rPr>
                <w:sz w:val="20"/>
                <w:szCs w:val="20"/>
                <w:color w:val="auto"/>
              </w:rPr>
            </w:pPr>
            <w:r>
              <w:rPr>
                <w:rFonts w:ascii="Arial" w:cs="Arial" w:eastAsia="Arial" w:hAnsi="Arial"/>
                <w:sz w:val="18"/>
                <w:szCs w:val="18"/>
                <w:b w:val="1"/>
                <w:bCs w:val="1"/>
                <w:color w:val="3F000B"/>
              </w:rPr>
              <w:t>Finance and Risk Management Committee</w:t>
            </w:r>
          </w:p>
        </w:tc>
        <w:tc>
          <w:tcPr>
            <w:tcW w:w="1760" w:type="dxa"/>
            <w:vAlign w:val="bottom"/>
            <w:shd w:val="clear" w:color="auto" w:fill="DADADA"/>
          </w:tcPr>
          <w:p>
            <w:pPr>
              <w:ind w:left="240"/>
              <w:spacing w:after="0"/>
              <w:rPr>
                <w:sz w:val="20"/>
                <w:szCs w:val="20"/>
                <w:color w:val="auto"/>
              </w:rPr>
            </w:pPr>
            <w:r>
              <w:rPr>
                <w:rFonts w:ascii="Arial" w:cs="Arial" w:eastAsia="Arial" w:hAnsi="Arial"/>
                <w:sz w:val="18"/>
                <w:szCs w:val="18"/>
                <w:b w:val="1"/>
                <w:bCs w:val="1"/>
                <w:color w:val="auto"/>
                <w:w w:val="90"/>
              </w:rPr>
              <w:t>Meetings in 2020: 6</w:t>
            </w:r>
          </w:p>
        </w:tc>
      </w:tr>
      <w:tr>
        <w:trPr>
          <w:trHeight w:val="225"/>
        </w:trPr>
        <w:tc>
          <w:tcPr>
            <w:tcW w:w="2200" w:type="dxa"/>
            <w:vAlign w:val="bottom"/>
            <w:tcBorders>
              <w:right w:val="single" w:sz="8" w:color="3F000B"/>
            </w:tcBorders>
          </w:tcPr>
          <w:p>
            <w:pPr>
              <w:ind w:left="20"/>
              <w:spacing w:after="0"/>
              <w:rPr>
                <w:sz w:val="20"/>
                <w:szCs w:val="20"/>
                <w:color w:val="auto"/>
              </w:rPr>
            </w:pPr>
            <w:r>
              <w:rPr>
                <w:rFonts w:ascii="Arial" w:cs="Arial" w:eastAsia="Arial" w:hAnsi="Arial"/>
                <w:sz w:val="18"/>
                <w:szCs w:val="18"/>
                <w:b w:val="1"/>
                <w:bCs w:val="1"/>
                <w:color w:val="auto"/>
              </w:rPr>
              <w:t>Duties and</w:t>
            </w: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 Oversee management of the Company’s assets, liabilities and risks.</w:t>
            </w:r>
          </w:p>
        </w:tc>
        <w:tc>
          <w:tcPr>
            <w:tcW w:w="1760" w:type="dxa"/>
            <w:vAlign w:val="bottom"/>
          </w:tcPr>
          <w:p>
            <w:pPr>
              <w:spacing w:after="0"/>
              <w:rPr>
                <w:sz w:val="19"/>
                <w:szCs w:val="19"/>
                <w:color w:val="auto"/>
              </w:rPr>
            </w:pPr>
          </w:p>
        </w:tc>
      </w:tr>
      <w:tr>
        <w:trPr>
          <w:trHeight w:val="220"/>
        </w:trPr>
        <w:tc>
          <w:tcPr>
            <w:tcW w:w="2200" w:type="dxa"/>
            <w:vAlign w:val="bottom"/>
            <w:tcBorders>
              <w:right w:val="single" w:sz="8" w:color="3F000B"/>
            </w:tcBorders>
          </w:tcPr>
          <w:p>
            <w:pPr>
              <w:ind w:left="20"/>
              <w:spacing w:after="0"/>
              <w:rPr>
                <w:sz w:val="20"/>
                <w:szCs w:val="20"/>
                <w:color w:val="auto"/>
              </w:rPr>
            </w:pPr>
            <w:r>
              <w:rPr>
                <w:rFonts w:ascii="Arial" w:cs="Arial" w:eastAsia="Arial" w:hAnsi="Arial"/>
                <w:sz w:val="18"/>
                <w:szCs w:val="18"/>
                <w:b w:val="1"/>
                <w:bCs w:val="1"/>
                <w:color w:val="auto"/>
              </w:rPr>
              <w:t>Responsibilities</w:t>
            </w:r>
          </w:p>
        </w:tc>
        <w:tc>
          <w:tcPr>
            <w:tcW w:w="7240" w:type="dxa"/>
            <w:vAlign w:val="bottom"/>
            <w:gridSpan w:val="2"/>
          </w:tcPr>
          <w:p>
            <w:pPr>
              <w:ind w:left="20"/>
              <w:spacing w:after="0"/>
              <w:rPr>
                <w:sz w:val="20"/>
                <w:szCs w:val="20"/>
                <w:color w:val="auto"/>
              </w:rPr>
            </w:pPr>
            <w:r>
              <w:rPr>
                <w:rFonts w:ascii="Arial" w:cs="Arial" w:eastAsia="Arial" w:hAnsi="Arial"/>
                <w:sz w:val="18"/>
                <w:szCs w:val="18"/>
                <w:color w:val="auto"/>
                <w:w w:val="92"/>
              </w:rPr>
              <w:t>• Review capital projects, acquisitions and dispositions of assets and changes in capital structure.</w:t>
            </w:r>
          </w:p>
        </w:tc>
        <w:tc>
          <w:tcPr>
            <w:tcW w:w="1760" w:type="dxa"/>
            <w:vAlign w:val="bottom"/>
          </w:tcPr>
          <w:p>
            <w:pPr>
              <w:spacing w:after="0"/>
              <w:rPr>
                <w:sz w:val="19"/>
                <w:szCs w:val="19"/>
                <w:color w:val="auto"/>
              </w:rPr>
            </w:pPr>
          </w:p>
        </w:tc>
      </w:tr>
      <w:tr>
        <w:trPr>
          <w:trHeight w:val="216"/>
        </w:trPr>
        <w:tc>
          <w:tcPr>
            <w:tcW w:w="2200" w:type="dxa"/>
            <w:vAlign w:val="bottom"/>
            <w:tcBorders>
              <w:right w:val="single" w:sz="8" w:color="3F000B"/>
            </w:tcBorders>
          </w:tcPr>
          <w:p>
            <w:pPr>
              <w:spacing w:after="0"/>
              <w:rPr>
                <w:sz w:val="18"/>
                <w:szCs w:val="18"/>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 Review the annual budget and monitor performance against operational plans.</w:t>
            </w:r>
          </w:p>
        </w:tc>
        <w:tc>
          <w:tcPr>
            <w:tcW w:w="1760" w:type="dxa"/>
            <w:vAlign w:val="bottom"/>
          </w:tcPr>
          <w:p>
            <w:pPr>
              <w:spacing w:after="0"/>
              <w:rPr>
                <w:sz w:val="18"/>
                <w:szCs w:val="18"/>
                <w:color w:val="auto"/>
              </w:rPr>
            </w:pPr>
          </w:p>
        </w:tc>
      </w:tr>
      <w:tr>
        <w:trPr>
          <w:trHeight w:val="216"/>
        </w:trPr>
        <w:tc>
          <w:tcPr>
            <w:tcW w:w="2200" w:type="dxa"/>
            <w:vAlign w:val="bottom"/>
            <w:tcBorders>
              <w:right w:val="single" w:sz="8" w:color="3F000B"/>
            </w:tcBorders>
          </w:tcPr>
          <w:p>
            <w:pPr>
              <w:spacing w:after="0"/>
              <w:rPr>
                <w:sz w:val="18"/>
                <w:szCs w:val="18"/>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 Review principal banking relationships, credit facilities and commercial paper programs.</w:t>
            </w:r>
          </w:p>
        </w:tc>
        <w:tc>
          <w:tcPr>
            <w:tcW w:w="1760" w:type="dxa"/>
            <w:vAlign w:val="bottom"/>
          </w:tcPr>
          <w:p>
            <w:pPr>
              <w:spacing w:after="0"/>
              <w:rPr>
                <w:sz w:val="18"/>
                <w:szCs w:val="18"/>
                <w:color w:val="auto"/>
              </w:rPr>
            </w:pPr>
          </w:p>
        </w:tc>
      </w:tr>
      <w:tr>
        <w:trPr>
          <w:trHeight w:val="230"/>
        </w:trPr>
        <w:tc>
          <w:tcPr>
            <w:tcW w:w="2200" w:type="dxa"/>
            <w:vAlign w:val="bottom"/>
            <w:tcBorders>
              <w:right w:val="single" w:sz="8" w:color="3F000B"/>
            </w:tcBorders>
          </w:tcPr>
          <w:p>
            <w:pPr>
              <w:spacing w:after="0"/>
              <w:rPr>
                <w:sz w:val="20"/>
                <w:szCs w:val="20"/>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w w:val="95"/>
              </w:rPr>
              <w:t>• Oversee (in consultation with the Audit Committee) risk management processes and policies.</w:t>
            </w:r>
          </w:p>
        </w:tc>
        <w:tc>
          <w:tcPr>
            <w:tcW w:w="1760" w:type="dxa"/>
            <w:vAlign w:val="bottom"/>
          </w:tcPr>
          <w:p>
            <w:pPr>
              <w:spacing w:after="0"/>
              <w:rPr>
                <w:sz w:val="20"/>
                <w:szCs w:val="20"/>
                <w:color w:val="auto"/>
              </w:rPr>
            </w:pPr>
          </w:p>
        </w:tc>
      </w:tr>
      <w:tr>
        <w:trPr>
          <w:trHeight w:val="297"/>
        </w:trPr>
        <w:tc>
          <w:tcPr>
            <w:tcW w:w="2200" w:type="dxa"/>
            <w:vAlign w:val="bottom"/>
            <w:tcBorders>
              <w:right w:val="single" w:sz="8" w:color="3F000B"/>
            </w:tcBorders>
          </w:tcPr>
          <w:p>
            <w:pPr>
              <w:ind w:left="20"/>
              <w:spacing w:after="0"/>
              <w:rPr>
                <w:sz w:val="20"/>
                <w:szCs w:val="20"/>
                <w:color w:val="auto"/>
              </w:rPr>
            </w:pPr>
            <w:r>
              <w:rPr>
                <w:rFonts w:ascii="Arial" w:cs="Arial" w:eastAsia="Arial" w:hAnsi="Arial"/>
                <w:sz w:val="18"/>
                <w:szCs w:val="18"/>
                <w:b w:val="1"/>
                <w:bCs w:val="1"/>
                <w:color w:val="auto"/>
              </w:rPr>
              <w:t>General Information</w:t>
            </w:r>
          </w:p>
        </w:tc>
        <w:tc>
          <w:tcPr>
            <w:tcW w:w="7240" w:type="dxa"/>
            <w:vAlign w:val="bottom"/>
            <w:gridSpan w:val="2"/>
          </w:tcPr>
          <w:p>
            <w:pPr>
              <w:ind w:left="20"/>
              <w:spacing w:after="0"/>
              <w:rPr>
                <w:sz w:val="20"/>
                <w:szCs w:val="20"/>
                <w:color w:val="auto"/>
              </w:rPr>
            </w:pPr>
            <w:r>
              <w:rPr>
                <w:rFonts w:ascii="Arial" w:cs="Arial" w:eastAsia="Arial" w:hAnsi="Arial"/>
                <w:sz w:val="18"/>
                <w:szCs w:val="18"/>
                <w:color w:val="auto"/>
                <w:w w:val="92"/>
              </w:rPr>
              <w:t xml:space="preserve">• Charter can be viewed on the Investors section of our website at </w:t>
            </w:r>
            <w:r>
              <w:rPr>
                <w:rFonts w:ascii="Arial" w:cs="Arial" w:eastAsia="Arial" w:hAnsi="Arial"/>
                <w:sz w:val="18"/>
                <w:szCs w:val="18"/>
                <w:i w:val="1"/>
                <w:iCs w:val="1"/>
                <w:color w:val="auto"/>
                <w:w w:val="92"/>
              </w:rPr>
              <w:t>www.thehersheycompany.com</w:t>
            </w:r>
            <w:r>
              <w:rPr>
                <w:rFonts w:ascii="Arial" w:cs="Arial" w:eastAsia="Arial" w:hAnsi="Arial"/>
                <w:sz w:val="18"/>
                <w:szCs w:val="18"/>
                <w:color w:val="auto"/>
                <w:w w:val="92"/>
              </w:rPr>
              <w:t>.</w:t>
            </w:r>
          </w:p>
        </w:tc>
        <w:tc>
          <w:tcPr>
            <w:tcW w:w="1760" w:type="dxa"/>
            <w:vAlign w:val="bottom"/>
          </w:tcPr>
          <w:p>
            <w:pPr>
              <w:spacing w:after="0"/>
              <w:rPr>
                <w:sz w:val="24"/>
                <w:szCs w:val="24"/>
                <w:color w:val="auto"/>
              </w:rPr>
            </w:pPr>
          </w:p>
        </w:tc>
      </w:tr>
      <w:tr>
        <w:trPr>
          <w:trHeight w:val="378"/>
        </w:trPr>
        <w:tc>
          <w:tcPr>
            <w:tcW w:w="2200" w:type="dxa"/>
            <w:vAlign w:val="bottom"/>
            <w:tcBorders>
              <w:bottom w:val="single" w:sz="8" w:color="3F000B"/>
            </w:tcBorders>
          </w:tcPr>
          <w:p>
            <w:pPr>
              <w:spacing w:after="0"/>
              <w:rPr>
                <w:sz w:val="24"/>
                <w:szCs w:val="24"/>
                <w:color w:val="auto"/>
              </w:rPr>
            </w:pPr>
          </w:p>
        </w:tc>
        <w:tc>
          <w:tcPr>
            <w:tcW w:w="500" w:type="dxa"/>
            <w:vAlign w:val="bottom"/>
            <w:tcBorders>
              <w:bottom w:val="single" w:sz="8" w:color="3F000B"/>
            </w:tcBorders>
          </w:tcPr>
          <w:p>
            <w:pPr>
              <w:spacing w:after="0"/>
              <w:rPr>
                <w:sz w:val="24"/>
                <w:szCs w:val="24"/>
                <w:color w:val="auto"/>
              </w:rPr>
            </w:pPr>
          </w:p>
        </w:tc>
        <w:tc>
          <w:tcPr>
            <w:tcW w:w="674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Borders>
              <w:right w:val="single" w:sz="8" w:color="DADADA"/>
            </w:tcBorders>
            <w:shd w:val="clear" w:color="auto" w:fill="DADADA"/>
          </w:tcPr>
          <w:p>
            <w:pPr>
              <w:ind w:left="20"/>
              <w:spacing w:after="0"/>
              <w:rPr>
                <w:sz w:val="20"/>
                <w:szCs w:val="20"/>
                <w:color w:val="auto"/>
              </w:rPr>
            </w:pPr>
            <w:r>
              <w:rPr>
                <w:rFonts w:ascii="Arial" w:cs="Arial" w:eastAsia="Arial" w:hAnsi="Arial"/>
                <w:sz w:val="18"/>
                <w:szCs w:val="18"/>
                <w:b w:val="1"/>
                <w:bCs w:val="1"/>
                <w:color w:val="3F000B"/>
              </w:rPr>
              <w:t>Governance Committee</w:t>
            </w:r>
          </w:p>
        </w:tc>
        <w:tc>
          <w:tcPr>
            <w:tcW w:w="120" w:type="dxa"/>
            <w:vAlign w:val="bottom"/>
            <w:shd w:val="clear" w:color="auto" w:fill="DADADA"/>
          </w:tcPr>
          <w:p>
            <w:pPr>
              <w:spacing w:after="0"/>
              <w:rPr>
                <w:sz w:val="19"/>
                <w:szCs w:val="19"/>
                <w:color w:val="auto"/>
              </w:rPr>
            </w:pPr>
          </w:p>
        </w:tc>
        <w:tc>
          <w:tcPr>
            <w:tcW w:w="8880" w:type="dxa"/>
            <w:vAlign w:val="bottom"/>
            <w:shd w:val="clear" w:color="auto" w:fill="DADADA"/>
          </w:tcPr>
          <w:p>
            <w:pPr>
              <w:ind w:left="7380"/>
              <w:spacing w:after="0"/>
              <w:rPr>
                <w:sz w:val="20"/>
                <w:szCs w:val="20"/>
                <w:color w:val="auto"/>
              </w:rPr>
            </w:pPr>
            <w:r>
              <w:rPr>
                <w:rFonts w:ascii="Arial" w:cs="Arial" w:eastAsia="Arial" w:hAnsi="Arial"/>
                <w:sz w:val="18"/>
                <w:szCs w:val="18"/>
                <w:b w:val="1"/>
                <w:bCs w:val="1"/>
                <w:color w:val="auto"/>
                <w:w w:val="89"/>
              </w:rPr>
              <w:t>Meetings in 2020: 5</w:t>
            </w:r>
          </w:p>
        </w:tc>
      </w:tr>
      <w:tr>
        <w:trPr>
          <w:trHeight w:val="225"/>
        </w:trPr>
        <w:tc>
          <w:tcPr>
            <w:tcW w:w="2200" w:type="dxa"/>
            <w:vAlign w:val="bottom"/>
            <w:tcBorders>
              <w:right w:val="single" w:sz="8" w:color="3F000B"/>
            </w:tcBorders>
          </w:tcPr>
          <w:p>
            <w:pPr>
              <w:ind w:left="20"/>
              <w:spacing w:after="0"/>
              <w:rPr>
                <w:sz w:val="20"/>
                <w:szCs w:val="20"/>
                <w:color w:val="auto"/>
              </w:rPr>
            </w:pPr>
            <w:r>
              <w:rPr>
                <w:rFonts w:ascii="Arial" w:cs="Arial" w:eastAsia="Arial" w:hAnsi="Arial"/>
                <w:sz w:val="18"/>
                <w:szCs w:val="18"/>
                <w:b w:val="1"/>
                <w:bCs w:val="1"/>
                <w:color w:val="auto"/>
              </w:rPr>
              <w:t>Duties and</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880" w:type="dxa"/>
            <w:vAlign w:val="bottom"/>
          </w:tcPr>
          <w:p>
            <w:pPr>
              <w:ind w:left="40"/>
              <w:spacing w:after="0"/>
              <w:rPr>
                <w:sz w:val="20"/>
                <w:szCs w:val="20"/>
                <w:color w:val="auto"/>
              </w:rPr>
            </w:pPr>
            <w:r>
              <w:rPr>
                <w:rFonts w:ascii="Arial" w:cs="Arial" w:eastAsia="Arial" w:hAnsi="Arial"/>
                <w:sz w:val="18"/>
                <w:szCs w:val="18"/>
                <w:color w:val="auto"/>
              </w:rPr>
              <w:t>Review the composition of the Board and its committees.</w:t>
            </w:r>
          </w:p>
        </w:tc>
      </w:tr>
      <w:tr>
        <w:trPr>
          <w:trHeight w:val="220"/>
        </w:trPr>
        <w:tc>
          <w:tcPr>
            <w:tcW w:w="2200" w:type="dxa"/>
            <w:vAlign w:val="bottom"/>
            <w:tcBorders>
              <w:right w:val="single" w:sz="8" w:color="3F000B"/>
            </w:tcBorders>
          </w:tcPr>
          <w:p>
            <w:pPr>
              <w:ind w:left="20"/>
              <w:spacing w:after="0"/>
              <w:rPr>
                <w:sz w:val="20"/>
                <w:szCs w:val="20"/>
                <w:color w:val="auto"/>
              </w:rPr>
            </w:pPr>
            <w:r>
              <w:rPr>
                <w:rFonts w:ascii="Arial" w:cs="Arial" w:eastAsia="Arial" w:hAnsi="Arial"/>
                <w:sz w:val="18"/>
                <w:szCs w:val="18"/>
                <w:b w:val="1"/>
                <w:bCs w:val="1"/>
                <w:color w:val="auto"/>
              </w:rPr>
              <w:t>Responsibilities</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880" w:type="dxa"/>
            <w:vAlign w:val="bottom"/>
          </w:tcPr>
          <w:p>
            <w:pPr>
              <w:ind w:left="40"/>
              <w:spacing w:after="0"/>
              <w:rPr>
                <w:sz w:val="20"/>
                <w:szCs w:val="20"/>
                <w:color w:val="auto"/>
              </w:rPr>
            </w:pPr>
            <w:r>
              <w:rPr>
                <w:rFonts w:ascii="Arial" w:cs="Arial" w:eastAsia="Arial" w:hAnsi="Arial"/>
                <w:sz w:val="18"/>
                <w:szCs w:val="18"/>
                <w:color w:val="auto"/>
              </w:rPr>
              <w:t>Identify, evaluate and recommend candidates for election to the Board.</w:t>
            </w:r>
          </w:p>
        </w:tc>
      </w:tr>
      <w:tr>
        <w:trPr>
          <w:trHeight w:val="216"/>
        </w:trPr>
        <w:tc>
          <w:tcPr>
            <w:tcW w:w="2200" w:type="dxa"/>
            <w:vAlign w:val="bottom"/>
            <w:tcBorders>
              <w:right w:val="single" w:sz="8" w:color="3F000B"/>
            </w:tcBorders>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880" w:type="dxa"/>
            <w:vAlign w:val="bottom"/>
          </w:tcPr>
          <w:p>
            <w:pPr>
              <w:ind w:left="40"/>
              <w:spacing w:after="0"/>
              <w:rPr>
                <w:sz w:val="20"/>
                <w:szCs w:val="20"/>
                <w:color w:val="auto"/>
              </w:rPr>
            </w:pPr>
            <w:r>
              <w:rPr>
                <w:rFonts w:ascii="Arial" w:cs="Arial" w:eastAsia="Arial" w:hAnsi="Arial"/>
                <w:sz w:val="18"/>
                <w:szCs w:val="18"/>
                <w:color w:val="auto"/>
              </w:rPr>
              <w:t>Review corporate governance matters and policies, including the Board’s Corporate Governance Guidelines.</w:t>
            </w:r>
          </w:p>
        </w:tc>
      </w:tr>
      <w:tr>
        <w:trPr>
          <w:trHeight w:val="216"/>
        </w:trPr>
        <w:tc>
          <w:tcPr>
            <w:tcW w:w="2200" w:type="dxa"/>
            <w:vAlign w:val="bottom"/>
            <w:tcBorders>
              <w:right w:val="single" w:sz="8" w:color="3F000B"/>
            </w:tcBorders>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 Administer the Company’s Related Person Transaction Policy.</w:t>
            </w:r>
          </w:p>
        </w:tc>
      </w:tr>
      <w:tr>
        <w:trPr>
          <w:trHeight w:val="230"/>
        </w:trPr>
        <w:tc>
          <w:tcPr>
            <w:tcW w:w="2200" w:type="dxa"/>
            <w:vAlign w:val="bottom"/>
            <w:tcBorders>
              <w:right w:val="single" w:sz="8" w:color="3F000B"/>
            </w:tcBorders>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880" w:type="dxa"/>
            <w:vAlign w:val="bottom"/>
          </w:tcPr>
          <w:p>
            <w:pPr>
              <w:ind w:left="40"/>
              <w:spacing w:after="0"/>
              <w:rPr>
                <w:sz w:val="20"/>
                <w:szCs w:val="20"/>
                <w:color w:val="auto"/>
              </w:rPr>
            </w:pPr>
            <w:r>
              <w:rPr>
                <w:rFonts w:ascii="Arial" w:cs="Arial" w:eastAsia="Arial" w:hAnsi="Arial"/>
                <w:sz w:val="18"/>
                <w:szCs w:val="18"/>
                <w:color w:val="auto"/>
              </w:rPr>
              <w:t>Evaluate the performance of the Board, its independent committees and each director.</w:t>
            </w:r>
          </w:p>
        </w:tc>
      </w:tr>
      <w:tr>
        <w:trPr>
          <w:trHeight w:val="270"/>
        </w:trPr>
        <w:tc>
          <w:tcPr>
            <w:tcW w:w="2200" w:type="dxa"/>
            <w:vAlign w:val="bottom"/>
            <w:tcBorders>
              <w:right w:val="single" w:sz="8" w:color="3F000B"/>
            </w:tcBorders>
          </w:tcPr>
          <w:p>
            <w:pPr>
              <w:ind w:left="20"/>
              <w:spacing w:after="0"/>
              <w:rPr>
                <w:sz w:val="20"/>
                <w:szCs w:val="20"/>
                <w:color w:val="auto"/>
              </w:rPr>
            </w:pPr>
            <w:r>
              <w:rPr>
                <w:rFonts w:ascii="Arial" w:cs="Arial" w:eastAsia="Arial" w:hAnsi="Arial"/>
                <w:sz w:val="18"/>
                <w:szCs w:val="18"/>
                <w:b w:val="1"/>
                <w:bCs w:val="1"/>
                <w:color w:val="auto"/>
              </w:rPr>
              <w:t>General Information</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880" w:type="dxa"/>
            <w:vAlign w:val="bottom"/>
          </w:tcPr>
          <w:p>
            <w:pPr>
              <w:ind w:left="40"/>
              <w:spacing w:after="0"/>
              <w:rPr>
                <w:sz w:val="20"/>
                <w:szCs w:val="20"/>
                <w:color w:val="auto"/>
              </w:rPr>
            </w:pPr>
            <w:r>
              <w:rPr>
                <w:rFonts w:ascii="Arial" w:cs="Arial" w:eastAsia="Arial" w:hAnsi="Arial"/>
                <w:sz w:val="18"/>
                <w:szCs w:val="18"/>
                <w:color w:val="auto"/>
              </w:rPr>
              <w:t xml:space="preserve">Charter can be viewed on the Investors section of our website at </w:t>
            </w:r>
            <w:r>
              <w:rPr>
                <w:rFonts w:ascii="Arial" w:cs="Arial" w:eastAsia="Arial" w:hAnsi="Arial"/>
                <w:sz w:val="18"/>
                <w:szCs w:val="18"/>
                <w:i w:val="1"/>
                <w:iCs w:val="1"/>
                <w:color w:val="auto"/>
              </w:rPr>
              <w:t>www.thehersheycompany.com.</w:t>
            </w:r>
          </w:p>
        </w:tc>
      </w:tr>
      <w:tr>
        <w:trPr>
          <w:trHeight w:val="27"/>
        </w:trPr>
        <w:tc>
          <w:tcPr>
            <w:tcW w:w="2200" w:type="dxa"/>
            <w:vAlign w:val="bottom"/>
            <w:tcBorders>
              <w:right w:val="single" w:sz="8" w:color="3F000B"/>
            </w:tcBorders>
          </w:tcPr>
          <w:p>
            <w:pPr>
              <w:spacing w:after="0"/>
              <w:rPr>
                <w:sz w:val="2"/>
                <w:szCs w:val="2"/>
                <w:color w:val="auto"/>
              </w:rPr>
            </w:pPr>
          </w:p>
        </w:tc>
        <w:tc>
          <w:tcPr>
            <w:tcW w:w="120" w:type="dxa"/>
            <w:vAlign w:val="bottom"/>
          </w:tcPr>
          <w:p>
            <w:pPr>
              <w:spacing w:after="0"/>
              <w:rPr>
                <w:sz w:val="2"/>
                <w:szCs w:val="2"/>
                <w:color w:val="auto"/>
              </w:rPr>
            </w:pPr>
          </w:p>
        </w:tc>
        <w:tc>
          <w:tcPr>
            <w:tcW w:w="888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320" w:top="1057"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1940" w:type="dxa"/>
            <w:vAlign w:val="bottom"/>
            <w:shd w:val="clear" w:color="auto" w:fill="DADADA"/>
          </w:tcPr>
          <w:p>
            <w:pPr>
              <w:ind w:left="20"/>
              <w:spacing w:after="0"/>
              <w:rPr>
                <w:sz w:val="20"/>
                <w:szCs w:val="20"/>
                <w:color w:val="auto"/>
              </w:rPr>
            </w:pPr>
            <w:r>
              <w:rPr>
                <w:rFonts w:ascii="Arial" w:cs="Arial" w:eastAsia="Arial" w:hAnsi="Arial"/>
                <w:sz w:val="18"/>
                <w:szCs w:val="18"/>
                <w:b w:val="1"/>
                <w:bCs w:val="1"/>
                <w:color w:val="3F000B"/>
              </w:rPr>
              <w:t>Executive Committee</w:t>
            </w:r>
          </w:p>
        </w:tc>
        <w:tc>
          <w:tcPr>
            <w:tcW w:w="380" w:type="dxa"/>
            <w:vAlign w:val="bottom"/>
            <w:shd w:val="clear" w:color="auto" w:fill="DADADA"/>
          </w:tcPr>
          <w:p>
            <w:pPr>
              <w:spacing w:after="0"/>
              <w:rPr>
                <w:sz w:val="19"/>
                <w:szCs w:val="19"/>
                <w:color w:val="auto"/>
              </w:rPr>
            </w:pPr>
          </w:p>
        </w:tc>
        <w:tc>
          <w:tcPr>
            <w:tcW w:w="8880" w:type="dxa"/>
            <w:vAlign w:val="bottom"/>
            <w:shd w:val="clear" w:color="auto" w:fill="DADADA"/>
          </w:tcPr>
          <w:p>
            <w:pPr>
              <w:ind w:left="7380"/>
              <w:spacing w:after="0"/>
              <w:rPr>
                <w:sz w:val="20"/>
                <w:szCs w:val="20"/>
                <w:color w:val="auto"/>
              </w:rPr>
            </w:pPr>
            <w:r>
              <w:rPr>
                <w:rFonts w:ascii="Arial" w:cs="Arial" w:eastAsia="Arial" w:hAnsi="Arial"/>
                <w:sz w:val="18"/>
                <w:szCs w:val="18"/>
                <w:b w:val="1"/>
                <w:bCs w:val="1"/>
                <w:color w:val="auto"/>
                <w:w w:val="89"/>
              </w:rPr>
              <w:t>Meetings in 2020: 1</w:t>
            </w:r>
          </w:p>
        </w:tc>
      </w:tr>
      <w:tr>
        <w:trPr>
          <w:trHeight w:val="225"/>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Duties and</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8880" w:type="dxa"/>
            <w:vAlign w:val="bottom"/>
          </w:tcPr>
          <w:p>
            <w:pPr>
              <w:ind w:left="40"/>
              <w:spacing w:after="0"/>
              <w:rPr>
                <w:sz w:val="20"/>
                <w:szCs w:val="20"/>
                <w:color w:val="auto"/>
              </w:rPr>
            </w:pPr>
            <w:r>
              <w:rPr>
                <w:rFonts w:ascii="Arial" w:cs="Arial" w:eastAsia="Arial" w:hAnsi="Arial"/>
                <w:sz w:val="18"/>
                <w:szCs w:val="18"/>
                <w:color w:val="auto"/>
                <w:w w:val="90"/>
              </w:rPr>
              <w:t>Manage the business and affairs of the Company, to the extent permitted by the Delaware General Corporation Law, when</w:t>
            </w:r>
          </w:p>
        </w:tc>
      </w:tr>
      <w:tr>
        <w:trPr>
          <w:trHeight w:val="220"/>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Responsibilities</w:t>
            </w:r>
          </w:p>
        </w:tc>
        <w:tc>
          <w:tcPr>
            <w:tcW w:w="380" w:type="dxa"/>
            <w:vAlign w:val="bottom"/>
          </w:tcPr>
          <w:p>
            <w:pPr>
              <w:spacing w:after="0"/>
              <w:rPr>
                <w:sz w:val="19"/>
                <w:szCs w:val="19"/>
                <w:color w:val="auto"/>
              </w:rPr>
            </w:pPr>
          </w:p>
        </w:tc>
        <w:tc>
          <w:tcPr>
            <w:tcW w:w="8880" w:type="dxa"/>
            <w:vAlign w:val="bottom"/>
          </w:tcPr>
          <w:p>
            <w:pPr>
              <w:ind w:left="40"/>
              <w:spacing w:after="0"/>
              <w:rPr>
                <w:sz w:val="20"/>
                <w:szCs w:val="20"/>
                <w:color w:val="auto"/>
              </w:rPr>
            </w:pPr>
            <w:r>
              <w:rPr>
                <w:rFonts w:ascii="Arial" w:cs="Arial" w:eastAsia="Arial" w:hAnsi="Arial"/>
                <w:sz w:val="18"/>
                <w:szCs w:val="18"/>
                <w:color w:val="auto"/>
              </w:rPr>
              <w:t>the Board is not in session.</w:t>
            </w:r>
          </w:p>
        </w:tc>
      </w:tr>
      <w:tr>
        <w:trPr>
          <w:trHeight w:val="216"/>
        </w:trPr>
        <w:tc>
          <w:tcPr>
            <w:tcW w:w="1940" w:type="dxa"/>
            <w:vAlign w:val="bottom"/>
          </w:tcPr>
          <w:p>
            <w:pPr>
              <w:spacing w:after="0"/>
              <w:rPr>
                <w:sz w:val="18"/>
                <w:szCs w:val="18"/>
                <w:color w:val="auto"/>
              </w:rPr>
            </w:pP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c>
          <w:tcPr>
            <w:tcW w:w="8880" w:type="dxa"/>
            <w:vAlign w:val="bottom"/>
          </w:tcPr>
          <w:p>
            <w:pPr>
              <w:ind w:left="40"/>
              <w:spacing w:after="0"/>
              <w:rPr>
                <w:sz w:val="20"/>
                <w:szCs w:val="20"/>
                <w:color w:val="auto"/>
              </w:rPr>
            </w:pPr>
            <w:r>
              <w:rPr>
                <w:rFonts w:ascii="Arial" w:cs="Arial" w:eastAsia="Arial" w:hAnsi="Arial"/>
                <w:sz w:val="18"/>
                <w:szCs w:val="18"/>
                <w:color w:val="auto"/>
              </w:rPr>
              <w:t>Review and approve related-party transactions between the Company and Hershey Trust Company, Hershey</w:t>
            </w:r>
          </w:p>
        </w:tc>
      </w:tr>
      <w:tr>
        <w:trPr>
          <w:trHeight w:val="230"/>
        </w:trPr>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80" w:type="dxa"/>
            <w:vAlign w:val="bottom"/>
          </w:tcPr>
          <w:p>
            <w:pPr>
              <w:ind w:left="40"/>
              <w:spacing w:after="0"/>
              <w:rPr>
                <w:sz w:val="20"/>
                <w:szCs w:val="20"/>
                <w:color w:val="auto"/>
              </w:rPr>
            </w:pPr>
            <w:r>
              <w:rPr>
                <w:rFonts w:ascii="Arial" w:cs="Arial" w:eastAsia="Arial" w:hAnsi="Arial"/>
                <w:sz w:val="18"/>
                <w:szCs w:val="18"/>
                <w:color w:val="auto"/>
              </w:rPr>
              <w:t>Entertainment &amp; Resorts Company and/or Milton Hershey School, or any of their affiliates.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-565150</wp:posOffset>
            </wp:positionV>
            <wp:extent cx="8890" cy="1028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02870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2180" w:val="left"/>
        </w:tabs>
        <w:rPr>
          <w:sz w:val="20"/>
          <w:szCs w:val="20"/>
          <w:color w:val="auto"/>
        </w:rPr>
      </w:pPr>
      <w:r>
        <w:rPr>
          <w:rFonts w:ascii="Arial" w:cs="Arial" w:eastAsia="Arial" w:hAnsi="Arial"/>
          <w:sz w:val="18"/>
          <w:szCs w:val="18"/>
          <w:b w:val="1"/>
          <w:bCs w:val="1"/>
          <w:color w:val="auto"/>
        </w:rPr>
        <w:t>General Information</w:t>
      </w:r>
      <w:r>
        <w:rPr>
          <w:sz w:val="20"/>
          <w:szCs w:val="20"/>
          <w:color w:val="auto"/>
        </w:rPr>
        <w:tab/>
      </w:r>
      <w:r>
        <w:rPr>
          <w:rFonts w:ascii="Arial" w:cs="Arial" w:eastAsia="Arial" w:hAnsi="Arial"/>
          <w:sz w:val="16"/>
          <w:szCs w:val="16"/>
          <w:color w:val="auto"/>
        </w:rPr>
        <w:t xml:space="preserve">• Charter can be viewed on the Investors section of our website at </w:t>
      </w:r>
      <w:r>
        <w:rPr>
          <w:rFonts w:ascii="Arial" w:cs="Arial" w:eastAsia="Arial" w:hAnsi="Arial"/>
          <w:sz w:val="16"/>
          <w:szCs w:val="16"/>
          <w:i w:val="1"/>
          <w:iCs w:val="1"/>
          <w:color w:val="auto"/>
        </w:rPr>
        <w:t>www.thehersheycompany.com.</w:t>
      </w:r>
    </w:p>
    <w:p>
      <w:pPr>
        <w:spacing w:after="0" w:line="27" w:lineRule="exact"/>
        <w:rPr>
          <w:sz w:val="20"/>
          <w:szCs w:val="20"/>
          <w:color w:val="auto"/>
        </w:rPr>
      </w:pPr>
    </w:p>
    <w:p>
      <w:pPr>
        <w:ind w:left="2360" w:right="20" w:hanging="154"/>
        <w:spacing w:after="0" w:line="260" w:lineRule="auto"/>
        <w:tabs>
          <w:tab w:leader="none" w:pos="23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more information regarding the review, approval or ratification of related-party transactions, please refer to the section entitled “Certain Transactions and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40" w:top="1192"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25"/>
          <w:szCs w:val="25"/>
          <w:b w:val="1"/>
          <w:bCs w:val="1"/>
          <w:color w:val="3F000B"/>
        </w:rPr>
        <w:t>PROPOSAL NO. 1 – ELECTION OF DIRECTORS</w:t>
      </w: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444"/>
        </w:trPr>
        <w:tc>
          <w:tcPr>
            <w:tcW w:w="1420" w:type="dxa"/>
            <w:vAlign w:val="bottom"/>
            <w:tcBorders>
              <w:top w:val="single" w:sz="8" w:color="542121"/>
              <w:left w:val="single" w:sz="8" w:color="542121"/>
              <w:right w:val="single" w:sz="8" w:color="3F000B"/>
            </w:tcBorders>
          </w:tcPr>
          <w:p>
            <w:pPr>
              <w:ind w:left="260"/>
              <w:spacing w:after="0" w:line="443" w:lineRule="exact"/>
              <w:rPr>
                <w:sz w:val="20"/>
                <w:szCs w:val="20"/>
                <w:color w:val="auto"/>
              </w:rPr>
            </w:pPr>
            <w:r>
              <w:rPr>
                <w:rFonts w:ascii="Arial" w:cs="Arial" w:eastAsia="Arial" w:hAnsi="Arial"/>
                <w:sz w:val="51"/>
                <w:szCs w:val="51"/>
                <w:color w:val="542121"/>
              </w:rPr>
              <w:t>ü</w:t>
            </w:r>
          </w:p>
        </w:tc>
        <w:tc>
          <w:tcPr>
            <w:tcW w:w="9800" w:type="dxa"/>
            <w:vAlign w:val="bottom"/>
            <w:tcBorders>
              <w:top w:val="single" w:sz="8" w:color="3F000B"/>
            </w:tcBorders>
            <w:shd w:val="clear" w:color="auto" w:fill="3F000B"/>
          </w:tcPr>
          <w:p>
            <w:pPr>
              <w:jc w:val="center"/>
              <w:spacing w:after="0"/>
              <w:rPr>
                <w:sz w:val="20"/>
                <w:szCs w:val="20"/>
                <w:color w:val="auto"/>
              </w:rPr>
            </w:pPr>
            <w:r>
              <w:rPr>
                <w:rFonts w:ascii="Arial" w:cs="Arial" w:eastAsia="Arial" w:hAnsi="Arial"/>
                <w:sz w:val="25"/>
                <w:szCs w:val="25"/>
                <w:color w:val="FFFFFF"/>
                <w:w w:val="91"/>
              </w:rPr>
              <w:t>The Board of Directors unanimously recommends that stockholders</w:t>
            </w:r>
          </w:p>
        </w:tc>
      </w:tr>
      <w:tr>
        <w:trPr>
          <w:trHeight w:val="328"/>
        </w:trPr>
        <w:tc>
          <w:tcPr>
            <w:tcW w:w="1420" w:type="dxa"/>
            <w:vAlign w:val="bottom"/>
            <w:tcBorders>
              <w:left w:val="single" w:sz="8" w:color="542121"/>
              <w:right w:val="single" w:sz="8" w:color="3F000B"/>
            </w:tcBorders>
          </w:tcPr>
          <w:p>
            <w:pPr>
              <w:spacing w:after="0"/>
              <w:rPr>
                <w:sz w:val="24"/>
                <w:szCs w:val="24"/>
                <w:color w:val="auto"/>
              </w:rPr>
            </w:pPr>
          </w:p>
        </w:tc>
        <w:tc>
          <w:tcPr>
            <w:tcW w:w="9800" w:type="dxa"/>
            <w:vAlign w:val="bottom"/>
            <w:shd w:val="clear" w:color="auto" w:fill="3F000B"/>
          </w:tcPr>
          <w:p>
            <w:pPr>
              <w:jc w:val="center"/>
              <w:spacing w:after="0"/>
              <w:rPr>
                <w:sz w:val="20"/>
                <w:szCs w:val="20"/>
                <w:color w:val="auto"/>
              </w:rPr>
            </w:pPr>
            <w:r>
              <w:rPr>
                <w:rFonts w:ascii="Arial" w:cs="Arial" w:eastAsia="Arial" w:hAnsi="Arial"/>
                <w:sz w:val="25"/>
                <w:szCs w:val="25"/>
                <w:color w:val="FFFFFF"/>
                <w:w w:val="92"/>
              </w:rPr>
              <w:t xml:space="preserve">vote </w:t>
            </w:r>
            <w:r>
              <w:rPr>
                <w:rFonts w:ascii="Arial" w:cs="Arial" w:eastAsia="Arial" w:hAnsi="Arial"/>
                <w:sz w:val="25"/>
                <w:szCs w:val="25"/>
                <w:b w:val="1"/>
                <w:bCs w:val="1"/>
                <w:color w:val="FFFFFF"/>
                <w:w w:val="92"/>
              </w:rPr>
              <w:t>FOR</w:t>
            </w:r>
            <w:r>
              <w:rPr>
                <w:rFonts w:ascii="Arial" w:cs="Arial" w:eastAsia="Arial" w:hAnsi="Arial"/>
                <w:sz w:val="25"/>
                <w:szCs w:val="25"/>
                <w:color w:val="FFFFFF"/>
                <w:w w:val="92"/>
              </w:rPr>
              <w:t xml:space="preserve"> each of the nominees for director at the 2021 Annual Meeting</w:t>
            </w:r>
          </w:p>
        </w:tc>
      </w:tr>
      <w:tr>
        <w:trPr>
          <w:trHeight w:val="185"/>
        </w:trPr>
        <w:tc>
          <w:tcPr>
            <w:tcW w:w="1420" w:type="dxa"/>
            <w:vAlign w:val="bottom"/>
            <w:tcBorders>
              <w:left w:val="single" w:sz="8" w:color="542121"/>
              <w:bottom w:val="single" w:sz="8" w:color="542121"/>
              <w:right w:val="single" w:sz="8" w:color="3F000B"/>
            </w:tcBorders>
          </w:tcPr>
          <w:p>
            <w:pPr>
              <w:spacing w:after="0"/>
              <w:rPr>
                <w:sz w:val="16"/>
                <w:szCs w:val="16"/>
                <w:color w:val="auto"/>
              </w:rPr>
            </w:pPr>
          </w:p>
        </w:tc>
        <w:tc>
          <w:tcPr>
            <w:tcW w:w="9800" w:type="dxa"/>
            <w:vAlign w:val="bottom"/>
            <w:tcBorders>
              <w:bottom w:val="single" w:sz="8" w:color="3F000B"/>
            </w:tcBorders>
            <w:shd w:val="clear" w:color="auto" w:fill="3F000B"/>
          </w:tcPr>
          <w:p>
            <w:pPr>
              <w:spacing w:after="0"/>
              <w:rPr>
                <w:sz w:val="16"/>
                <w:szCs w:val="16"/>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first proposal to be voted on at the Annual Meeting is the election of 12 directors. If elected, the directors will hold office until the 2022 Annual Meeting of Stockholders of the Company or until their successors are elected and qualified.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Election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55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We have two classes of common stock outstanding: Common Stock and Class B Common Stock. Under our certificate of incorporation and by-laws:</w:t>
      </w:r>
    </w:p>
    <w:p>
      <w:pPr>
        <w:spacing w:after="0" w:line="129" w:lineRule="exact"/>
        <w:rPr>
          <w:sz w:val="20"/>
          <w:szCs w:val="20"/>
          <w:color w:val="auto"/>
        </w:rPr>
      </w:pPr>
    </w:p>
    <w:p>
      <w:pPr>
        <w:ind w:left="660" w:right="40" w:hanging="328"/>
        <w:spacing w:after="0" w:line="263"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One-sixth of the total number of our directors (which equates presently to two directors) will be elected by the holders of our Common Stock voting separately as a class. For the 2021 Annual Meeting, the Board has nominated Victor L. Crawford and Robert M. Dutkowsky for election by the holders of our Common Stock voting separately as a class.</w:t>
      </w:r>
    </w:p>
    <w:p>
      <w:pPr>
        <w:spacing w:after="0" w:line="2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remaining 10 directors will be elected by the holders of our Common Stock and Class B Common Stock voting together without regard to class.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the nominees to be elected by the holders of the Common Stock and the Class B Common Stock voting together, the 10 nominees receiving the greatest number of votes of the Common Stock and Class B Common Stock will be elected as directors. With respect to the nominees to be elected by the holders of the Common Stock voting separately as a class, the two nominees receiving the greatest number of votes of the Common Stock will be elected as directors.</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Board’s Corporate Governance Guidelines provide that directors will generally not be nominated for re-election after their 72</w:t>
      </w:r>
      <w:r>
        <w:rPr>
          <w:rFonts w:ascii="Arial" w:cs="Arial" w:eastAsia="Arial" w:hAnsi="Arial"/>
          <w:sz w:val="16"/>
          <w:szCs w:val="16"/>
          <w:color w:val="auto"/>
        </w:rPr>
        <w:t>nd</w:t>
      </w:r>
      <w:r>
        <w:rPr>
          <w:rFonts w:ascii="Arial" w:cs="Arial" w:eastAsia="Arial" w:hAnsi="Arial"/>
          <w:sz w:val="18"/>
          <w:szCs w:val="18"/>
          <w:color w:val="auto"/>
        </w:rPr>
        <w:t xml:space="preserve"> birthday. All of the directors standing for election at the 2021 Annual Meeting satisfied the applicable age guideline.</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nominees for election as director have indicated their willingness to serve if elected. If a nominee becomes unavailable for election for any reason, the proxies will have discretionary authority to vote for a substitute.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508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50845" cy="8890"/>
                    </a:xfrm>
                    <a:prstGeom prst="rect">
                      <a:avLst/>
                    </a:prstGeom>
                    <a:noFill/>
                  </pic:spPr>
                </pic:pic>
              </a:graphicData>
            </a:graphic>
          </wp:anchor>
        </w:drawing>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Board unanimously recommends the following nominees for election at the 2021 Annual Meeting. These nominees were recommended to the Board by the Governance Committee. In making its recommendation, the Governance Committee considered the experience, qualifications, attributes and skills of each nominee, as well as each director’s past performance on our Board, as reflected in the Governance Committee’s annual evaluation of Board and committee performance. This evaluation considers, among other things, each director’s individual contributions to the Board, the director’s ability to work collaboratively with other directors and the effectiveness of the Board as a whole.</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the following pages, we provide certain biographical information about each nominee for director, as well as information regarding the nominee’s specific experience, qualifications, attributes and skills that qualify him or her to serve as a director and as a member of the committee(s) of the Board on which the nominee 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886" w:right="339" w:bottom="1440" w:gutter="0" w:footer="0" w:header="0"/>
        </w:sectPr>
      </w:pPr>
    </w:p>
    <w:bookmarkStart w:id="30" w:name="page31"/>
    <w:bookmarkEnd w:id="30"/>
    <w:p>
      <w:pPr>
        <w:ind w:left="2560" w:right="280"/>
        <w:spacing w:after="0" w:line="279" w:lineRule="auto"/>
        <w:rPr>
          <w:sz w:val="20"/>
          <w:szCs w:val="20"/>
          <w:color w:val="auto"/>
        </w:rPr>
      </w:pPr>
      <w:r>
        <w:rPr>
          <w:rFonts w:ascii="Arial" w:cs="Arial" w:eastAsia="Arial" w:hAnsi="Arial"/>
          <w:sz w:val="14"/>
          <w:szCs w:val="14"/>
          <w:b w:val="1"/>
          <w:bCs w:val="1"/>
          <w:color w:val="auto"/>
        </w:rPr>
        <w:t>Former President, Japan/Asia Pacific/Australia Region, American Express International, Inc., a global payments, network and travel company, and its subsidiaries (October 2005 to January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-188595</wp:posOffset>
            </wp:positionV>
            <wp:extent cx="6875145" cy="1543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150"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560" w:right="100"/>
        <w:spacing w:after="0" w:line="257" w:lineRule="auto"/>
        <w:rPr>
          <w:sz w:val="20"/>
          <w:szCs w:val="20"/>
          <w:color w:val="auto"/>
        </w:rPr>
      </w:pPr>
      <w:r>
        <w:rPr>
          <w:rFonts w:ascii="Arial" w:cs="Arial" w:eastAsia="Arial" w:hAnsi="Arial"/>
          <w:sz w:val="14"/>
          <w:szCs w:val="14"/>
          <w:color w:val="3F000B"/>
        </w:rPr>
        <w:t>Throughout her 21-year career with American Express Company, Inc., Ms. Arway gained experience in the areas of finance, marketing, international business, government affairs, consumer products and human resources. She is a significant contributor to the Board in each of these areas.</w:t>
      </w:r>
    </w:p>
    <w:p>
      <w:pPr>
        <w:sectPr>
          <w:pgSz w:w="11900" w:h="16838" w:orient="portrait"/>
          <w:cols w:equalWidth="0" w:num="1">
            <w:col w:w="11000"/>
          </w:cols>
          <w:pgMar w:left="420" w:top="1035" w:right="479" w:bottom="1440" w:gutter="0" w:footer="0" w:header="0"/>
        </w:sectPr>
      </w:pP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2640" w:hanging="82"/>
        <w:spacing w:after="0" w:line="273" w:lineRule="auto"/>
        <w:tabs>
          <w:tab w:leader="none" w:pos="2645" w:val="left"/>
        </w:tabs>
        <w:numPr>
          <w:ilvl w:val="0"/>
          <w:numId w:val="70"/>
        </w:numPr>
        <w:rPr>
          <w:rFonts w:ascii="Arial" w:cs="Arial" w:eastAsia="Arial" w:hAnsi="Arial"/>
          <w:sz w:val="14"/>
          <w:szCs w:val="14"/>
          <w:color w:val="auto"/>
        </w:rPr>
      </w:pPr>
      <w:r>
        <w:rPr>
          <w:rFonts w:ascii="Arial" w:cs="Arial" w:eastAsia="Arial" w:hAnsi="Arial"/>
          <w:sz w:val="14"/>
          <w:szCs w:val="14"/>
          <w:color w:val="auto"/>
        </w:rPr>
        <w:t>Spent 21 years in positions of increasing responsibility at American Express Company, Inc. and its subsidiaries</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CURRENT PUBLIC AND OTHER KEY DIRECTORSHIPS</w:t>
      </w:r>
    </w:p>
    <w:p>
      <w:pPr>
        <w:spacing w:after="0" w:line="55" w:lineRule="exact"/>
        <w:rPr>
          <w:sz w:val="20"/>
          <w:szCs w:val="20"/>
          <w:color w:val="auto"/>
        </w:rPr>
      </w:pPr>
    </w:p>
    <w:p>
      <w:pPr>
        <w:ind w:left="2640" w:hanging="82"/>
        <w:spacing w:after="0"/>
        <w:tabs>
          <w:tab w:leader="none" w:pos="2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Carlson Inc. (May 2019 to present)</w:t>
      </w:r>
    </w:p>
    <w:p>
      <w:pPr>
        <w:spacing w:after="0" w:line="13" w:lineRule="exact"/>
        <w:rPr>
          <w:rFonts w:ascii="Arial" w:cs="Arial" w:eastAsia="Arial" w:hAnsi="Arial"/>
          <w:sz w:val="14"/>
          <w:szCs w:val="14"/>
          <w:color w:val="auto"/>
        </w:rPr>
      </w:pPr>
    </w:p>
    <w:p>
      <w:pPr>
        <w:ind w:left="2640" w:hanging="82"/>
        <w:spacing w:after="0"/>
        <w:tabs>
          <w:tab w:leader="none" w:pos="2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Iron Mountain Incorporated (May 2014 to present)</w:t>
      </w:r>
    </w:p>
    <w:p>
      <w:pPr>
        <w:spacing w:after="0"/>
        <w:tabs>
          <w:tab w:leader="none" w:pos="2540" w:val="left"/>
        </w:tabs>
        <w:rPr>
          <w:sz w:val="20"/>
          <w:szCs w:val="20"/>
          <w:color w:val="auto"/>
        </w:rPr>
      </w:pPr>
      <w:r>
        <w:rPr>
          <w:rFonts w:ascii="Arial" w:cs="Arial" w:eastAsia="Arial" w:hAnsi="Arial"/>
          <w:sz w:val="30"/>
          <w:szCs w:val="30"/>
          <w:b w:val="1"/>
          <w:bCs w:val="1"/>
          <w:color w:val="3F000B"/>
          <w:vertAlign w:val="subscript"/>
        </w:rPr>
        <w:t>Pamela M. Arway</w:t>
      </w:r>
      <w:r>
        <w:rPr>
          <w:sz w:val="20"/>
          <w:szCs w:val="20"/>
          <w:color w:val="auto"/>
        </w:rPr>
        <w:tab/>
      </w:r>
      <w:r>
        <w:rPr>
          <w:rFonts w:ascii="Arial" w:cs="Arial" w:eastAsia="Arial" w:hAnsi="Arial"/>
          <w:sz w:val="13"/>
          <w:szCs w:val="13"/>
          <w:color w:val="auto"/>
        </w:rPr>
        <w:t>• DaVita Inc. (July 2009 to present)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2010</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67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spacing w:after="0" w:line="17" w:lineRule="exact"/>
        <w:rPr>
          <w:sz w:val="20"/>
          <w:szCs w:val="20"/>
          <w:color w:val="auto"/>
        </w:rPr>
      </w:pPr>
    </w:p>
    <w:p>
      <w:pPr>
        <w:ind w:left="100" w:hanging="93"/>
        <w:spacing w:after="0"/>
        <w:tabs>
          <w:tab w:leader="none" w:pos="1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Compensation (Chair)</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Executive</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Finance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407670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55" w:lineRule="exact"/>
        <w:rPr>
          <w:sz w:val="20"/>
          <w:szCs w:val="20"/>
          <w:color w:val="auto"/>
        </w:rPr>
      </w:pPr>
    </w:p>
    <w:p>
      <w:pPr>
        <w:ind w:left="80" w:right="240" w:hanging="78"/>
        <w:spacing w:after="0" w:line="250" w:lineRule="auto"/>
        <w:tabs>
          <w:tab w:leader="none" w:pos="85" w:val="left"/>
        </w:tabs>
        <w:numPr>
          <w:ilvl w:val="0"/>
          <w:numId w:val="73"/>
        </w:numPr>
        <w:rPr>
          <w:rFonts w:ascii="Arial" w:cs="Arial" w:eastAsia="Arial" w:hAnsi="Arial"/>
          <w:sz w:val="14"/>
          <w:szCs w:val="14"/>
          <w:color w:val="auto"/>
        </w:rPr>
      </w:pPr>
      <w:r>
        <w:rPr>
          <w:rFonts w:ascii="Arial" w:cs="Arial" w:eastAsia="Arial" w:hAnsi="Arial"/>
          <w:sz w:val="14"/>
          <w:szCs w:val="14"/>
          <w:color w:val="auto"/>
        </w:rPr>
        <w:t>Bachelor’s degree in languages from Memorial University of Newfoundland</w:t>
      </w:r>
    </w:p>
    <w:p>
      <w:pPr>
        <w:ind w:left="80" w:right="440" w:hanging="78"/>
        <w:spacing w:after="0" w:line="255" w:lineRule="auto"/>
        <w:tabs>
          <w:tab w:leader="none" w:pos="85" w:val="left"/>
        </w:tabs>
        <w:numPr>
          <w:ilvl w:val="0"/>
          <w:numId w:val="73"/>
        </w:numPr>
        <w:rPr>
          <w:rFonts w:ascii="Arial" w:cs="Arial" w:eastAsia="Arial" w:hAnsi="Arial"/>
          <w:sz w:val="14"/>
          <w:szCs w:val="14"/>
          <w:color w:val="auto"/>
        </w:rPr>
      </w:pPr>
      <w:r>
        <w:rPr>
          <w:rFonts w:ascii="Arial" w:cs="Arial" w:eastAsia="Arial" w:hAnsi="Arial"/>
          <w:sz w:val="14"/>
          <w:szCs w:val="14"/>
          <w:color w:val="auto"/>
        </w:rPr>
        <w:t>Masters of Business Administration degree from Queen’s University, Kingston, Ontario, Canada</w:t>
      </w:r>
    </w:p>
    <w:p>
      <w:pPr>
        <w:spacing w:after="0" w:line="1827" w:lineRule="exact"/>
        <w:rPr>
          <w:sz w:val="20"/>
          <w:szCs w:val="20"/>
          <w:color w:val="auto"/>
        </w:rPr>
      </w:pPr>
    </w:p>
    <w:p>
      <w:pPr>
        <w:sectPr>
          <w:pgSz w:w="11900" w:h="16838" w:orient="portrait"/>
          <w:cols w:equalWidth="0" w:num="2">
            <w:col w:w="7040" w:space="120"/>
            <w:col w:w="3840"/>
          </w:cols>
          <w:pgMar w:left="420" w:top="103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Director, Hershey Trust Company; Member, Board of Managers, Milton Hershey School (February 2016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-52705</wp:posOffset>
            </wp:positionV>
            <wp:extent cx="6875145" cy="1543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55"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560"/>
        <w:spacing w:after="0" w:line="249" w:lineRule="auto"/>
        <w:rPr>
          <w:sz w:val="20"/>
          <w:szCs w:val="20"/>
          <w:color w:val="auto"/>
        </w:rPr>
      </w:pPr>
      <w:r>
        <w:rPr>
          <w:rFonts w:ascii="Arial" w:cs="Arial" w:eastAsia="Arial" w:hAnsi="Arial"/>
          <w:sz w:val="14"/>
          <w:szCs w:val="14"/>
          <w:color w:val="3F000B"/>
        </w:rPr>
        <w:t>One of three representatives of Hershey Trust Company and Milton Hershey School currently serving on the Board, Mr. Brown provides valuable perspectives not only as a representative of our largest stockholder, but also of the school that is its sole beneficiary. In addition, Mr. Brown has significant experience in government relations, finance and private equity/venture capital. His familiarity with policy and operations of both Pennsylvania State and U.S. Federal Government and his experience as an investor in and director of both public and private companies make him an important addition to the Board on matters of strategy and risk management.</w:t>
      </w:r>
    </w:p>
    <w:p>
      <w:pPr>
        <w:sectPr>
          <w:pgSz w:w="11900" w:h="16838" w:orient="portrait"/>
          <w:cols w:equalWidth="0" w:num="1">
            <w:col w:w="11000"/>
          </w:cols>
          <w:pgMar w:left="420" w:top="103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3F000B"/>
        </w:rPr>
        <w:t>James W. Brown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69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spacing w:after="0" w:line="17" w:lineRule="exact"/>
        <w:rPr>
          <w:sz w:val="20"/>
          <w:szCs w:val="20"/>
          <w:color w:val="auto"/>
        </w:rPr>
      </w:pPr>
    </w:p>
    <w:p>
      <w:pPr>
        <w:ind w:left="100" w:hanging="93"/>
        <w:spacing w:after="0"/>
        <w:tabs>
          <w:tab w:leader="none" w:pos="1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Audit</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Governance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82" w:hanging="82"/>
        <w:spacing w:after="0"/>
        <w:tabs>
          <w:tab w:leader="none" w:pos="82" w:val="left"/>
        </w:tabs>
        <w:numPr>
          <w:ilvl w:val="0"/>
          <w:numId w:val="75"/>
        </w:numPr>
        <w:rPr>
          <w:rFonts w:ascii="Arial" w:cs="Arial" w:eastAsia="Arial" w:hAnsi="Arial"/>
          <w:sz w:val="14"/>
          <w:szCs w:val="14"/>
          <w:color w:val="auto"/>
        </w:rPr>
      </w:pPr>
      <w:r>
        <w:rPr>
          <w:rFonts w:ascii="Arial" w:cs="Arial" w:eastAsia="Arial" w:hAnsi="Arial"/>
          <w:sz w:val="14"/>
          <w:szCs w:val="14"/>
          <w:color w:val="auto"/>
        </w:rPr>
        <w:t>Chief of Staff, United States Senator</w:t>
      </w:r>
    </w:p>
    <w:p>
      <w:pPr>
        <w:spacing w:after="0" w:line="13" w:lineRule="exact"/>
        <w:rPr>
          <w:rFonts w:ascii="Arial" w:cs="Arial" w:eastAsia="Arial" w:hAnsi="Arial"/>
          <w:sz w:val="14"/>
          <w:szCs w:val="14"/>
          <w:color w:val="auto"/>
        </w:rPr>
      </w:pPr>
    </w:p>
    <w:p>
      <w:pPr>
        <w:ind w:left="82"/>
        <w:spacing w:after="0"/>
        <w:rPr>
          <w:rFonts w:ascii="Arial" w:cs="Arial" w:eastAsia="Arial" w:hAnsi="Arial"/>
          <w:sz w:val="14"/>
          <w:szCs w:val="14"/>
          <w:color w:val="auto"/>
        </w:rPr>
      </w:pPr>
      <w:r>
        <w:rPr>
          <w:rFonts w:ascii="Arial" w:cs="Arial" w:eastAsia="Arial" w:hAnsi="Arial"/>
          <w:sz w:val="14"/>
          <w:szCs w:val="14"/>
          <w:color w:val="auto"/>
        </w:rPr>
        <w:t>Robert P. Casey, Jr. (January 2007 to February 2016)</w:t>
      </w:r>
    </w:p>
    <w:p>
      <w:pPr>
        <w:spacing w:after="0" w:line="1" w:lineRule="exact"/>
        <w:rPr>
          <w:rFonts w:ascii="Arial" w:cs="Arial" w:eastAsia="Arial" w:hAnsi="Arial"/>
          <w:sz w:val="14"/>
          <w:szCs w:val="14"/>
          <w:color w:val="auto"/>
        </w:rPr>
      </w:pPr>
    </w:p>
    <w:p>
      <w:pPr>
        <w:ind w:left="82" w:hanging="82"/>
        <w:spacing w:after="0"/>
        <w:tabs>
          <w:tab w:leader="none" w:pos="82" w:val="left"/>
        </w:tabs>
        <w:numPr>
          <w:ilvl w:val="0"/>
          <w:numId w:val="75"/>
        </w:numPr>
        <w:rPr>
          <w:rFonts w:ascii="Arial" w:cs="Arial" w:eastAsia="Arial" w:hAnsi="Arial"/>
          <w:sz w:val="13"/>
          <w:szCs w:val="13"/>
          <w:color w:val="auto"/>
        </w:rPr>
      </w:pPr>
      <w:r>
        <w:rPr>
          <w:rFonts w:ascii="Arial" w:cs="Arial" w:eastAsia="Arial" w:hAnsi="Arial"/>
          <w:sz w:val="13"/>
          <w:szCs w:val="13"/>
          <w:color w:val="auto"/>
        </w:rPr>
        <w:t>Partner, SCP Private Equity Partners (January 1996 to December 2006)</w:t>
      </w:r>
    </w:p>
    <w:p>
      <w:pPr>
        <w:spacing w:after="0" w:line="12" w:lineRule="exact"/>
        <w:rPr>
          <w:rFonts w:ascii="Arial" w:cs="Arial" w:eastAsia="Arial" w:hAnsi="Arial"/>
          <w:sz w:val="13"/>
          <w:szCs w:val="13"/>
          <w:color w:val="auto"/>
        </w:rPr>
      </w:pPr>
    </w:p>
    <w:p>
      <w:pPr>
        <w:ind w:left="82" w:hanging="82"/>
        <w:spacing w:after="0" w:line="255" w:lineRule="auto"/>
        <w:tabs>
          <w:tab w:leader="none" w:pos="87" w:val="left"/>
        </w:tabs>
        <w:numPr>
          <w:ilvl w:val="0"/>
          <w:numId w:val="75"/>
        </w:numPr>
        <w:rPr>
          <w:rFonts w:ascii="Arial" w:cs="Arial" w:eastAsia="Arial" w:hAnsi="Arial"/>
          <w:sz w:val="14"/>
          <w:szCs w:val="14"/>
          <w:color w:val="auto"/>
        </w:rPr>
      </w:pPr>
      <w:r>
        <w:rPr>
          <w:rFonts w:ascii="Arial" w:cs="Arial" w:eastAsia="Arial" w:hAnsi="Arial"/>
          <w:sz w:val="14"/>
          <w:szCs w:val="14"/>
          <w:color w:val="auto"/>
        </w:rPr>
        <w:t>Chief of Staff, Pennsylvania Governor Robert P. Casey, Sr. (January 1989 to December 1994)</w:t>
      </w:r>
    </w:p>
    <w:p>
      <w:pPr>
        <w:spacing w:after="0" w:line="24" w:lineRule="exact"/>
        <w:rPr>
          <w:sz w:val="20"/>
          <w:szCs w:val="20"/>
          <w:color w:val="auto"/>
        </w:rPr>
      </w:pPr>
    </w:p>
    <w:p>
      <w:pPr>
        <w:jc w:val="center"/>
        <w:ind w:right="858"/>
        <w:spacing w:after="0"/>
        <w:rPr>
          <w:sz w:val="20"/>
          <w:szCs w:val="20"/>
          <w:color w:val="auto"/>
        </w:rPr>
      </w:pPr>
      <w:r>
        <w:rPr>
          <w:rFonts w:ascii="Arial" w:cs="Arial" w:eastAsia="Arial" w:hAnsi="Arial"/>
          <w:sz w:val="13"/>
          <w:szCs w:val="13"/>
          <w:b w:val="1"/>
          <w:bCs w:val="1"/>
          <w:i w:val="1"/>
          <w:iCs w:val="1"/>
          <w:u w:val="single" w:color="auto"/>
          <w:color w:val="3F000B"/>
        </w:rPr>
        <w:t>CURRENT PUBLIC AND OTHER KEY DIRECTORSHIPS</w:t>
      </w:r>
    </w:p>
    <w:p>
      <w:pPr>
        <w:spacing w:after="0" w:line="67" w:lineRule="exact"/>
        <w:rPr>
          <w:sz w:val="20"/>
          <w:szCs w:val="20"/>
          <w:color w:val="auto"/>
        </w:rPr>
      </w:pPr>
    </w:p>
    <w:p>
      <w:pPr>
        <w:ind w:left="82" w:right="1360" w:hanging="82"/>
        <w:spacing w:after="0" w:line="273" w:lineRule="auto"/>
        <w:tabs>
          <w:tab w:leader="none" w:pos="87" w:val="left"/>
        </w:tabs>
        <w:numPr>
          <w:ilvl w:val="0"/>
          <w:numId w:val="76"/>
        </w:numPr>
        <w:rPr>
          <w:rFonts w:ascii="Arial" w:cs="Arial" w:eastAsia="Arial" w:hAnsi="Arial"/>
          <w:sz w:val="14"/>
          <w:szCs w:val="14"/>
          <w:color w:val="auto"/>
        </w:rPr>
      </w:pPr>
      <w:r>
        <w:rPr>
          <w:rFonts w:ascii="Arial" w:cs="Arial" w:eastAsia="Arial" w:hAnsi="Arial"/>
          <w:sz w:val="14"/>
          <w:szCs w:val="14"/>
          <w:color w:val="auto"/>
        </w:rPr>
        <w:t>FS Multi-Strategy Alternatives Fund/FS Series Trust (August 2017 to present)</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PAST PUBLIC COMPANY BOARDS</w:t>
      </w:r>
    </w:p>
    <w:p>
      <w:pPr>
        <w:spacing w:after="0" w:line="55" w:lineRule="exact"/>
        <w:rPr>
          <w:sz w:val="20"/>
          <w:szCs w:val="20"/>
          <w:color w:val="auto"/>
        </w:rPr>
      </w:pPr>
    </w:p>
    <w:p>
      <w:pPr>
        <w:ind w:left="80" w:right="1720" w:hanging="78"/>
        <w:spacing w:after="0" w:line="303" w:lineRule="auto"/>
        <w:tabs>
          <w:tab w:leader="none" w:pos="85" w:val="left"/>
        </w:tabs>
        <w:numPr>
          <w:ilvl w:val="0"/>
          <w:numId w:val="77"/>
        </w:numPr>
        <w:rPr>
          <w:rFonts w:ascii="Arial" w:cs="Arial" w:eastAsia="Arial" w:hAnsi="Arial"/>
          <w:sz w:val="13"/>
          <w:szCs w:val="13"/>
          <w:color w:val="auto"/>
        </w:rPr>
      </w:pPr>
      <w:r>
        <w:rPr>
          <w:rFonts w:ascii="Arial" w:cs="Arial" w:eastAsia="Arial" w:hAnsi="Arial"/>
          <w:sz w:val="13"/>
          <w:szCs w:val="13"/>
          <w:color w:val="auto"/>
        </w:rPr>
        <w:t>FS Investment Corporation III (February 2016 to December 2018)</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5" w:lineRule="exact"/>
        <w:rPr>
          <w:sz w:val="20"/>
          <w:szCs w:val="20"/>
          <w:color w:val="auto"/>
        </w:rPr>
      </w:pPr>
    </w:p>
    <w:p>
      <w:pPr>
        <w:ind w:left="80" w:hanging="78"/>
        <w:spacing w:after="0"/>
        <w:tabs>
          <w:tab w:leader="none" w:pos="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Bachelor’s degree, </w:t>
      </w:r>
      <w:r>
        <w:rPr>
          <w:rFonts w:ascii="Arial" w:cs="Arial" w:eastAsia="Arial" w:hAnsi="Arial"/>
          <w:sz w:val="13"/>
          <w:szCs w:val="13"/>
          <w:i w:val="1"/>
          <w:iCs w:val="1"/>
          <w:color w:val="auto"/>
        </w:rPr>
        <w:t>magna cum laude</w:t>
      </w:r>
      <w:r>
        <w:rPr>
          <w:rFonts w:ascii="Arial" w:cs="Arial" w:eastAsia="Arial" w:hAnsi="Arial"/>
          <w:sz w:val="13"/>
          <w:szCs w:val="13"/>
          <w:color w:val="auto"/>
        </w:rPr>
        <w:t>, from Villanova University</w:t>
      </w:r>
    </w:p>
    <w:p>
      <w:pPr>
        <w:spacing w:after="0" w:line="24" w:lineRule="exact"/>
        <w:rPr>
          <w:rFonts w:ascii="Arial" w:cs="Arial" w:eastAsia="Arial" w:hAnsi="Arial"/>
          <w:sz w:val="13"/>
          <w:szCs w:val="13"/>
          <w:color w:val="auto"/>
        </w:rPr>
      </w:pPr>
    </w:p>
    <w:p>
      <w:pPr>
        <w:ind w:left="80" w:hanging="78"/>
        <w:spacing w:after="0"/>
        <w:tabs>
          <w:tab w:leader="none" w:pos="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Juris Doctor degree from the University of Virginia Law School</w:t>
      </w:r>
    </w:p>
    <w:p>
      <w:pPr>
        <w:spacing w:after="0" w:line="1034" w:lineRule="exact"/>
        <w:rPr>
          <w:sz w:val="20"/>
          <w:szCs w:val="20"/>
          <w:color w:val="auto"/>
        </w:rPr>
      </w:pPr>
    </w:p>
    <w:p>
      <w:pPr>
        <w:sectPr>
          <w:pgSz w:w="11900" w:h="16838" w:orient="portrait"/>
          <w:cols w:equalWidth="0" w:num="3">
            <w:col w:w="1838" w:space="720"/>
            <w:col w:w="4482" w:space="120"/>
            <w:col w:w="3840"/>
          </w:cols>
          <w:pgMar w:left="420" w:top="103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00"/>
          </w:cols>
          <w:pgMar w:left="420" w:top="1035" w:right="479" w:bottom="1440" w:gutter="0" w:footer="0" w:header="0"/>
          <w:type w:val="continuous"/>
        </w:sectPr>
      </w:pPr>
    </w:p>
    <w:bookmarkStart w:id="31" w:name="page32"/>
    <w:bookmarkEnd w:id="31"/>
    <w:p>
      <w:pPr>
        <w:ind w:left="2560"/>
        <w:spacing w:after="0"/>
        <w:rPr>
          <w:sz w:val="20"/>
          <w:szCs w:val="20"/>
          <w:color w:val="auto"/>
        </w:rPr>
      </w:pPr>
      <w:r>
        <w:rPr>
          <w:rFonts w:ascii="Arial" w:cs="Arial" w:eastAsia="Arial" w:hAnsi="Arial"/>
          <w:sz w:val="14"/>
          <w:szCs w:val="14"/>
          <w:b w:val="1"/>
          <w:bCs w:val="1"/>
          <w:color w:val="auto"/>
        </w:rPr>
        <w:t>Chairman of the Board, President and Chief Executive Officer, The Hershey Company (October 2019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-52705</wp:posOffset>
            </wp:positionV>
            <wp:extent cx="6875145" cy="1543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560" w:right="60"/>
        <w:spacing w:after="0" w:line="249" w:lineRule="auto"/>
        <w:rPr>
          <w:sz w:val="20"/>
          <w:szCs w:val="20"/>
          <w:color w:val="auto"/>
        </w:rPr>
      </w:pPr>
      <w:r>
        <w:rPr>
          <w:rFonts w:ascii="Arial" w:cs="Arial" w:eastAsia="Arial" w:hAnsi="Arial"/>
          <w:sz w:val="14"/>
          <w:szCs w:val="14"/>
          <w:color w:val="3F000B"/>
        </w:rPr>
        <w:t>As Chairman of the Board, President and Chief Executive Officer, Ms. Buck is responsible for all day-to-day global operations and commercial activities of the Company. Having served at the Company for more than 15 years and as an executive in the consumer packaged goods industry for more than 30 years, Ms. Buck is a valuable contributor to the Board in the areas of marketing, consumer products, strategy, supply chain management and mergers and acquisitions. Her presence in the boardroom also ensures efficient communication between the Board and Company management.</w:t>
      </w:r>
    </w:p>
    <w:p>
      <w:pPr>
        <w:sectPr>
          <w:pgSz w:w="11900" w:h="16838" w:orient="portrait"/>
          <w:cols w:equalWidth="0" w:num="1">
            <w:col w:w="11060"/>
          </w:cols>
          <w:pgMar w:left="420" w:top="115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3F000B"/>
        </w:rPr>
        <w:t>Michele G. Buck</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59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spacing w:after="0"/>
        <w:rPr>
          <w:sz w:val="20"/>
          <w:szCs w:val="20"/>
          <w:color w:val="auto"/>
        </w:rPr>
      </w:pPr>
      <w:r>
        <w:rPr>
          <w:rFonts w:ascii="Arial" w:cs="Arial" w:eastAsia="Arial" w:hAnsi="Arial"/>
          <w:sz w:val="14"/>
          <w:szCs w:val="14"/>
          <w:color w:val="auto"/>
        </w:rPr>
        <w:t>• 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82" w:hanging="82"/>
        <w:spacing w:after="0"/>
        <w:tabs>
          <w:tab w:leader="none" w:pos="82"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President and Chief Executive Officer (March 2017 to October 2019)</w:t>
      </w:r>
    </w:p>
    <w:p>
      <w:pPr>
        <w:spacing w:after="0" w:line="13" w:lineRule="exact"/>
        <w:rPr>
          <w:rFonts w:ascii="Arial" w:cs="Arial" w:eastAsia="Arial" w:hAnsi="Arial"/>
          <w:sz w:val="14"/>
          <w:szCs w:val="14"/>
          <w:color w:val="auto"/>
        </w:rPr>
      </w:pPr>
    </w:p>
    <w:p>
      <w:pPr>
        <w:ind w:left="82" w:right="1400" w:hanging="82"/>
        <w:spacing w:after="0" w:line="241" w:lineRule="auto"/>
        <w:tabs>
          <w:tab w:leader="none" w:pos="87"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Executive Vice President, Chief Operating Officer (June 2016 to March 2017)</w:t>
      </w:r>
    </w:p>
    <w:p>
      <w:pPr>
        <w:ind w:left="82" w:hanging="82"/>
        <w:spacing w:after="0"/>
        <w:tabs>
          <w:tab w:leader="none" w:pos="82"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President, North America (May 2013 to June 2016)</w:t>
      </w:r>
    </w:p>
    <w:p>
      <w:pPr>
        <w:spacing w:after="0" w:line="1" w:lineRule="exact"/>
        <w:rPr>
          <w:rFonts w:ascii="Arial" w:cs="Arial" w:eastAsia="Arial" w:hAnsi="Arial"/>
          <w:sz w:val="14"/>
          <w:szCs w:val="14"/>
          <w:color w:val="auto"/>
        </w:rPr>
      </w:pPr>
    </w:p>
    <w:p>
      <w:pPr>
        <w:ind w:left="82" w:right="1740" w:hanging="82"/>
        <w:spacing w:after="0" w:line="241" w:lineRule="auto"/>
        <w:tabs>
          <w:tab w:leader="none" w:pos="87"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Senior Vice President, Chief Growth Officer (September 2011 to May 2013)</w:t>
      </w:r>
    </w:p>
    <w:p>
      <w:pPr>
        <w:ind w:left="82" w:hanging="82"/>
        <w:spacing w:after="0" w:line="255" w:lineRule="auto"/>
        <w:tabs>
          <w:tab w:leader="none" w:pos="87"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Senior Vice President, Global Chief Marketing Officer (December 2007 to September 2011)</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CURRENT PUBLIC AND OTHER KEY DIRECTORSHIPS</w:t>
      </w:r>
    </w:p>
    <w:p>
      <w:pPr>
        <w:spacing w:after="0" w:line="55" w:lineRule="exact"/>
        <w:rPr>
          <w:sz w:val="20"/>
          <w:szCs w:val="20"/>
          <w:color w:val="auto"/>
        </w:rPr>
      </w:pPr>
    </w:p>
    <w:p>
      <w:pPr>
        <w:ind w:left="2"/>
        <w:spacing w:after="0"/>
        <w:rPr>
          <w:sz w:val="20"/>
          <w:szCs w:val="20"/>
          <w:color w:val="auto"/>
        </w:rPr>
      </w:pPr>
      <w:r>
        <w:rPr>
          <w:rFonts w:ascii="Arial" w:cs="Arial" w:eastAsia="Arial" w:hAnsi="Arial"/>
          <w:sz w:val="14"/>
          <w:szCs w:val="14"/>
          <w:color w:val="auto"/>
        </w:rPr>
        <w:t>• New York Life Insurance Company (November 2013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869950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55" w:lineRule="exact"/>
        <w:rPr>
          <w:sz w:val="20"/>
          <w:szCs w:val="20"/>
          <w:color w:val="auto"/>
        </w:rPr>
      </w:pPr>
    </w:p>
    <w:p>
      <w:pPr>
        <w:ind w:left="80" w:hanging="78"/>
        <w:spacing w:after="0"/>
        <w:tabs>
          <w:tab w:leader="none" w:pos="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Bachelor’s degree from Shippensburg University of Pennsylvania</w:t>
      </w:r>
    </w:p>
    <w:p>
      <w:pPr>
        <w:spacing w:after="0" w:line="24" w:lineRule="exact"/>
        <w:rPr>
          <w:rFonts w:ascii="Arial" w:cs="Arial" w:eastAsia="Arial" w:hAnsi="Arial"/>
          <w:sz w:val="13"/>
          <w:szCs w:val="13"/>
          <w:color w:val="auto"/>
        </w:rPr>
      </w:pPr>
    </w:p>
    <w:p>
      <w:pPr>
        <w:ind w:left="80" w:hanging="78"/>
        <w:spacing w:after="0" w:line="255" w:lineRule="auto"/>
        <w:tabs>
          <w:tab w:leader="none" w:pos="85" w:val="left"/>
        </w:tabs>
        <w:numPr>
          <w:ilvl w:val="0"/>
          <w:numId w:val="80"/>
        </w:numPr>
        <w:rPr>
          <w:rFonts w:ascii="Arial" w:cs="Arial" w:eastAsia="Arial" w:hAnsi="Arial"/>
          <w:sz w:val="14"/>
          <w:szCs w:val="14"/>
          <w:color w:val="auto"/>
        </w:rPr>
      </w:pPr>
      <w:r>
        <w:rPr>
          <w:rFonts w:ascii="Arial" w:cs="Arial" w:eastAsia="Arial" w:hAnsi="Arial"/>
          <w:sz w:val="14"/>
          <w:szCs w:val="14"/>
          <w:color w:val="auto"/>
        </w:rPr>
        <w:t>Masters of Business Administration degree from the University of North Carolina</w:t>
      </w:r>
    </w:p>
    <w:p>
      <w:pPr>
        <w:spacing w:after="0" w:line="1356" w:lineRule="exact"/>
        <w:rPr>
          <w:sz w:val="20"/>
          <w:szCs w:val="20"/>
          <w:color w:val="auto"/>
        </w:rPr>
      </w:pPr>
    </w:p>
    <w:p>
      <w:pPr>
        <w:sectPr>
          <w:pgSz w:w="11900" w:h="16838" w:orient="portrait"/>
          <w:cols w:equalWidth="0" w:num="3">
            <w:col w:w="1838" w:space="720"/>
            <w:col w:w="4382" w:space="220"/>
            <w:col w:w="3900"/>
          </w:cols>
          <w:pgMar w:left="420" w:top="115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560" w:right="160"/>
        <w:spacing w:after="0" w:line="279" w:lineRule="auto"/>
        <w:rPr>
          <w:sz w:val="20"/>
          <w:szCs w:val="20"/>
          <w:color w:val="auto"/>
        </w:rPr>
      </w:pPr>
      <w:r>
        <w:rPr>
          <w:rFonts w:ascii="Arial" w:cs="Arial" w:eastAsia="Arial" w:hAnsi="Arial"/>
          <w:sz w:val="14"/>
          <w:szCs w:val="14"/>
          <w:b w:val="1"/>
          <w:bCs w:val="1"/>
          <w:color w:val="auto"/>
        </w:rPr>
        <w:t>Chief Executive Officer, Pharmaceutical Segment, Cardinal Health, Inc., a global healthcare services and products company (November 2018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-188595</wp:posOffset>
            </wp:positionV>
            <wp:extent cx="6875145" cy="1543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04"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560" w:right="80"/>
        <w:spacing w:after="0" w:line="257" w:lineRule="auto"/>
        <w:rPr>
          <w:sz w:val="20"/>
          <w:szCs w:val="20"/>
          <w:color w:val="auto"/>
        </w:rPr>
      </w:pPr>
      <w:r>
        <w:rPr>
          <w:rFonts w:ascii="Arial" w:cs="Arial" w:eastAsia="Arial" w:hAnsi="Arial"/>
          <w:sz w:val="14"/>
          <w:szCs w:val="14"/>
          <w:color w:val="3F000B"/>
        </w:rPr>
        <w:t>Having held senior management positions at several companies across the food and beverage, hospitality and healthcare services industries, Mr. Crawford has a broad range of experience in digital transformation, fast moving consumer goods, logistics and supply chain management. He also brings valuable insights in the areas of emerging markets, consumer retail and finance to the Board.</w:t>
      </w:r>
    </w:p>
    <w:p>
      <w:pPr>
        <w:sectPr>
          <w:pgSz w:w="11900" w:h="16838" w:orient="portrait"/>
          <w:cols w:equalWidth="0" w:num="1">
            <w:col w:w="11060"/>
          </w:cols>
          <w:pgMar w:left="420" w:top="115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3F000B"/>
        </w:rPr>
        <w:t>Victor L. Crawford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2020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59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Committees</w:t>
      </w:r>
    </w:p>
    <w:p>
      <w:pPr>
        <w:ind w:left="100" w:hanging="93"/>
        <w:spacing w:after="0" w:line="201" w:lineRule="auto"/>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Audit</w:t>
      </w:r>
    </w:p>
    <w:p>
      <w:pPr>
        <w:ind w:left="100" w:hanging="93"/>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82" w:hanging="82"/>
        <w:spacing w:after="0" w:line="269" w:lineRule="auto"/>
        <w:tabs>
          <w:tab w:leader="none" w:pos="87" w:val="left"/>
        </w:tabs>
        <w:numPr>
          <w:ilvl w:val="0"/>
          <w:numId w:val="82"/>
        </w:numPr>
        <w:rPr>
          <w:rFonts w:ascii="Arial" w:cs="Arial" w:eastAsia="Arial" w:hAnsi="Arial"/>
          <w:sz w:val="13"/>
          <w:szCs w:val="13"/>
          <w:color w:val="auto"/>
        </w:rPr>
      </w:pPr>
      <w:r>
        <w:rPr>
          <w:rFonts w:ascii="Arial" w:cs="Arial" w:eastAsia="Arial" w:hAnsi="Arial"/>
          <w:sz w:val="13"/>
          <w:szCs w:val="13"/>
          <w:color w:val="auto"/>
        </w:rPr>
        <w:t>President and Chief Operating Officer, Healthcare, Education and Business Dining, Aramark Corporation (September 2012 to October 2018)</w:t>
      </w:r>
    </w:p>
    <w:p>
      <w:pPr>
        <w:ind w:left="82" w:right="460" w:hanging="82"/>
        <w:spacing w:after="0" w:line="241" w:lineRule="auto"/>
        <w:tabs>
          <w:tab w:leader="none" w:pos="87" w:val="left"/>
        </w:tabs>
        <w:numPr>
          <w:ilvl w:val="0"/>
          <w:numId w:val="82"/>
        </w:numPr>
        <w:rPr>
          <w:rFonts w:ascii="Arial" w:cs="Arial" w:eastAsia="Arial" w:hAnsi="Arial"/>
          <w:sz w:val="14"/>
          <w:szCs w:val="14"/>
          <w:color w:val="auto"/>
        </w:rPr>
      </w:pPr>
      <w:r>
        <w:rPr>
          <w:rFonts w:ascii="Arial" w:cs="Arial" w:eastAsia="Arial" w:hAnsi="Arial"/>
          <w:sz w:val="14"/>
          <w:szCs w:val="14"/>
          <w:color w:val="auto"/>
        </w:rPr>
        <w:t>President, North America, Pepsi Beverage Company, PepsiCo, Inc. (September 2010 to January 2012)</w:t>
      </w:r>
    </w:p>
    <w:p>
      <w:pPr>
        <w:ind w:left="82" w:right="220" w:hanging="82"/>
        <w:spacing w:after="0" w:line="255" w:lineRule="auto"/>
        <w:tabs>
          <w:tab w:leader="none" w:pos="87"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Executive Vice President, Supply Chain and Transformation, The Pepsi Bottling Group, Inc. (August 2009 to September 2010)</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CURRENT PUBLIC AND OTHER KEY DIRECTORSHIPS</w:t>
      </w:r>
    </w:p>
    <w:p>
      <w:pPr>
        <w:spacing w:after="0" w:line="55" w:lineRule="exact"/>
        <w:rPr>
          <w:sz w:val="20"/>
          <w:szCs w:val="20"/>
          <w:color w:val="auto"/>
        </w:rPr>
      </w:pPr>
    </w:p>
    <w:p>
      <w:pPr>
        <w:ind w:left="642" w:right="1900" w:hanging="642"/>
        <w:spacing w:after="0" w:line="358" w:lineRule="auto"/>
        <w:tabs>
          <w:tab w:leader="none" w:pos="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Board of Trustees, National Urban League (October 2010 to present)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PAST PUBLIC COMPANY BOARDS</w:t>
      </w:r>
    </w:p>
    <w:p>
      <w:pPr>
        <w:spacing w:after="0" w:line="55" w:lineRule="exact"/>
        <w:rPr>
          <w:sz w:val="20"/>
          <w:szCs w:val="20"/>
          <w:color w:val="auto"/>
        </w:rPr>
      </w:pPr>
    </w:p>
    <w:p>
      <w:pPr>
        <w:ind w:left="80" w:right="1700" w:hanging="78"/>
        <w:spacing w:after="0" w:line="273" w:lineRule="auto"/>
        <w:tabs>
          <w:tab w:leader="none" w:pos="94" w:val="left"/>
        </w:tabs>
        <w:numPr>
          <w:ilvl w:val="0"/>
          <w:numId w:val="84"/>
        </w:numPr>
        <w:rPr>
          <w:rFonts w:ascii="Arial" w:cs="Arial" w:eastAsia="Arial" w:hAnsi="Arial"/>
          <w:sz w:val="14"/>
          <w:szCs w:val="14"/>
          <w:color w:val="auto"/>
        </w:rPr>
      </w:pPr>
      <w:r>
        <w:rPr>
          <w:rFonts w:ascii="Arial" w:cs="Arial" w:eastAsia="Arial" w:hAnsi="Arial"/>
          <w:sz w:val="14"/>
          <w:szCs w:val="14"/>
          <w:color w:val="auto"/>
        </w:rPr>
        <w:t>Dave &amp; Buster’s Entertainment, Inc. (August 2016 to June 2020)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 Bachelor of Science in accounting from Boston College</w:t>
      </w:r>
    </w:p>
    <w:p>
      <w:pPr>
        <w:spacing w:after="0" w:line="1330" w:lineRule="exact"/>
        <w:rPr>
          <w:sz w:val="20"/>
          <w:szCs w:val="20"/>
          <w:color w:val="auto"/>
        </w:rPr>
      </w:pPr>
    </w:p>
    <w:p>
      <w:pPr>
        <w:sectPr>
          <w:pgSz w:w="11900" w:h="16838" w:orient="portrait"/>
          <w:cols w:equalWidth="0" w:num="3">
            <w:col w:w="1838" w:space="720"/>
            <w:col w:w="4422" w:space="180"/>
            <w:col w:w="3900"/>
          </w:cols>
          <w:pgMar w:left="420" w:top="1156" w:right="41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3500"/>
        <w:spacing w:after="0"/>
        <w:rPr>
          <w:sz w:val="20"/>
          <w:szCs w:val="20"/>
          <w:color w:val="auto"/>
        </w:rPr>
      </w:pPr>
      <w:r>
        <w:rPr>
          <w:rFonts w:ascii="Arial" w:cs="Arial" w:eastAsia="Arial" w:hAnsi="Arial"/>
          <w:sz w:val="12"/>
          <w:szCs w:val="12"/>
          <w:b w:val="1"/>
          <w:bCs w:val="1"/>
          <w:color w:val="3F000B"/>
        </w:rPr>
        <w:t>One of two directors nominated for election by the holders of the Common Stock voting separately as a class.</w:t>
      </w:r>
    </w:p>
    <w:p>
      <w:pPr>
        <w:sectPr>
          <w:pgSz w:w="11900" w:h="16838" w:orient="portrait"/>
          <w:cols w:equalWidth="0" w:num="1">
            <w:col w:w="11060"/>
          </w:cols>
          <w:pgMar w:left="420" w:top="115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60"/>
          </w:cols>
          <w:pgMar w:left="420" w:top="1156" w:right="419" w:bottom="1440" w:gutter="0" w:footer="0" w:header="0"/>
          <w:type w:val="continuous"/>
        </w:sectPr>
      </w:pPr>
    </w:p>
    <w:bookmarkStart w:id="32" w:name="page33"/>
    <w:bookmarkEnd w:id="32"/>
    <w:p>
      <w:pPr>
        <w:ind w:left="2640" w:right="260"/>
        <w:spacing w:after="0" w:line="279" w:lineRule="auto"/>
        <w:rPr>
          <w:sz w:val="20"/>
          <w:szCs w:val="20"/>
          <w:color w:val="auto"/>
        </w:rPr>
      </w:pPr>
      <w:r>
        <w:rPr>
          <w:rFonts w:ascii="Arial" w:cs="Arial" w:eastAsia="Arial" w:hAnsi="Arial"/>
          <w:sz w:val="14"/>
          <w:szCs w:val="14"/>
          <w:b w:val="1"/>
          <w:bCs w:val="1"/>
          <w:color w:val="auto"/>
        </w:rPr>
        <w:t>Former Executive Chairman and Chief Executive Officer, Tech Data Corporation, a wholesale distributor of technology products (June 2018 to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-222885</wp:posOffset>
            </wp:positionV>
            <wp:extent cx="6875145" cy="1543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42" w:lineRule="exact"/>
        <w:rPr>
          <w:sz w:val="20"/>
          <w:szCs w:val="20"/>
          <w:color w:val="auto"/>
        </w:rPr>
      </w:pPr>
    </w:p>
    <w:p>
      <w:pPr>
        <w:ind w:left="264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640" w:right="220"/>
        <w:spacing w:after="0" w:line="249" w:lineRule="auto"/>
        <w:rPr>
          <w:sz w:val="20"/>
          <w:szCs w:val="20"/>
          <w:color w:val="auto"/>
        </w:rPr>
      </w:pPr>
      <w:r>
        <w:rPr>
          <w:rFonts w:ascii="Arial" w:cs="Arial" w:eastAsia="Arial" w:hAnsi="Arial"/>
          <w:sz w:val="14"/>
          <w:szCs w:val="14"/>
          <w:color w:val="3F000B"/>
        </w:rPr>
        <w:t>Having spent most of his professional career in the technology industry, Mr. Dutkowsky brings to the Board broad operational experience and a deep understanding of how technology and digital capabilities drive growth and resiliency. The experiences and skills he developed as a senior executive at multiple technology and software businesses also allow Mr. Dutkowsky to provide the Board with insights related to finance, management, operations, risk management and governance. Mr. Dutkowsky was identified as a director nominee by Spencer Stuart as part of the Governance Committee’s director succession planning process.</w:t>
      </w:r>
    </w:p>
    <w:p>
      <w:pPr>
        <w:sectPr>
          <w:pgSz w:w="11900" w:h="16838" w:orient="portrait"/>
          <w:cols w:equalWidth="0" w:num="1">
            <w:col w:w="11200"/>
          </w:cols>
          <w:pgMar w:left="340" w:top="11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3F000B"/>
        </w:rPr>
        <w:t>Robert M. Dutkowsky</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2020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66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ind w:left="80" w:hanging="74"/>
        <w:spacing w:after="0" w:line="201" w:lineRule="auto"/>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Finance and Risk Management</w:t>
      </w:r>
    </w:p>
    <w:p>
      <w:pPr>
        <w:ind w:left="80" w:hanging="74"/>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Governance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82" w:hanging="82"/>
        <w:spacing w:after="0"/>
        <w:tabs>
          <w:tab w:leader="none" w:pos="82" w:val="left"/>
        </w:tabs>
        <w:numPr>
          <w:ilvl w:val="0"/>
          <w:numId w:val="86"/>
        </w:numPr>
        <w:rPr>
          <w:rFonts w:ascii="Arial" w:cs="Arial" w:eastAsia="Arial" w:hAnsi="Arial"/>
          <w:sz w:val="14"/>
          <w:szCs w:val="14"/>
          <w:color w:val="auto"/>
        </w:rPr>
      </w:pPr>
      <w:r>
        <w:rPr>
          <w:rFonts w:ascii="Arial" w:cs="Arial" w:eastAsia="Arial" w:hAnsi="Arial"/>
          <w:sz w:val="14"/>
          <w:szCs w:val="14"/>
          <w:color w:val="auto"/>
        </w:rPr>
        <w:t>Tech Data Corporation</w:t>
      </w:r>
    </w:p>
    <w:p>
      <w:pPr>
        <w:spacing w:after="0" w:line="13" w:lineRule="exact"/>
        <w:rPr>
          <w:rFonts w:ascii="Arial" w:cs="Arial" w:eastAsia="Arial" w:hAnsi="Arial"/>
          <w:sz w:val="14"/>
          <w:szCs w:val="14"/>
          <w:color w:val="auto"/>
        </w:rPr>
      </w:pPr>
    </w:p>
    <w:p>
      <w:pPr>
        <w:ind w:left="242" w:right="640" w:hanging="161"/>
        <w:spacing w:after="0" w:line="241" w:lineRule="auto"/>
        <w:tabs>
          <w:tab w:leader="none" w:pos="202" w:val="left"/>
        </w:tabs>
        <w:numPr>
          <w:ilvl w:val="1"/>
          <w:numId w:val="86"/>
        </w:numPr>
        <w:rPr>
          <w:rFonts w:ascii="Arial" w:cs="Arial" w:eastAsia="Arial" w:hAnsi="Arial"/>
          <w:sz w:val="14"/>
          <w:szCs w:val="14"/>
          <w:color w:val="auto"/>
        </w:rPr>
      </w:pPr>
      <w:r>
        <w:rPr>
          <w:rFonts w:ascii="Arial" w:cs="Arial" w:eastAsia="Arial" w:hAnsi="Arial"/>
          <w:sz w:val="14"/>
          <w:szCs w:val="14"/>
          <w:color w:val="auto"/>
        </w:rPr>
        <w:t>Chairman and Chief Executive Officer (June 2017 to June 2018)</w:t>
      </w:r>
    </w:p>
    <w:p>
      <w:pPr>
        <w:ind w:left="202" w:hanging="121"/>
        <w:spacing w:after="0"/>
        <w:tabs>
          <w:tab w:leader="none" w:pos="202" w:val="left"/>
        </w:tabs>
        <w:numPr>
          <w:ilvl w:val="1"/>
          <w:numId w:val="86"/>
        </w:numPr>
        <w:rPr>
          <w:rFonts w:ascii="Arial" w:cs="Arial" w:eastAsia="Arial" w:hAnsi="Arial"/>
          <w:sz w:val="14"/>
          <w:szCs w:val="14"/>
          <w:color w:val="auto"/>
        </w:rPr>
      </w:pPr>
      <w:r>
        <w:rPr>
          <w:rFonts w:ascii="Arial" w:cs="Arial" w:eastAsia="Arial" w:hAnsi="Arial"/>
          <w:sz w:val="14"/>
          <w:szCs w:val="14"/>
          <w:color w:val="auto"/>
        </w:rPr>
        <w:t>Chief Executive Officer (October 2006 to June 2017)</w:t>
      </w:r>
    </w:p>
    <w:p>
      <w:pPr>
        <w:spacing w:after="0" w:line="43"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u w:val="single" w:color="auto"/>
          <w:color w:val="3F000B"/>
        </w:rPr>
        <w:t>CURRENT PUBLIC AND OTHER KEY DIRECTORSHIPS</w:t>
      </w:r>
    </w:p>
    <w:p>
      <w:pPr>
        <w:spacing w:after="0" w:line="25" w:lineRule="exact"/>
        <w:rPr>
          <w:sz w:val="20"/>
          <w:szCs w:val="20"/>
          <w:color w:val="auto"/>
        </w:rPr>
      </w:pPr>
    </w:p>
    <w:p>
      <w:pPr>
        <w:ind w:left="82" w:hanging="82"/>
        <w:spacing w:after="0"/>
        <w:tabs>
          <w:tab w:leader="none" w:pos="82" w:val="left"/>
        </w:tabs>
        <w:numPr>
          <w:ilvl w:val="0"/>
          <w:numId w:val="87"/>
        </w:numPr>
        <w:rPr>
          <w:rFonts w:ascii="Arial" w:cs="Arial" w:eastAsia="Arial" w:hAnsi="Arial"/>
          <w:sz w:val="14"/>
          <w:szCs w:val="14"/>
          <w:color w:val="auto"/>
        </w:rPr>
      </w:pPr>
      <w:r>
        <w:rPr>
          <w:rFonts w:ascii="Arial" w:cs="Arial" w:eastAsia="Arial" w:hAnsi="Arial"/>
          <w:sz w:val="14"/>
          <w:szCs w:val="14"/>
          <w:color w:val="auto"/>
        </w:rPr>
        <w:t>Pitney Bowes, Inc. (July 2018 to present)</w:t>
      </w:r>
    </w:p>
    <w:p>
      <w:pPr>
        <w:spacing w:after="0" w:line="1" w:lineRule="exact"/>
        <w:rPr>
          <w:rFonts w:ascii="Arial" w:cs="Arial" w:eastAsia="Arial" w:hAnsi="Arial"/>
          <w:sz w:val="14"/>
          <w:szCs w:val="14"/>
          <w:color w:val="auto"/>
        </w:rPr>
      </w:pPr>
    </w:p>
    <w:p>
      <w:pPr>
        <w:ind w:left="82" w:hanging="82"/>
        <w:spacing w:after="0"/>
        <w:tabs>
          <w:tab w:leader="none" w:pos="82" w:val="left"/>
        </w:tabs>
        <w:numPr>
          <w:ilvl w:val="0"/>
          <w:numId w:val="87"/>
        </w:numPr>
        <w:rPr>
          <w:rFonts w:ascii="Arial" w:cs="Arial" w:eastAsia="Arial" w:hAnsi="Arial"/>
          <w:sz w:val="13"/>
          <w:szCs w:val="13"/>
          <w:color w:val="auto"/>
        </w:rPr>
      </w:pPr>
      <w:r>
        <w:rPr>
          <w:rFonts w:ascii="Arial" w:cs="Arial" w:eastAsia="Arial" w:hAnsi="Arial"/>
          <w:sz w:val="13"/>
          <w:szCs w:val="13"/>
          <w:color w:val="auto"/>
        </w:rPr>
        <w:t>Raymond James Financial, Inc. (October 2018 to present)</w:t>
      </w:r>
    </w:p>
    <w:p>
      <w:pPr>
        <w:spacing w:after="0" w:line="12" w:lineRule="exact"/>
        <w:rPr>
          <w:rFonts w:ascii="Arial" w:cs="Arial" w:eastAsia="Arial" w:hAnsi="Arial"/>
          <w:sz w:val="13"/>
          <w:szCs w:val="13"/>
          <w:color w:val="auto"/>
        </w:rPr>
      </w:pPr>
    </w:p>
    <w:p>
      <w:pPr>
        <w:ind w:left="82" w:hanging="82"/>
        <w:spacing w:after="0"/>
        <w:tabs>
          <w:tab w:leader="none" w:pos="82" w:val="left"/>
        </w:tabs>
        <w:numPr>
          <w:ilvl w:val="0"/>
          <w:numId w:val="87"/>
        </w:numPr>
        <w:rPr>
          <w:rFonts w:ascii="Arial" w:cs="Arial" w:eastAsia="Arial" w:hAnsi="Arial"/>
          <w:sz w:val="14"/>
          <w:szCs w:val="14"/>
          <w:color w:val="auto"/>
        </w:rPr>
      </w:pPr>
      <w:r>
        <w:rPr>
          <w:rFonts w:ascii="Arial" w:cs="Arial" w:eastAsia="Arial" w:hAnsi="Arial"/>
          <w:sz w:val="14"/>
          <w:szCs w:val="14"/>
          <w:color w:val="auto"/>
        </w:rPr>
        <w:t>US Foods, Inc. (January 2017 to present)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PAST PUBLIC COMPANY BOARDS</w:t>
      </w:r>
    </w:p>
    <w:p>
      <w:pPr>
        <w:spacing w:after="0" w:line="55" w:lineRule="exact"/>
        <w:rPr>
          <w:sz w:val="20"/>
          <w:szCs w:val="20"/>
          <w:color w:val="auto"/>
        </w:rPr>
      </w:pPr>
    </w:p>
    <w:p>
      <w:pPr>
        <w:ind w:left="80" w:hanging="78"/>
        <w:spacing w:after="0"/>
        <w:tabs>
          <w:tab w:leader="none" w:pos="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Tech Data Corporation (October 2006 to June 2020)</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i w:val="1"/>
          <w:iCs w:val="1"/>
          <w:u w:val="single" w:color="auto"/>
          <w:color w:val="3F000B"/>
        </w:rPr>
        <w:t>EDUCATION</w:t>
      </w:r>
    </w:p>
    <w:p>
      <w:pPr>
        <w:spacing w:after="0" w:line="55" w:lineRule="exact"/>
        <w:rPr>
          <w:rFonts w:ascii="Arial" w:cs="Arial" w:eastAsia="Arial" w:hAnsi="Arial"/>
          <w:sz w:val="14"/>
          <w:szCs w:val="14"/>
          <w:color w:val="auto"/>
        </w:rPr>
      </w:pPr>
    </w:p>
    <w:p>
      <w:pPr>
        <w:ind w:left="80" w:right="240" w:hanging="78"/>
        <w:spacing w:after="0" w:line="273" w:lineRule="auto"/>
        <w:tabs>
          <w:tab w:leader="none" w:pos="85" w:val="left"/>
        </w:tabs>
        <w:numPr>
          <w:ilvl w:val="0"/>
          <w:numId w:val="88"/>
        </w:numPr>
        <w:rPr>
          <w:rFonts w:ascii="Arial" w:cs="Arial" w:eastAsia="Arial" w:hAnsi="Arial"/>
          <w:sz w:val="14"/>
          <w:szCs w:val="14"/>
          <w:color w:val="auto"/>
        </w:rPr>
      </w:pPr>
      <w:r>
        <w:rPr>
          <w:rFonts w:ascii="Arial" w:cs="Arial" w:eastAsia="Arial" w:hAnsi="Arial"/>
          <w:sz w:val="14"/>
          <w:szCs w:val="14"/>
          <w:color w:val="auto"/>
        </w:rPr>
        <w:t>Bachelor of Science in Industrial Labor Relations from Cornell University</w:t>
      </w:r>
    </w:p>
    <w:p>
      <w:pPr>
        <w:spacing w:after="0" w:line="911" w:lineRule="exact"/>
        <w:rPr>
          <w:sz w:val="20"/>
          <w:szCs w:val="20"/>
          <w:color w:val="auto"/>
        </w:rPr>
      </w:pPr>
    </w:p>
    <w:p>
      <w:pPr>
        <w:sectPr>
          <w:pgSz w:w="11900" w:h="16838" w:orient="portrait"/>
          <w:cols w:equalWidth="0" w:num="3">
            <w:col w:w="2060" w:space="578"/>
            <w:col w:w="3882" w:space="720"/>
            <w:col w:w="3960"/>
          </w:cols>
          <w:pgMar w:left="340" w:top="1156" w:right="359" w:bottom="1440" w:gutter="0" w:footer="0" w:header="0"/>
          <w:type w:val="continuous"/>
        </w:sectPr>
      </w:pPr>
    </w:p>
    <w:p>
      <w:pPr>
        <w:spacing w:after="0" w:line="82"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3F000B"/>
        </w:rPr>
        <w:t>One of two directors nominated for election by the holders of the Common Stock voting separately as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Former President, North America, Wm. Wrigley Jr. Company, a leading confectionery company (October 2008 to February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-52705</wp:posOffset>
            </wp:positionV>
            <wp:extent cx="6875145" cy="1543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55" w:lineRule="exact"/>
        <w:rPr>
          <w:sz w:val="20"/>
          <w:szCs w:val="20"/>
          <w:color w:val="auto"/>
        </w:rPr>
      </w:pPr>
    </w:p>
    <w:p>
      <w:pPr>
        <w:ind w:left="264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640"/>
        <w:spacing w:after="0" w:line="286" w:lineRule="auto"/>
        <w:rPr>
          <w:sz w:val="20"/>
          <w:szCs w:val="20"/>
          <w:color w:val="auto"/>
        </w:rPr>
      </w:pPr>
      <w:r>
        <w:rPr>
          <w:rFonts w:ascii="Arial" w:cs="Arial" w:eastAsia="Arial" w:hAnsi="Arial"/>
          <w:sz w:val="13"/>
          <w:szCs w:val="13"/>
          <w:color w:val="3F000B"/>
        </w:rPr>
        <w:t>Throughout Ms. Haben’s 33-year career, she gained extensive experience managing businesses in the consumer packaged goods industry and developed a track record of growing brands and developing new products. Her knowledge of and ability to analyze the overall consumer packaged goods industry, evolving market dynamics and consumers’ relationships with brands make her a valuable contributor to the Board and the Company.</w:t>
      </w:r>
    </w:p>
    <w:p>
      <w:pPr>
        <w:sectPr>
          <w:pgSz w:w="11900" w:h="16838" w:orient="portrait"/>
          <w:cols w:equalWidth="0" w:num="1">
            <w:col w:w="11200"/>
          </w:cols>
          <w:pgMar w:left="340" w:top="115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3F000B"/>
        </w:rPr>
        <w:t>Mary Kay Haben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82" w:right="1140" w:hanging="82"/>
        <w:spacing w:after="0" w:line="247" w:lineRule="auto"/>
        <w:tabs>
          <w:tab w:leader="none" w:pos="87" w:val="left"/>
        </w:tabs>
        <w:numPr>
          <w:ilvl w:val="0"/>
          <w:numId w:val="89"/>
        </w:numPr>
        <w:rPr>
          <w:rFonts w:ascii="Arial" w:cs="Arial" w:eastAsia="Arial" w:hAnsi="Arial"/>
          <w:sz w:val="14"/>
          <w:szCs w:val="14"/>
          <w:color w:val="auto"/>
        </w:rPr>
      </w:pPr>
      <w:r>
        <w:rPr>
          <w:rFonts w:ascii="Arial" w:cs="Arial" w:eastAsia="Arial" w:hAnsi="Arial"/>
          <w:sz w:val="14"/>
          <w:szCs w:val="14"/>
          <w:color w:val="auto"/>
        </w:rPr>
        <w:t>Group Vice President and Managing Director, North America, Wm. Wrigley Jr. Company (April 2007 to October 2008)</w:t>
      </w:r>
    </w:p>
    <w:p>
      <w:pPr>
        <w:jc w:val="both"/>
        <w:ind w:left="82" w:right="1000" w:hanging="82"/>
        <w:spacing w:after="0" w:line="248" w:lineRule="auto"/>
        <w:tabs>
          <w:tab w:leader="none" w:pos="87" w:val="left"/>
        </w:tabs>
        <w:numPr>
          <w:ilvl w:val="0"/>
          <w:numId w:val="89"/>
        </w:numPr>
        <w:rPr>
          <w:rFonts w:ascii="Arial" w:cs="Arial" w:eastAsia="Arial" w:hAnsi="Arial"/>
          <w:sz w:val="14"/>
          <w:szCs w:val="14"/>
          <w:color w:val="auto"/>
        </w:rPr>
      </w:pPr>
      <w:r>
        <w:rPr>
          <w:rFonts w:ascii="Arial" w:cs="Arial" w:eastAsia="Arial" w:hAnsi="Arial"/>
          <w:sz w:val="14"/>
          <w:szCs w:val="14"/>
          <w:color w:val="auto"/>
        </w:rPr>
        <w:t>Held several key positions during 27-year career with Kraft Foods, Inc., a grocery manufacturing and processing conglomerate</w:t>
      </w:r>
    </w:p>
    <w:p>
      <w:pPr>
        <w:spacing w:after="0" w:line="29" w:lineRule="exact"/>
        <w:rPr>
          <w:sz w:val="20"/>
          <w:szCs w:val="20"/>
          <w:color w:val="auto"/>
        </w:rPr>
      </w:pPr>
    </w:p>
    <w:p>
      <w:pPr>
        <w:jc w:val="center"/>
        <w:ind w:right="258"/>
        <w:spacing w:after="0"/>
        <w:rPr>
          <w:sz w:val="20"/>
          <w:szCs w:val="20"/>
          <w:color w:val="auto"/>
        </w:rPr>
      </w:pPr>
      <w:r>
        <w:rPr>
          <w:rFonts w:ascii="Arial" w:cs="Arial" w:eastAsia="Arial" w:hAnsi="Arial"/>
          <w:sz w:val="13"/>
          <w:szCs w:val="13"/>
          <w:b w:val="1"/>
          <w:bCs w:val="1"/>
          <w:i w:val="1"/>
          <w:iCs w:val="1"/>
          <w:u w:val="single" w:color="auto"/>
          <w:color w:val="3F000B"/>
        </w:rPr>
        <w:t>CURRENT PUBLIC AND OTHER KEY DIRECTORSHIPS</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55" w:lineRule="exact"/>
        <w:rPr>
          <w:sz w:val="20"/>
          <w:szCs w:val="20"/>
          <w:color w:val="auto"/>
        </w:rPr>
      </w:pPr>
    </w:p>
    <w:p>
      <w:pPr>
        <w:ind w:left="80" w:right="160" w:hanging="78"/>
        <w:spacing w:after="0" w:line="250" w:lineRule="auto"/>
        <w:tabs>
          <w:tab w:leader="none" w:pos="85" w:val="left"/>
        </w:tabs>
        <w:numPr>
          <w:ilvl w:val="0"/>
          <w:numId w:val="90"/>
        </w:numPr>
        <w:rPr>
          <w:rFonts w:ascii="Arial" w:cs="Arial" w:eastAsia="Arial" w:hAnsi="Arial"/>
          <w:sz w:val="14"/>
          <w:szCs w:val="14"/>
          <w:color w:val="auto"/>
        </w:rPr>
      </w:pPr>
      <w:r>
        <w:rPr>
          <w:rFonts w:ascii="Arial" w:cs="Arial" w:eastAsia="Arial" w:hAnsi="Arial"/>
          <w:sz w:val="14"/>
          <w:szCs w:val="14"/>
          <w:color w:val="auto"/>
        </w:rPr>
        <w:t xml:space="preserve">Bachelor’s degree, </w:t>
      </w:r>
      <w:r>
        <w:rPr>
          <w:rFonts w:ascii="Arial" w:cs="Arial" w:eastAsia="Arial" w:hAnsi="Arial"/>
          <w:sz w:val="14"/>
          <w:szCs w:val="14"/>
          <w:i w:val="1"/>
          <w:iCs w:val="1"/>
          <w:color w:val="auto"/>
        </w:rPr>
        <w:t>magna cum laude</w:t>
      </w:r>
      <w:r>
        <w:rPr>
          <w:rFonts w:ascii="Arial" w:cs="Arial" w:eastAsia="Arial" w:hAnsi="Arial"/>
          <w:sz w:val="14"/>
          <w:szCs w:val="14"/>
          <w:color w:val="auto"/>
        </w:rPr>
        <w:t>, in business administration from the University of Illinois</w:t>
      </w:r>
    </w:p>
    <w:p>
      <w:pPr>
        <w:ind w:left="80" w:right="100" w:hanging="78"/>
        <w:spacing w:after="0" w:line="255" w:lineRule="auto"/>
        <w:tabs>
          <w:tab w:leader="none" w:pos="85" w:val="left"/>
        </w:tabs>
        <w:numPr>
          <w:ilvl w:val="0"/>
          <w:numId w:val="90"/>
        </w:numPr>
        <w:rPr>
          <w:rFonts w:ascii="Arial" w:cs="Arial" w:eastAsia="Arial" w:hAnsi="Arial"/>
          <w:sz w:val="14"/>
          <w:szCs w:val="14"/>
          <w:color w:val="auto"/>
        </w:rPr>
      </w:pPr>
      <w:r>
        <w:rPr>
          <w:rFonts w:ascii="Arial" w:cs="Arial" w:eastAsia="Arial" w:hAnsi="Arial"/>
          <w:sz w:val="14"/>
          <w:szCs w:val="14"/>
          <w:color w:val="auto"/>
        </w:rPr>
        <w:t>Masters of Business Administration degree in marketing from the University of Michigan, Ross School of Business</w:t>
      </w:r>
    </w:p>
    <w:p>
      <w:pPr>
        <w:spacing w:after="0" w:line="476" w:lineRule="exact"/>
        <w:rPr>
          <w:sz w:val="20"/>
          <w:szCs w:val="20"/>
          <w:color w:val="auto"/>
        </w:rPr>
      </w:pPr>
    </w:p>
    <w:p>
      <w:pPr>
        <w:sectPr>
          <w:pgSz w:w="11900" w:h="16838" w:orient="portrait"/>
          <w:cols w:equalWidth="0" w:num="3">
            <w:col w:w="1918" w:space="720"/>
            <w:col w:w="3882" w:space="720"/>
            <w:col w:w="3960"/>
          </w:cols>
          <w:pgMar w:left="340" w:top="1156" w:right="359" w:bottom="1440" w:gutter="0" w:footer="0" w:header="0"/>
          <w:type w:val="continuous"/>
        </w:sectPr>
      </w:pPr>
    </w:p>
    <w:p>
      <w:pPr>
        <w:ind w:left="80"/>
        <w:spacing w:after="0"/>
        <w:rPr>
          <w:sz w:val="20"/>
          <w:szCs w:val="20"/>
          <w:color w:val="auto"/>
        </w:rPr>
      </w:pPr>
      <w:r>
        <w:rPr>
          <w:rFonts w:ascii="Arial" w:cs="Arial" w:eastAsia="Arial" w:hAnsi="Arial"/>
          <w:sz w:val="13"/>
          <w:szCs w:val="13"/>
          <w:b w:val="1"/>
          <w:bCs w:val="1"/>
          <w:color w:val="3F000B"/>
        </w:rPr>
        <w:t xml:space="preserve">Director since </w:t>
      </w:r>
      <w:r>
        <w:rPr>
          <w:rFonts w:ascii="Arial" w:cs="Arial" w:eastAsia="Arial" w:hAnsi="Arial"/>
          <w:sz w:val="13"/>
          <w:szCs w:val="13"/>
          <w:color w:val="000000"/>
        </w:rPr>
        <w:t>2013</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64</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3F000B"/>
        </w:rPr>
        <w:t>Board Committees</w:t>
      </w:r>
    </w:p>
    <w:p>
      <w:pPr>
        <w:spacing w:after="0" w:line="29" w:lineRule="exact"/>
        <w:rPr>
          <w:sz w:val="20"/>
          <w:szCs w:val="20"/>
          <w:color w:val="auto"/>
        </w:rPr>
      </w:pPr>
    </w:p>
    <w:p>
      <w:pPr>
        <w:ind w:left="180" w:hanging="93"/>
        <w:spacing w:after="0"/>
        <w:tabs>
          <w:tab w:leader="none" w:pos="1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Governance (Chair)</w:t>
      </w:r>
    </w:p>
    <w:p>
      <w:pPr>
        <w:spacing w:after="0" w:line="24" w:lineRule="exact"/>
        <w:rPr>
          <w:rFonts w:ascii="Arial" w:cs="Arial" w:eastAsia="Arial" w:hAnsi="Arial"/>
          <w:sz w:val="12"/>
          <w:szCs w:val="12"/>
          <w:color w:val="auto"/>
        </w:rPr>
      </w:pPr>
    </w:p>
    <w:p>
      <w:pPr>
        <w:ind w:left="180" w:hanging="93"/>
        <w:spacing w:after="0"/>
        <w:tabs>
          <w:tab w:leader="none" w:pos="1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Compensation</w:t>
      </w:r>
    </w:p>
    <w:p>
      <w:pPr>
        <w:spacing w:after="0" w:line="1" w:lineRule="exact"/>
        <w:rPr>
          <w:rFonts w:ascii="Arial" w:cs="Arial" w:eastAsia="Arial" w:hAnsi="Arial"/>
          <w:sz w:val="14"/>
          <w:szCs w:val="14"/>
          <w:color w:val="auto"/>
        </w:rPr>
      </w:pPr>
    </w:p>
    <w:p>
      <w:pPr>
        <w:ind w:left="180" w:hanging="93"/>
        <w:spacing w:after="0"/>
        <w:tabs>
          <w:tab w:leader="none" w:pos="1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82" w:hanging="82"/>
        <w:spacing w:after="0"/>
        <w:tabs>
          <w:tab w:leader="none" w:pos="82" w:val="left"/>
        </w:tabs>
        <w:numPr>
          <w:ilvl w:val="0"/>
          <w:numId w:val="92"/>
        </w:numPr>
        <w:rPr>
          <w:rFonts w:ascii="Arial" w:cs="Arial" w:eastAsia="Arial" w:hAnsi="Arial"/>
          <w:sz w:val="14"/>
          <w:szCs w:val="14"/>
          <w:color w:val="auto"/>
        </w:rPr>
      </w:pPr>
      <w:r>
        <w:rPr>
          <w:rFonts w:ascii="Arial" w:cs="Arial" w:eastAsia="Arial" w:hAnsi="Arial"/>
          <w:sz w:val="14"/>
          <w:szCs w:val="14"/>
          <w:color w:val="auto"/>
        </w:rPr>
        <w:t>Grocery Outlet Holding Corp. (November 2019 to present)</w:t>
      </w:r>
    </w:p>
    <w:p>
      <w:pPr>
        <w:spacing w:after="0" w:line="13" w:lineRule="exact"/>
        <w:rPr>
          <w:rFonts w:ascii="Arial" w:cs="Arial" w:eastAsia="Arial" w:hAnsi="Arial"/>
          <w:sz w:val="14"/>
          <w:szCs w:val="14"/>
          <w:color w:val="auto"/>
        </w:rPr>
      </w:pPr>
    </w:p>
    <w:p>
      <w:pPr>
        <w:ind w:left="82" w:right="4000" w:hanging="82"/>
        <w:spacing w:after="0" w:line="255" w:lineRule="auto"/>
        <w:tabs>
          <w:tab w:leader="none" w:pos="87" w:val="left"/>
        </w:tabs>
        <w:numPr>
          <w:ilvl w:val="0"/>
          <w:numId w:val="92"/>
        </w:numPr>
        <w:rPr>
          <w:rFonts w:ascii="Arial" w:cs="Arial" w:eastAsia="Arial" w:hAnsi="Arial"/>
          <w:sz w:val="14"/>
          <w:szCs w:val="14"/>
          <w:color w:val="auto"/>
        </w:rPr>
      </w:pPr>
      <w:r>
        <w:rPr>
          <w:rFonts w:ascii="Arial" w:cs="Arial" w:eastAsia="Arial" w:hAnsi="Arial"/>
          <w:sz w:val="14"/>
          <w:szCs w:val="14"/>
          <w:color w:val="auto"/>
        </w:rPr>
        <w:t>Trustee of Equity Residential (July 2011 to present); currently serves as Chair of the Compensation Committee</w:t>
      </w:r>
    </w:p>
    <w:p>
      <w:pPr>
        <w:spacing w:after="0" w:line="734" w:lineRule="exact"/>
        <w:rPr>
          <w:sz w:val="20"/>
          <w:szCs w:val="20"/>
          <w:color w:val="auto"/>
        </w:rPr>
      </w:pPr>
    </w:p>
    <w:p>
      <w:pPr>
        <w:sectPr>
          <w:pgSz w:w="11900" w:h="16838" w:orient="portrait"/>
          <w:cols w:equalWidth="0" w:num="2">
            <w:col w:w="1918" w:space="720"/>
            <w:col w:w="8562"/>
          </w:cols>
          <w:pgMar w:left="340" w:top="115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00"/>
          </w:cols>
          <w:pgMar w:left="340" w:top="1156" w:right="359" w:bottom="1440" w:gutter="0" w:footer="0" w:header="0"/>
          <w:type w:val="continuous"/>
        </w:sectPr>
      </w:pPr>
    </w:p>
    <w:bookmarkStart w:id="33" w:name="page34"/>
    <w:bookmarkEnd w:id="33"/>
    <w:p>
      <w:pPr>
        <w:ind w:left="2560"/>
        <w:spacing w:after="0"/>
        <w:rPr>
          <w:sz w:val="20"/>
          <w:szCs w:val="20"/>
          <w:color w:val="auto"/>
        </w:rPr>
      </w:pPr>
      <w:r>
        <w:rPr>
          <w:rFonts w:ascii="Arial" w:cs="Arial" w:eastAsia="Arial" w:hAnsi="Arial"/>
          <w:sz w:val="14"/>
          <w:szCs w:val="14"/>
          <w:b w:val="1"/>
          <w:bCs w:val="1"/>
          <w:color w:val="auto"/>
        </w:rPr>
        <w:t>Director, Hershey Trust Company; Member, Board of Managers, Milton Hershey School (April 2017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-52705</wp:posOffset>
            </wp:positionV>
            <wp:extent cx="6875145" cy="1543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82"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560" w:right="160"/>
        <w:spacing w:after="0" w:line="277" w:lineRule="auto"/>
        <w:rPr>
          <w:sz w:val="20"/>
          <w:szCs w:val="20"/>
          <w:color w:val="auto"/>
        </w:rPr>
      </w:pPr>
      <w:r>
        <w:rPr>
          <w:rFonts w:ascii="Arial" w:cs="Arial" w:eastAsia="Arial" w:hAnsi="Arial"/>
          <w:sz w:val="13"/>
          <w:szCs w:val="13"/>
          <w:color w:val="3F000B"/>
        </w:rPr>
        <w:t>One of three representatives of Hershey Trust Company and Milton Hershey School currently serving on the Board, Mr. Katzman provides the Board with valuable perspectives of our largest stockholder and the school that is its sole beneficiary. In addition, he has extensive experience in corporate financial matters and merger transactions, developed throughout his career in investment banking, which further adds to the Board as it oversees the Company’s financial stewardship and transformation into an innovative snacking powerhouse.</w:t>
      </w:r>
    </w:p>
    <w:p>
      <w:pPr>
        <w:sectPr>
          <w:pgSz w:w="11900" w:h="16838" w:orient="portrait"/>
          <w:cols w:equalWidth="0" w:num="1">
            <w:col w:w="11080"/>
          </w:cols>
          <w:pgMar w:left="420" w:top="1035" w:right="3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2640" w:hanging="82"/>
        <w:spacing w:after="0"/>
        <w:tabs>
          <w:tab w:leader="none" w:pos="26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Partner, Goldman Sachs Group, Inc. (December 2004 to March 2015)</w:t>
      </w:r>
    </w:p>
    <w:p>
      <w:pPr>
        <w:spacing w:after="0" w:line="66" w:lineRule="exact"/>
        <w:rPr>
          <w:rFonts w:ascii="Arial" w:cs="Arial" w:eastAsia="Arial" w:hAnsi="Arial"/>
          <w:sz w:val="13"/>
          <w:szCs w:val="13"/>
          <w:color w:val="auto"/>
        </w:rPr>
      </w:pPr>
    </w:p>
    <w:p>
      <w:pPr>
        <w:ind w:left="2560"/>
        <w:spacing w:after="0"/>
        <w:rPr>
          <w:rFonts w:ascii="Arial" w:cs="Arial" w:eastAsia="Arial" w:hAnsi="Arial"/>
          <w:sz w:val="13"/>
          <w:szCs w:val="13"/>
          <w:color w:val="auto"/>
        </w:rPr>
      </w:pPr>
      <w:r>
        <w:rPr>
          <w:rFonts w:ascii="Arial" w:cs="Arial" w:eastAsia="Arial" w:hAnsi="Arial"/>
          <w:sz w:val="14"/>
          <w:szCs w:val="14"/>
          <w:b w:val="1"/>
          <w:bCs w:val="1"/>
          <w:i w:val="1"/>
          <w:iCs w:val="1"/>
          <w:u w:val="single" w:color="auto"/>
          <w:color w:val="3F000B"/>
        </w:rPr>
        <w:t>CURRENT PUBLIC AND OTHER KEY DIRECTORSHIPS</w:t>
      </w:r>
    </w:p>
    <w:p>
      <w:pPr>
        <w:spacing w:after="0" w:line="44" w:lineRule="exact"/>
        <w:rPr>
          <w:rFonts w:ascii="Arial" w:cs="Arial" w:eastAsia="Arial" w:hAnsi="Arial"/>
          <w:sz w:val="13"/>
          <w:szCs w:val="13"/>
          <w:color w:val="auto"/>
        </w:rPr>
      </w:pPr>
    </w:p>
    <w:p>
      <w:pPr>
        <w:ind w:left="2640" w:hanging="82"/>
        <w:spacing w:after="0"/>
        <w:tabs>
          <w:tab w:leader="none" w:pos="2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Brinker International, Inc. (January 2018 to present)</w:t>
      </w:r>
    </w:p>
    <w:p>
      <w:pPr>
        <w:spacing w:after="0"/>
        <w:rPr>
          <w:sz w:val="20"/>
          <w:szCs w:val="20"/>
          <w:color w:val="auto"/>
        </w:rPr>
      </w:pPr>
      <w:r>
        <w:rPr>
          <w:rFonts w:ascii="Arial" w:cs="Arial" w:eastAsia="Arial" w:hAnsi="Arial"/>
          <w:sz w:val="22"/>
          <w:szCs w:val="22"/>
          <w:b w:val="1"/>
          <w:bCs w:val="1"/>
          <w:color w:val="3F000B"/>
        </w:rPr>
        <w:t>James C. Katzman</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55" w:lineRule="exact"/>
        <w:rPr>
          <w:sz w:val="20"/>
          <w:szCs w:val="20"/>
          <w:color w:val="auto"/>
        </w:rPr>
      </w:pPr>
    </w:p>
    <w:p>
      <w:pPr>
        <w:ind w:left="80" w:hanging="78"/>
        <w:spacing w:after="0"/>
        <w:tabs>
          <w:tab w:leader="none" w:pos="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Bachelor’s degree, </w:t>
      </w:r>
      <w:r>
        <w:rPr>
          <w:rFonts w:ascii="Arial" w:cs="Arial" w:eastAsia="Arial" w:hAnsi="Arial"/>
          <w:sz w:val="14"/>
          <w:szCs w:val="14"/>
          <w:i w:val="1"/>
          <w:iCs w:val="1"/>
          <w:color w:val="auto"/>
        </w:rPr>
        <w:t>cum laude</w:t>
      </w:r>
      <w:r>
        <w:rPr>
          <w:rFonts w:ascii="Arial" w:cs="Arial" w:eastAsia="Arial" w:hAnsi="Arial"/>
          <w:sz w:val="14"/>
          <w:szCs w:val="14"/>
          <w:color w:val="auto"/>
        </w:rPr>
        <w:t>, from Dartmouth College</w:t>
      </w:r>
    </w:p>
    <w:p>
      <w:pPr>
        <w:spacing w:after="0" w:line="13" w:lineRule="exact"/>
        <w:rPr>
          <w:rFonts w:ascii="Arial" w:cs="Arial" w:eastAsia="Arial" w:hAnsi="Arial"/>
          <w:sz w:val="14"/>
          <w:szCs w:val="14"/>
          <w:color w:val="auto"/>
        </w:rPr>
      </w:pPr>
    </w:p>
    <w:p>
      <w:pPr>
        <w:ind w:left="80" w:right="420" w:hanging="78"/>
        <w:spacing w:after="0" w:line="255" w:lineRule="auto"/>
        <w:tabs>
          <w:tab w:leader="none" w:pos="85" w:val="left"/>
        </w:tabs>
        <w:numPr>
          <w:ilvl w:val="0"/>
          <w:numId w:val="94"/>
        </w:numPr>
        <w:rPr>
          <w:rFonts w:ascii="Arial" w:cs="Arial" w:eastAsia="Arial" w:hAnsi="Arial"/>
          <w:sz w:val="14"/>
          <w:szCs w:val="14"/>
          <w:color w:val="auto"/>
        </w:rPr>
      </w:pPr>
      <w:r>
        <w:rPr>
          <w:rFonts w:ascii="Arial" w:cs="Arial" w:eastAsia="Arial" w:hAnsi="Arial"/>
          <w:sz w:val="14"/>
          <w:szCs w:val="14"/>
          <w:color w:val="auto"/>
        </w:rPr>
        <w:t>Masters of Business Administration degree from Columbia University Graduate School of Business</w:t>
      </w:r>
    </w:p>
    <w:p>
      <w:pPr>
        <w:spacing w:after="0" w:line="430" w:lineRule="exact"/>
        <w:rPr>
          <w:sz w:val="20"/>
          <w:szCs w:val="20"/>
          <w:color w:val="auto"/>
        </w:rPr>
      </w:pPr>
    </w:p>
    <w:p>
      <w:pPr>
        <w:sectPr>
          <w:pgSz w:w="11900" w:h="16838" w:orient="portrait"/>
          <w:cols w:equalWidth="0" w:num="2">
            <w:col w:w="6660" w:space="500"/>
            <w:col w:w="3920"/>
          </w:cols>
          <w:pgMar w:left="420" w:top="1035" w:right="399" w:bottom="1440" w:gutter="0" w:footer="0" w:header="0"/>
          <w:type w:val="continuous"/>
        </w:sect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2018</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53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ind w:left="100" w:hanging="93"/>
        <w:spacing w:after="0" w:line="234" w:lineRule="auto"/>
        <w:tabs>
          <w:tab w:leader="none" w:pos="100" w:val="left"/>
        </w:tabs>
        <w:numPr>
          <w:ilvl w:val="0"/>
          <w:numId w:val="95"/>
        </w:numPr>
        <w:rPr>
          <w:rFonts w:ascii="Arial" w:cs="Arial" w:eastAsia="Arial" w:hAnsi="Arial"/>
          <w:sz w:val="12"/>
          <w:szCs w:val="12"/>
          <w:color w:val="auto"/>
        </w:rPr>
      </w:pPr>
      <w:r>
        <w:rPr>
          <w:rFonts w:ascii="Arial" w:cs="Arial" w:eastAsia="Arial" w:hAnsi="Arial"/>
          <w:sz w:val="12"/>
          <w:szCs w:val="12"/>
          <w:color w:val="auto"/>
        </w:rPr>
        <w:t>Finance and Risk Management</w:t>
      </w:r>
    </w:p>
    <w:p>
      <w:pPr>
        <w:ind w:left="100" w:hanging="93"/>
        <w:spacing w:after="0"/>
        <w:tabs>
          <w:tab w:leader="none" w:pos="1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502285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20" w:top="103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b w:val="1"/>
          <w:bCs w:val="1"/>
          <w:color w:val="3F000B"/>
        </w:rPr>
        <w:t>M. Diane Koken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-1758315</wp:posOffset>
            </wp:positionV>
            <wp:extent cx="1156970" cy="1543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56970" cy="154305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2017</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68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spacing w:after="0" w:line="17" w:lineRule="exact"/>
        <w:rPr>
          <w:sz w:val="20"/>
          <w:szCs w:val="20"/>
          <w:color w:val="auto"/>
        </w:rPr>
      </w:pPr>
    </w:p>
    <w:p>
      <w:pPr>
        <w:ind w:left="100" w:hanging="93"/>
        <w:spacing w:after="0"/>
        <w:tabs>
          <w:tab w:leader="none" w:pos="1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Audit</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20"/>
        <w:spacing w:after="0" w:line="279" w:lineRule="auto"/>
        <w:rPr>
          <w:sz w:val="20"/>
          <w:szCs w:val="20"/>
          <w:color w:val="auto"/>
        </w:rPr>
      </w:pPr>
      <w:r>
        <w:rPr>
          <w:rFonts w:ascii="Arial" w:cs="Arial" w:eastAsia="Arial" w:hAnsi="Arial"/>
          <w:sz w:val="14"/>
          <w:szCs w:val="14"/>
          <w:b w:val="1"/>
          <w:bCs w:val="1"/>
          <w:color w:val="auto"/>
        </w:rPr>
        <w:t>Chairman of the Board, Hershey Trust Company and Milton Hershey School (December 2020 to present); Director, Hershey Trust Company and Member, Board of Managers, Milton Hershey School (December 2015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5460365" cy="942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60365" cy="94297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3F000B"/>
        </w:rPr>
        <w:t>As Chairman of the Boards and one of three representatives of Hershey Trust Company and Milton Hershey School currently serving on the Board, Ms. Koken brings to the Board valuable insights from our largest stockholder. Having served as Insurance Commissioner of Pennsylvania for three governors and as President of the National Association of Insurance Commissioners, Ms. Koken has considerable expertise in the areas of insurance, risk management and regulatory affairs. Her experience in the areas of legal operations and corporate governance, developed throughout her 22-year career at a national life insurer that culminated in her serving as Vice President, General Counsel and Corporate Secretary, further adds to the Board.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i w:val="1"/>
                <w:iCs w:val="1"/>
                <w:color w:val="3F000B"/>
              </w:rPr>
              <w:t>PREVIOUS BUSINESS EXPERIENCE</w:t>
            </w:r>
          </w:p>
        </w:tc>
        <w:tc>
          <w:tcPr>
            <w:tcW w:w="3920" w:type="dxa"/>
            <w:vAlign w:val="bottom"/>
            <w:gridSpan w:val="2"/>
          </w:tcPr>
          <w:p>
            <w:pPr>
              <w:spacing w:after="0"/>
              <w:rPr>
                <w:sz w:val="20"/>
                <w:szCs w:val="20"/>
                <w:color w:val="auto"/>
              </w:rPr>
            </w:pPr>
            <w:r>
              <w:rPr>
                <w:rFonts w:ascii="Arial" w:cs="Arial" w:eastAsia="Arial" w:hAnsi="Arial"/>
                <w:sz w:val="14"/>
                <w:szCs w:val="14"/>
                <w:b w:val="1"/>
                <w:bCs w:val="1"/>
                <w:i w:val="1"/>
                <w:iCs w:val="1"/>
                <w:color w:val="3F000B"/>
              </w:rPr>
              <w:t>EDUCATION</w:t>
            </w:r>
          </w:p>
        </w:tc>
      </w:tr>
      <w:tr>
        <w:trPr>
          <w:trHeight w:val="20"/>
        </w:trPr>
        <w:tc>
          <w:tcPr>
            <w:tcW w:w="2400" w:type="dxa"/>
            <w:vAlign w:val="bottom"/>
            <w:shd w:val="clear" w:color="auto" w:fill="3F000B"/>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shd w:val="clear" w:color="auto" w:fill="3F000B"/>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4"/>
        </w:trPr>
        <w:tc>
          <w:tcPr>
            <w:tcW w:w="4600" w:type="dxa"/>
            <w:vAlign w:val="bottom"/>
            <w:gridSpan w:val="3"/>
          </w:tcPr>
          <w:p>
            <w:pPr>
              <w:spacing w:after="0"/>
              <w:rPr>
                <w:sz w:val="20"/>
                <w:szCs w:val="20"/>
                <w:color w:val="auto"/>
              </w:rPr>
            </w:pPr>
            <w:r>
              <w:rPr>
                <w:rFonts w:ascii="Arial" w:cs="Arial" w:eastAsia="Arial" w:hAnsi="Arial"/>
                <w:sz w:val="14"/>
                <w:szCs w:val="14"/>
                <w:color w:val="auto"/>
                <w:w w:val="94"/>
              </w:rPr>
              <w:t>• Commissioner of Insurance in Pennsylvania (August 1997 to February 2007)</w:t>
            </w:r>
          </w:p>
        </w:tc>
        <w:tc>
          <w:tcPr>
            <w:tcW w:w="3920" w:type="dxa"/>
            <w:vAlign w:val="bottom"/>
            <w:gridSpan w:val="2"/>
          </w:tcPr>
          <w:p>
            <w:pPr>
              <w:spacing w:after="0"/>
              <w:rPr>
                <w:sz w:val="20"/>
                <w:szCs w:val="20"/>
                <w:color w:val="auto"/>
              </w:rPr>
            </w:pPr>
            <w:r>
              <w:rPr>
                <w:rFonts w:ascii="Arial" w:cs="Arial" w:eastAsia="Arial" w:hAnsi="Arial"/>
                <w:sz w:val="14"/>
                <w:szCs w:val="14"/>
                <w:color w:val="auto"/>
                <w:w w:val="95"/>
              </w:rPr>
              <w:t xml:space="preserve">• Bachelor’s degree, </w:t>
            </w:r>
            <w:r>
              <w:rPr>
                <w:rFonts w:ascii="Arial" w:cs="Arial" w:eastAsia="Arial" w:hAnsi="Arial"/>
                <w:sz w:val="14"/>
                <w:szCs w:val="14"/>
                <w:i w:val="1"/>
                <w:iCs w:val="1"/>
                <w:color w:val="auto"/>
                <w:w w:val="95"/>
              </w:rPr>
              <w:t>magna cum laude</w:t>
            </w:r>
            <w:r>
              <w:rPr>
                <w:rFonts w:ascii="Arial" w:cs="Arial" w:eastAsia="Arial" w:hAnsi="Arial"/>
                <w:sz w:val="14"/>
                <w:szCs w:val="14"/>
                <w:color w:val="auto"/>
                <w:w w:val="95"/>
              </w:rPr>
              <w:t>, from Millersville University</w:t>
            </w:r>
          </w:p>
        </w:tc>
      </w:tr>
      <w:tr>
        <w:trPr>
          <w:trHeight w:val="182"/>
        </w:trPr>
        <w:tc>
          <w:tcPr>
            <w:tcW w:w="4600" w:type="dxa"/>
            <w:vAlign w:val="bottom"/>
            <w:gridSpan w:val="3"/>
          </w:tcPr>
          <w:p>
            <w:pPr>
              <w:spacing w:after="0"/>
              <w:rPr>
                <w:sz w:val="20"/>
                <w:szCs w:val="20"/>
                <w:color w:val="auto"/>
              </w:rPr>
            </w:pPr>
            <w:r>
              <w:rPr>
                <w:rFonts w:ascii="Arial" w:cs="Arial" w:eastAsia="Arial" w:hAnsi="Arial"/>
                <w:sz w:val="14"/>
                <w:szCs w:val="14"/>
                <w:color w:val="auto"/>
              </w:rPr>
              <w:t>• Provident Mutual Life Insurance Company (October 1975 to July 1997)</w:t>
            </w:r>
          </w:p>
        </w:tc>
        <w:tc>
          <w:tcPr>
            <w:tcW w:w="3920" w:type="dxa"/>
            <w:vAlign w:val="bottom"/>
            <w:gridSpan w:val="2"/>
          </w:tcPr>
          <w:p>
            <w:pPr>
              <w:spacing w:after="0"/>
              <w:rPr>
                <w:sz w:val="20"/>
                <w:szCs w:val="20"/>
                <w:color w:val="auto"/>
              </w:rPr>
            </w:pPr>
            <w:r>
              <w:rPr>
                <w:rFonts w:ascii="Arial" w:cs="Arial" w:eastAsia="Arial" w:hAnsi="Arial"/>
                <w:sz w:val="14"/>
                <w:szCs w:val="14"/>
                <w:color w:val="auto"/>
              </w:rPr>
              <w:t>• Juris Doctor degree from Villanova University School of Law</w:t>
            </w:r>
          </w:p>
        </w:tc>
      </w:tr>
      <w:tr>
        <w:trPr>
          <w:trHeight w:val="188"/>
        </w:trPr>
        <w:tc>
          <w:tcPr>
            <w:tcW w:w="3620" w:type="dxa"/>
            <w:vAlign w:val="bottom"/>
            <w:tcBorders>
              <w:bottom w:val="single" w:sz="8" w:color="3F000B"/>
            </w:tcBorders>
            <w:gridSpan w:val="2"/>
          </w:tcPr>
          <w:p>
            <w:pPr>
              <w:spacing w:after="0"/>
              <w:rPr>
                <w:sz w:val="20"/>
                <w:szCs w:val="20"/>
                <w:color w:val="auto"/>
              </w:rPr>
            </w:pPr>
            <w:r>
              <w:rPr>
                <w:rFonts w:ascii="Arial" w:cs="Arial" w:eastAsia="Arial" w:hAnsi="Arial"/>
                <w:sz w:val="14"/>
                <w:szCs w:val="14"/>
                <w:b w:val="1"/>
                <w:bCs w:val="1"/>
                <w:i w:val="1"/>
                <w:iCs w:val="1"/>
                <w:color w:val="3F000B"/>
                <w:w w:val="99"/>
              </w:rPr>
              <w:t>CURRENT PUBLIC AND OTHER KEY DIRECTORSHIPS</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204"/>
        </w:trPr>
        <w:tc>
          <w:tcPr>
            <w:tcW w:w="4600" w:type="dxa"/>
            <w:vAlign w:val="bottom"/>
            <w:gridSpan w:val="3"/>
          </w:tcPr>
          <w:p>
            <w:pPr>
              <w:spacing w:after="0"/>
              <w:rPr>
                <w:sz w:val="20"/>
                <w:szCs w:val="20"/>
                <w:color w:val="auto"/>
              </w:rPr>
            </w:pPr>
            <w:r>
              <w:rPr>
                <w:rFonts w:ascii="Arial" w:cs="Arial" w:eastAsia="Arial" w:hAnsi="Arial"/>
                <w:sz w:val="14"/>
                <w:szCs w:val="14"/>
                <w:color w:val="auto"/>
                <w:w w:val="99"/>
              </w:rPr>
              <w:t>• Nationwide Mutual Funds and Nationwide Variable Insurance Trust (April</w:t>
            </w:r>
          </w:p>
        </w:tc>
        <w:tc>
          <w:tcPr>
            <w:tcW w:w="8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162"/>
        </w:trPr>
        <w:tc>
          <w:tcPr>
            <w:tcW w:w="4600" w:type="dxa"/>
            <w:vAlign w:val="bottom"/>
            <w:gridSpan w:val="3"/>
          </w:tcPr>
          <w:p>
            <w:pPr>
              <w:ind w:left="80"/>
              <w:spacing w:after="0"/>
              <w:rPr>
                <w:sz w:val="20"/>
                <w:szCs w:val="20"/>
                <w:color w:val="auto"/>
              </w:rPr>
            </w:pPr>
            <w:r>
              <w:rPr>
                <w:rFonts w:ascii="Arial" w:cs="Arial" w:eastAsia="Arial" w:hAnsi="Arial"/>
                <w:sz w:val="14"/>
                <w:szCs w:val="14"/>
                <w:color w:val="auto"/>
              </w:rPr>
              <w:t>2019 to present)</w:t>
            </w:r>
          </w:p>
        </w:tc>
        <w:tc>
          <w:tcPr>
            <w:tcW w:w="84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2"/>
        </w:trPr>
        <w:tc>
          <w:tcPr>
            <w:tcW w:w="4600" w:type="dxa"/>
            <w:vAlign w:val="bottom"/>
            <w:gridSpan w:val="3"/>
          </w:tcPr>
          <w:p>
            <w:pPr>
              <w:spacing w:after="0"/>
              <w:rPr>
                <w:sz w:val="20"/>
                <w:szCs w:val="20"/>
                <w:color w:val="auto"/>
              </w:rPr>
            </w:pPr>
            <w:r>
              <w:rPr>
                <w:rFonts w:ascii="Arial" w:cs="Arial" w:eastAsia="Arial" w:hAnsi="Arial"/>
                <w:sz w:val="14"/>
                <w:szCs w:val="14"/>
                <w:color w:val="auto"/>
              </w:rPr>
              <w:t>• Capital BlueCross (December 2011 to present)</w:t>
            </w:r>
          </w:p>
        </w:tc>
        <w:tc>
          <w:tcPr>
            <w:tcW w:w="84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2"/>
        </w:trPr>
        <w:tc>
          <w:tcPr>
            <w:tcW w:w="4600" w:type="dxa"/>
            <w:vAlign w:val="bottom"/>
            <w:gridSpan w:val="3"/>
          </w:tcPr>
          <w:p>
            <w:pPr>
              <w:spacing w:after="0"/>
              <w:rPr>
                <w:sz w:val="20"/>
                <w:szCs w:val="20"/>
                <w:color w:val="auto"/>
              </w:rPr>
            </w:pPr>
            <w:r>
              <w:rPr>
                <w:rFonts w:ascii="Arial" w:cs="Arial" w:eastAsia="Arial" w:hAnsi="Arial"/>
                <w:sz w:val="14"/>
                <w:szCs w:val="14"/>
                <w:color w:val="auto"/>
              </w:rPr>
              <w:t>• NORCAL Mutual (January 2009 to present)</w:t>
            </w:r>
          </w:p>
        </w:tc>
        <w:tc>
          <w:tcPr>
            <w:tcW w:w="84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2"/>
        </w:trPr>
        <w:tc>
          <w:tcPr>
            <w:tcW w:w="4600" w:type="dxa"/>
            <w:vAlign w:val="bottom"/>
            <w:gridSpan w:val="3"/>
          </w:tcPr>
          <w:p>
            <w:pPr>
              <w:spacing w:after="0"/>
              <w:rPr>
                <w:sz w:val="20"/>
                <w:szCs w:val="20"/>
                <w:color w:val="auto"/>
              </w:rPr>
            </w:pPr>
            <w:r>
              <w:rPr>
                <w:rFonts w:ascii="Arial" w:cs="Arial" w:eastAsia="Arial" w:hAnsi="Arial"/>
                <w:sz w:val="14"/>
                <w:szCs w:val="14"/>
                <w:color w:val="auto"/>
                <w:w w:val="97"/>
              </w:rPr>
              <w:t>• Nationwide Mutual Insurance Company; Nationwide Mutual Fire Insurance</w:t>
            </w:r>
          </w:p>
        </w:tc>
        <w:tc>
          <w:tcPr>
            <w:tcW w:w="84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2"/>
        </w:trPr>
        <w:tc>
          <w:tcPr>
            <w:tcW w:w="4600" w:type="dxa"/>
            <w:vAlign w:val="bottom"/>
            <w:gridSpan w:val="3"/>
          </w:tcPr>
          <w:p>
            <w:pPr>
              <w:ind w:left="80"/>
              <w:spacing w:after="0"/>
              <w:rPr>
                <w:sz w:val="20"/>
                <w:szCs w:val="20"/>
                <w:color w:val="auto"/>
              </w:rPr>
            </w:pPr>
            <w:r>
              <w:rPr>
                <w:rFonts w:ascii="Arial" w:cs="Arial" w:eastAsia="Arial" w:hAnsi="Arial"/>
                <w:sz w:val="14"/>
                <w:szCs w:val="14"/>
                <w:color w:val="auto"/>
              </w:rPr>
              <w:t>Company; Nationwide Corporation</w:t>
            </w:r>
          </w:p>
        </w:tc>
        <w:tc>
          <w:tcPr>
            <w:tcW w:w="84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82"/>
        </w:trPr>
        <w:tc>
          <w:tcPr>
            <w:tcW w:w="4600" w:type="dxa"/>
            <w:vAlign w:val="bottom"/>
            <w:gridSpan w:val="3"/>
          </w:tcPr>
          <w:p>
            <w:pPr>
              <w:ind w:left="80"/>
              <w:spacing w:after="0"/>
              <w:rPr>
                <w:sz w:val="20"/>
                <w:szCs w:val="20"/>
                <w:color w:val="auto"/>
              </w:rPr>
            </w:pPr>
            <w:r>
              <w:rPr>
                <w:rFonts w:ascii="Arial" w:cs="Arial" w:eastAsia="Arial" w:hAnsi="Arial"/>
                <w:sz w:val="14"/>
                <w:szCs w:val="14"/>
                <w:color w:val="auto"/>
              </w:rPr>
              <w:t>(April 2007 to present)</w:t>
            </w:r>
          </w:p>
        </w:tc>
        <w:tc>
          <w:tcPr>
            <w:tcW w:w="840" w:type="dxa"/>
            <w:vAlign w:val="bottom"/>
          </w:tcPr>
          <w:p>
            <w:pPr>
              <w:spacing w:after="0"/>
              <w:rPr>
                <w:sz w:val="15"/>
                <w:szCs w:val="15"/>
                <w:color w:val="auto"/>
              </w:rPr>
            </w:pPr>
          </w:p>
        </w:tc>
        <w:tc>
          <w:tcPr>
            <w:tcW w:w="30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1840" w:space="720"/>
            <w:col w:w="8520"/>
          </w:cols>
          <w:pgMar w:left="420" w:top="103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080"/>
          </w:cols>
          <w:pgMar w:left="420" w:top="1035" w:right="399" w:bottom="1440" w:gutter="0" w:footer="0" w:header="0"/>
          <w:type w:val="continuous"/>
        </w:sectPr>
      </w:pPr>
    </w:p>
    <w:bookmarkStart w:id="34" w:name="page35"/>
    <w:bookmarkEnd w:id="34"/>
    <w:p>
      <w:pPr>
        <w:ind w:left="2560"/>
        <w:spacing w:after="0"/>
        <w:rPr>
          <w:sz w:val="20"/>
          <w:szCs w:val="20"/>
          <w:color w:val="auto"/>
        </w:rPr>
      </w:pPr>
      <w:r>
        <w:rPr>
          <w:rFonts w:ascii="Arial" w:cs="Arial" w:eastAsia="Arial" w:hAnsi="Arial"/>
          <w:sz w:val="13"/>
          <w:szCs w:val="13"/>
          <w:b w:val="1"/>
          <w:bCs w:val="1"/>
          <w:color w:val="auto"/>
        </w:rPr>
        <w:t>Former President, Global Marketing, Sales &amp; Innovation, Diageo PLC, a leading premium drinks company (June 2002 to December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-45720</wp:posOffset>
            </wp:positionV>
            <wp:extent cx="6875145" cy="1543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53"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560"/>
        <w:spacing w:after="0" w:line="257" w:lineRule="auto"/>
        <w:rPr>
          <w:sz w:val="20"/>
          <w:szCs w:val="20"/>
          <w:color w:val="auto"/>
        </w:rPr>
      </w:pPr>
      <w:r>
        <w:rPr>
          <w:rFonts w:ascii="Arial" w:cs="Arial" w:eastAsia="Arial" w:hAnsi="Arial"/>
          <w:sz w:val="14"/>
          <w:szCs w:val="14"/>
          <w:color w:val="3F000B"/>
        </w:rPr>
        <w:t>Mr. Malcolm is a globally recognized expert in strategic marketing and is currently Executive in Residence, Center for Customer Insight and Marketing Solutions, McCombs School of Business, University of Texas. He brings to the Board significant experience in emerging markets and in the marketing and sales of consumer products, including consumer packaged goods and fast-moving consumer goods.</w:t>
      </w:r>
    </w:p>
    <w:p>
      <w:pPr>
        <w:sectPr>
          <w:pgSz w:w="11900" w:h="16838" w:orient="portrait"/>
          <w:cols w:equalWidth="0" w:num="1">
            <w:col w:w="11040"/>
          </w:cols>
          <w:pgMar w:left="420" w:top="1264" w:right="439" w:bottom="1440" w:gutter="0" w:footer="0" w:header="0"/>
        </w:sectPr>
      </w:pPr>
    </w:p>
    <w:p>
      <w:pPr>
        <w:spacing w:after="0" w:line="320"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2640" w:hanging="82"/>
        <w:spacing w:after="0" w:line="273" w:lineRule="auto"/>
        <w:tabs>
          <w:tab w:leader="none" w:pos="2632" w:val="left"/>
        </w:tabs>
        <w:numPr>
          <w:ilvl w:val="0"/>
          <w:numId w:val="97"/>
        </w:numPr>
        <w:rPr>
          <w:rFonts w:ascii="Arial" w:cs="Arial" w:eastAsia="Arial" w:hAnsi="Arial"/>
          <w:sz w:val="14"/>
          <w:szCs w:val="14"/>
          <w:color w:val="auto"/>
        </w:rPr>
      </w:pPr>
      <w:r>
        <w:rPr>
          <w:rFonts w:ascii="Arial" w:cs="Arial" w:eastAsia="Arial" w:hAnsi="Arial"/>
          <w:sz w:val="14"/>
          <w:szCs w:val="14"/>
          <w:color w:val="auto"/>
        </w:rPr>
        <w:t>Spent 24 years at The Procter &amp; Gamble Company in positions of increasing responsibility</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CURRENT PUBLIC AND OTHER KEY DIRECTORSHIPS</w:t>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 Boston Consulting Group (senior advisor)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55" w:lineRule="exact"/>
        <w:rPr>
          <w:sz w:val="20"/>
          <w:szCs w:val="20"/>
          <w:color w:val="auto"/>
        </w:rPr>
      </w:pPr>
    </w:p>
    <w:p>
      <w:pPr>
        <w:ind w:left="80" w:right="120" w:hanging="78"/>
        <w:spacing w:after="0" w:line="250" w:lineRule="auto"/>
        <w:tabs>
          <w:tab w:leader="none" w:pos="71" w:val="left"/>
        </w:tabs>
        <w:numPr>
          <w:ilvl w:val="0"/>
          <w:numId w:val="98"/>
        </w:numPr>
        <w:rPr>
          <w:rFonts w:ascii="Arial" w:cs="Arial" w:eastAsia="Arial" w:hAnsi="Arial"/>
          <w:sz w:val="14"/>
          <w:szCs w:val="14"/>
          <w:color w:val="auto"/>
        </w:rPr>
      </w:pPr>
      <w:r>
        <w:rPr>
          <w:rFonts w:ascii="Arial" w:cs="Arial" w:eastAsia="Arial" w:hAnsi="Arial"/>
          <w:sz w:val="14"/>
          <w:szCs w:val="14"/>
          <w:color w:val="auto"/>
        </w:rPr>
        <w:t>Bachelor’s degree in marketing from the University of Southern California</w:t>
      </w:r>
    </w:p>
    <w:p>
      <w:pPr>
        <w:ind w:left="80" w:right="20" w:hanging="78"/>
        <w:spacing w:after="0" w:line="255" w:lineRule="auto"/>
        <w:tabs>
          <w:tab w:leader="none" w:pos="71" w:val="left"/>
        </w:tabs>
        <w:numPr>
          <w:ilvl w:val="0"/>
          <w:numId w:val="98"/>
        </w:numPr>
        <w:rPr>
          <w:rFonts w:ascii="Arial" w:cs="Arial" w:eastAsia="Arial" w:hAnsi="Arial"/>
          <w:sz w:val="14"/>
          <w:szCs w:val="14"/>
          <w:color w:val="auto"/>
        </w:rPr>
      </w:pPr>
      <w:r>
        <w:rPr>
          <w:rFonts w:ascii="Arial" w:cs="Arial" w:eastAsia="Arial" w:hAnsi="Arial"/>
          <w:sz w:val="14"/>
          <w:szCs w:val="14"/>
          <w:color w:val="auto"/>
        </w:rPr>
        <w:t>Masters of Business Administration degree in marketing from the University of Southern California</w:t>
      </w:r>
    </w:p>
    <w:p>
      <w:pPr>
        <w:spacing w:after="0" w:line="271" w:lineRule="exact"/>
        <w:rPr>
          <w:sz w:val="20"/>
          <w:szCs w:val="20"/>
          <w:color w:val="auto"/>
        </w:rPr>
      </w:pPr>
    </w:p>
    <w:p>
      <w:pPr>
        <w:sectPr>
          <w:pgSz w:w="11900" w:h="16838" w:orient="portrait"/>
          <w:cols w:equalWidth="0" w:num="2">
            <w:col w:w="7040" w:space="120"/>
            <w:col w:w="3880"/>
          </w:cols>
          <w:pgMar w:left="420" w:top="1264" w:right="439" w:bottom="1440" w:gutter="0" w:footer="0" w:header="0"/>
          <w:type w:val="continuous"/>
        </w:sectPr>
      </w:pPr>
    </w:p>
    <w:p>
      <w:pPr>
        <w:spacing w:after="0"/>
        <w:rPr>
          <w:sz w:val="20"/>
          <w:szCs w:val="20"/>
          <w:color w:val="auto"/>
        </w:rPr>
      </w:pPr>
      <w:r>
        <w:rPr>
          <w:rFonts w:ascii="Arial" w:cs="Arial" w:eastAsia="Arial" w:hAnsi="Arial"/>
          <w:sz w:val="22"/>
          <w:szCs w:val="22"/>
          <w:b w:val="1"/>
          <w:bCs w:val="1"/>
          <w:color w:val="3F000B"/>
        </w:rPr>
        <w:t>Robert M. Malcolm</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68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spacing w:after="0" w:line="17" w:lineRule="exact"/>
        <w:rPr>
          <w:sz w:val="20"/>
          <w:szCs w:val="20"/>
          <w:color w:val="auto"/>
        </w:rPr>
      </w:pPr>
    </w:p>
    <w:p>
      <w:pPr>
        <w:ind w:left="100" w:hanging="93"/>
        <w:spacing w:after="0"/>
        <w:tabs>
          <w:tab w:leader="none" w:pos="1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Finance and Risk Management (Chair)</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Audit</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476250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560" w:right="1620"/>
        <w:spacing w:after="0" w:line="279" w:lineRule="auto"/>
        <w:rPr>
          <w:sz w:val="20"/>
          <w:szCs w:val="20"/>
          <w:color w:val="auto"/>
        </w:rPr>
      </w:pPr>
      <w:r>
        <w:rPr>
          <w:rFonts w:ascii="Arial" w:cs="Arial" w:eastAsia="Arial" w:hAnsi="Arial"/>
          <w:sz w:val="14"/>
          <w:szCs w:val="14"/>
          <w:b w:val="1"/>
          <w:bCs w:val="1"/>
          <w:color w:val="auto"/>
        </w:rPr>
        <w:t>Chief Executive Officer, TropicSport, a natural suncare and skincare products company (April 2019 to present); Lead Independent Director, The Hershey Company (May 2020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-222885</wp:posOffset>
            </wp:positionV>
            <wp:extent cx="6875145" cy="1543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31"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jc w:val="both"/>
        <w:ind w:left="2560" w:right="60"/>
        <w:spacing w:after="0" w:line="257" w:lineRule="auto"/>
        <w:rPr>
          <w:sz w:val="20"/>
          <w:szCs w:val="20"/>
          <w:color w:val="auto"/>
        </w:rPr>
      </w:pPr>
      <w:r>
        <w:rPr>
          <w:rFonts w:ascii="Arial" w:cs="Arial" w:eastAsia="Arial" w:hAnsi="Arial"/>
          <w:sz w:val="14"/>
          <w:szCs w:val="14"/>
          <w:color w:val="3F000B"/>
        </w:rPr>
        <w:t>Having spent most of his professional career in the consumer packaged goods industry, Mr. Palmer brings to the Board substantial experience and insight in several key strategic areas for the Company, including fast-moving consumer packaged goods, emerging markets, marketing and human resources.</w:t>
      </w:r>
    </w:p>
    <w:p>
      <w:pPr>
        <w:sectPr>
          <w:pgSz w:w="11900" w:h="16838" w:orient="portrait"/>
          <w:cols w:equalWidth="0" w:num="1">
            <w:col w:w="11040"/>
          </w:cols>
          <w:pgMar w:left="420" w:top="1264" w:right="439" w:bottom="1440" w:gutter="0" w:footer="0" w:header="0"/>
          <w:type w:val="continuous"/>
        </w:sectPr>
      </w:pPr>
    </w:p>
    <w:p>
      <w:pPr>
        <w:spacing w:after="0" w:line="360"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2640" w:hanging="82"/>
        <w:spacing w:after="0"/>
        <w:tabs>
          <w:tab w:leader="none" w:pos="26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Kimberly-Clark Corporation</w:t>
      </w:r>
    </w:p>
    <w:p>
      <w:pPr>
        <w:spacing w:after="0" w:line="13" w:lineRule="exact"/>
        <w:rPr>
          <w:rFonts w:ascii="Arial" w:cs="Arial" w:eastAsia="Arial" w:hAnsi="Arial"/>
          <w:sz w:val="14"/>
          <w:szCs w:val="14"/>
          <w:color w:val="auto"/>
        </w:rPr>
      </w:pPr>
    </w:p>
    <w:p>
      <w:pPr>
        <w:ind w:left="2760" w:hanging="121"/>
        <w:spacing w:after="0"/>
        <w:tabs>
          <w:tab w:leader="none" w:pos="276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President, Global Brands and Innovation (April 2012 to April 2019)</w:t>
      </w:r>
    </w:p>
    <w:p>
      <w:pPr>
        <w:spacing w:after="0" w:line="12" w:lineRule="exact"/>
        <w:rPr>
          <w:rFonts w:ascii="Arial" w:cs="Arial" w:eastAsia="Arial" w:hAnsi="Arial"/>
          <w:sz w:val="13"/>
          <w:szCs w:val="13"/>
          <w:color w:val="auto"/>
        </w:rPr>
      </w:pPr>
    </w:p>
    <w:p>
      <w:pPr>
        <w:ind w:left="2740" w:right="980" w:hanging="101"/>
        <w:spacing w:after="0" w:line="247" w:lineRule="auto"/>
        <w:tabs>
          <w:tab w:leader="none" w:pos="2755" w:val="left"/>
        </w:tabs>
        <w:numPr>
          <w:ilvl w:val="1"/>
          <w:numId w:val="100"/>
        </w:numPr>
        <w:rPr>
          <w:rFonts w:ascii="Arial" w:cs="Arial" w:eastAsia="Arial" w:hAnsi="Arial"/>
          <w:sz w:val="14"/>
          <w:szCs w:val="14"/>
          <w:color w:val="auto"/>
        </w:rPr>
      </w:pPr>
      <w:r>
        <w:rPr>
          <w:rFonts w:ascii="Arial" w:cs="Arial" w:eastAsia="Arial" w:hAnsi="Arial"/>
          <w:sz w:val="14"/>
          <w:szCs w:val="14"/>
          <w:color w:val="auto"/>
        </w:rPr>
        <w:t>Senior Vice President and Chief Marketing Officer (October 2006 to March 2012)</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EDUCATION</w:t>
      </w:r>
    </w:p>
    <w:p>
      <w:pPr>
        <w:spacing w:after="0" w:line="55" w:lineRule="exact"/>
        <w:rPr>
          <w:sz w:val="20"/>
          <w:szCs w:val="20"/>
          <w:color w:val="auto"/>
        </w:rPr>
      </w:pPr>
    </w:p>
    <w:p>
      <w:pPr>
        <w:ind w:left="80" w:right="20" w:hanging="78"/>
        <w:spacing w:after="0" w:line="250" w:lineRule="auto"/>
        <w:tabs>
          <w:tab w:leader="none" w:pos="7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Bachelor’s degree in business marketing from Monash University in Melbourne, Australia</w:t>
      </w:r>
    </w:p>
    <w:p>
      <w:pPr>
        <w:ind w:left="80" w:hanging="78"/>
        <w:spacing w:after="0" w:line="266" w:lineRule="auto"/>
        <w:tabs>
          <w:tab w:leader="none" w:pos="7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Masters of Business Administration degree, with distinction, from the International Management Institute, Geneva, Switzerland</w:t>
      </w:r>
    </w:p>
    <w:p>
      <w:pPr>
        <w:spacing w:after="0" w:line="1" w:lineRule="exact"/>
        <w:rPr>
          <w:sz w:val="20"/>
          <w:szCs w:val="20"/>
          <w:color w:val="auto"/>
        </w:rPr>
      </w:pPr>
    </w:p>
    <w:p>
      <w:pPr>
        <w:sectPr>
          <w:pgSz w:w="11900" w:h="16838" w:orient="portrait"/>
          <w:cols w:equalWidth="0" w:num="2">
            <w:col w:w="6680" w:space="480"/>
            <w:col w:w="3880"/>
          </w:cols>
          <w:pgMar w:left="420" w:top="1264" w:right="439" w:bottom="1440" w:gutter="0" w:footer="0" w:header="0"/>
          <w:type w:val="continuous"/>
        </w:sectPr>
      </w:pPr>
    </w:p>
    <w:p>
      <w:pPr>
        <w:spacing w:after="0"/>
        <w:rPr>
          <w:sz w:val="20"/>
          <w:szCs w:val="20"/>
          <w:color w:val="auto"/>
        </w:rPr>
      </w:pPr>
      <w:r>
        <w:rPr>
          <w:rFonts w:ascii="Arial" w:cs="Arial" w:eastAsia="Arial" w:hAnsi="Arial"/>
          <w:sz w:val="22"/>
          <w:szCs w:val="22"/>
          <w:b w:val="1"/>
          <w:bCs w:val="1"/>
          <w:color w:val="3F000B"/>
        </w:rPr>
        <w:t>Anthony J. Palmer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61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spacing w:after="0" w:line="17" w:lineRule="exact"/>
        <w:rPr>
          <w:sz w:val="20"/>
          <w:szCs w:val="20"/>
          <w:color w:val="auto"/>
        </w:rPr>
      </w:pPr>
    </w:p>
    <w:p>
      <w:pPr>
        <w:ind w:left="100" w:hanging="93"/>
        <w:spacing w:after="0"/>
        <w:tabs>
          <w:tab w:leader="none" w:pos="1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Audit (ex-officio)</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Compensation (ex-officio)</w:t>
      </w:r>
    </w:p>
    <w:p>
      <w:pPr>
        <w:spacing w:after="0" w:line="1" w:lineRule="exact"/>
        <w:rPr>
          <w:rFonts w:ascii="Arial" w:cs="Arial" w:eastAsia="Arial" w:hAnsi="Arial"/>
          <w:sz w:val="14"/>
          <w:szCs w:val="14"/>
          <w:color w:val="auto"/>
        </w:rPr>
      </w:pPr>
    </w:p>
    <w:p>
      <w:pPr>
        <w:ind w:left="100" w:hanging="93"/>
        <w:spacing w:after="0"/>
        <w:tabs>
          <w:tab w:leader="none" w:pos="1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Executive</w:t>
      </w:r>
    </w:p>
    <w:p>
      <w:pPr>
        <w:spacing w:after="0" w:line="1" w:lineRule="exact"/>
        <w:rPr>
          <w:rFonts w:ascii="Arial" w:cs="Arial" w:eastAsia="Arial" w:hAnsi="Arial"/>
          <w:sz w:val="14"/>
          <w:szCs w:val="14"/>
          <w:color w:val="auto"/>
        </w:rPr>
      </w:pPr>
    </w:p>
    <w:p>
      <w:pPr>
        <w:ind w:left="80" w:right="8900" w:hanging="73"/>
        <w:spacing w:after="0" w:line="241" w:lineRule="auto"/>
        <w:tabs>
          <w:tab w:leader="none" w:pos="8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Finance and Risk Management (ex-officio)</w:t>
      </w:r>
    </w:p>
    <w:p>
      <w:pPr>
        <w:ind w:left="100" w:hanging="93"/>
        <w:spacing w:after="0"/>
        <w:tabs>
          <w:tab w:leader="none" w:pos="1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40"/>
          </w:cols>
          <w:pgMar w:left="420" w:top="1264" w:right="43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490855</wp:posOffset>
            </wp:positionH>
            <wp:positionV relativeFrom="page">
              <wp:posOffset>782955</wp:posOffset>
            </wp:positionV>
            <wp:extent cx="1156970" cy="1543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5697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Juan R. Perez</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2019</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54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ind w:left="100" w:hanging="93"/>
        <w:spacing w:after="0" w:line="201" w:lineRule="auto"/>
        <w:tabs>
          <w:tab w:leader="none" w:pos="1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Compensation</w:t>
      </w:r>
    </w:p>
    <w:p>
      <w:pPr>
        <w:ind w:left="100" w:hanging="93"/>
        <w:spacing w:after="0"/>
        <w:tabs>
          <w:tab w:leader="none" w:pos="1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Finance and Risk Management</w:t>
      </w:r>
    </w:p>
    <w:p>
      <w:pPr>
        <w:spacing w:after="0" w:line="20" w:lineRule="exact"/>
        <w:rPr>
          <w:sz w:val="20"/>
          <w:szCs w:val="20"/>
          <w:color w:val="auto"/>
        </w:rPr>
      </w:pPr>
      <w:r>
        <w:rPr>
          <w:sz w:val="20"/>
          <w:szCs w:val="20"/>
          <w:color w:val="auto"/>
        </w:rPr>
        <w:br w:type="column"/>
      </w:r>
    </w:p>
    <w:p>
      <w:pPr>
        <w:ind w:right="220"/>
        <w:spacing w:after="0" w:line="279" w:lineRule="auto"/>
        <w:rPr>
          <w:sz w:val="20"/>
          <w:szCs w:val="20"/>
          <w:color w:val="auto"/>
        </w:rPr>
      </w:pPr>
      <w:r>
        <w:rPr>
          <w:rFonts w:ascii="Arial" w:cs="Arial" w:eastAsia="Arial" w:hAnsi="Arial"/>
          <w:sz w:val="14"/>
          <w:szCs w:val="14"/>
          <w:b w:val="1"/>
          <w:bCs w:val="1"/>
          <w:color w:val="auto"/>
        </w:rPr>
        <w:t>Chief Information and Engineering Officer, United Parcel Service, Inc., a multinational package delivery and supply chain management company (April 2017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307975</wp:posOffset>
            </wp:positionV>
            <wp:extent cx="5460365" cy="8229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60365" cy="822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jc w:val="both"/>
        <w:ind w:right="420"/>
        <w:spacing w:after="0" w:line="257" w:lineRule="auto"/>
        <w:rPr>
          <w:sz w:val="20"/>
          <w:szCs w:val="20"/>
          <w:color w:val="auto"/>
        </w:rPr>
      </w:pPr>
      <w:r>
        <w:rPr>
          <w:rFonts w:ascii="Arial" w:cs="Arial" w:eastAsia="Arial" w:hAnsi="Arial"/>
          <w:sz w:val="14"/>
          <w:szCs w:val="14"/>
          <w:color w:val="3F000B"/>
        </w:rPr>
        <w:t>During his 30-year career at United Parcel Service, Inc., Mr. Perez has developed a broad range of commercial, operational and technological expertise. In addition to his overall leadership experience, Mr. Perez brings significant strength in the areas of supply chain management and logistics, digital technology, innovation and data analytics to the Board.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3F000B"/>
              </w:rPr>
              <w:t>PREVIOUS BUSINESS EXPERIENCE</w:t>
            </w:r>
          </w:p>
        </w:tc>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3F000B"/>
              </w:rPr>
              <w:t>EDUCATION</w:t>
            </w:r>
          </w:p>
        </w:tc>
      </w:tr>
      <w:tr>
        <w:trPr>
          <w:trHeight w:val="20"/>
        </w:trPr>
        <w:tc>
          <w:tcPr>
            <w:tcW w:w="2400" w:type="dxa"/>
            <w:vAlign w:val="bottom"/>
            <w:shd w:val="clear" w:color="auto" w:fill="3F000B"/>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shd w:val="clear" w:color="auto" w:fill="3F000B"/>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04"/>
        </w:trPr>
        <w:tc>
          <w:tcPr>
            <w:tcW w:w="2400" w:type="dxa"/>
            <w:vAlign w:val="bottom"/>
          </w:tcPr>
          <w:p>
            <w:pPr>
              <w:spacing w:after="0"/>
              <w:rPr>
                <w:sz w:val="20"/>
                <w:szCs w:val="20"/>
                <w:color w:val="auto"/>
              </w:rPr>
            </w:pPr>
            <w:r>
              <w:rPr>
                <w:rFonts w:ascii="Arial" w:cs="Arial" w:eastAsia="Arial" w:hAnsi="Arial"/>
                <w:sz w:val="14"/>
                <w:szCs w:val="14"/>
                <w:color w:val="auto"/>
              </w:rPr>
              <w:t>• United Parcel Service, Inc.</w:t>
            </w:r>
          </w:p>
        </w:tc>
        <w:tc>
          <w:tcPr>
            <w:tcW w:w="220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w w:val="93"/>
              </w:rPr>
              <w:t>• Bachelor of Science in industrial and systems engineering from the</w:t>
            </w:r>
          </w:p>
        </w:tc>
      </w:tr>
      <w:tr>
        <w:trPr>
          <w:trHeight w:val="162"/>
        </w:trPr>
        <w:tc>
          <w:tcPr>
            <w:tcW w:w="4600" w:type="dxa"/>
            <w:vAlign w:val="bottom"/>
            <w:gridSpan w:val="2"/>
          </w:tcPr>
          <w:p>
            <w:pPr>
              <w:ind w:left="120"/>
              <w:spacing w:after="0"/>
              <w:rPr>
                <w:sz w:val="20"/>
                <w:szCs w:val="20"/>
                <w:color w:val="auto"/>
              </w:rPr>
            </w:pPr>
            <w:r>
              <w:rPr>
                <w:rFonts w:ascii="Arial" w:cs="Arial" w:eastAsia="Arial" w:hAnsi="Arial"/>
                <w:sz w:val="14"/>
                <w:szCs w:val="14"/>
                <w:color w:val="auto"/>
              </w:rPr>
              <w:t>○ Chief Information Officer (March 2016 to April 2017)</w:t>
            </w:r>
          </w:p>
        </w:tc>
        <w:tc>
          <w:tcPr>
            <w:tcW w:w="3960" w:type="dxa"/>
            <w:vAlign w:val="bottom"/>
            <w:gridSpan w:val="2"/>
          </w:tcPr>
          <w:p>
            <w:pPr>
              <w:ind w:left="80"/>
              <w:spacing w:after="0"/>
              <w:rPr>
                <w:sz w:val="20"/>
                <w:szCs w:val="20"/>
                <w:color w:val="auto"/>
              </w:rPr>
            </w:pPr>
            <w:r>
              <w:rPr>
                <w:rFonts w:ascii="Arial" w:cs="Arial" w:eastAsia="Arial" w:hAnsi="Arial"/>
                <w:sz w:val="14"/>
                <w:szCs w:val="14"/>
                <w:color w:val="auto"/>
              </w:rPr>
              <w:t>University of Southern California</w:t>
            </w:r>
          </w:p>
        </w:tc>
      </w:tr>
      <w:tr>
        <w:trPr>
          <w:trHeight w:val="162"/>
        </w:trPr>
        <w:tc>
          <w:tcPr>
            <w:tcW w:w="4600" w:type="dxa"/>
            <w:vAlign w:val="bottom"/>
            <w:gridSpan w:val="2"/>
          </w:tcPr>
          <w:p>
            <w:pPr>
              <w:ind w:left="120"/>
              <w:spacing w:after="0"/>
              <w:rPr>
                <w:sz w:val="20"/>
                <w:szCs w:val="20"/>
                <w:color w:val="auto"/>
              </w:rPr>
            </w:pPr>
            <w:r>
              <w:rPr>
                <w:rFonts w:ascii="Arial" w:cs="Arial" w:eastAsia="Arial" w:hAnsi="Arial"/>
                <w:sz w:val="14"/>
                <w:szCs w:val="14"/>
                <w:color w:val="auto"/>
              </w:rPr>
              <w:t>○ Vice President, Technology (July 2010 to March 2016)</w:t>
            </w:r>
          </w:p>
        </w:tc>
        <w:tc>
          <w:tcPr>
            <w:tcW w:w="3960" w:type="dxa"/>
            <w:vAlign w:val="bottom"/>
            <w:gridSpan w:val="2"/>
          </w:tcPr>
          <w:p>
            <w:pPr>
              <w:spacing w:after="0"/>
              <w:rPr>
                <w:sz w:val="20"/>
                <w:szCs w:val="20"/>
                <w:color w:val="auto"/>
              </w:rPr>
            </w:pPr>
            <w:r>
              <w:rPr>
                <w:rFonts w:ascii="Arial" w:cs="Arial" w:eastAsia="Arial" w:hAnsi="Arial"/>
                <w:sz w:val="14"/>
                <w:szCs w:val="14"/>
                <w:color w:val="auto"/>
                <w:w w:val="98"/>
              </w:rPr>
              <w:t>• Masters of Science in computer and manufacturing engineering</w:t>
            </w:r>
          </w:p>
        </w:tc>
      </w:tr>
      <w:tr>
        <w:trPr>
          <w:trHeight w:val="182"/>
        </w:trPr>
        <w:tc>
          <w:tcPr>
            <w:tcW w:w="4600" w:type="dxa"/>
            <w:vAlign w:val="bottom"/>
            <w:gridSpan w:val="2"/>
          </w:tcPr>
          <w:p>
            <w:pPr>
              <w:ind w:left="120"/>
              <w:spacing w:after="0"/>
              <w:rPr>
                <w:sz w:val="20"/>
                <w:szCs w:val="20"/>
                <w:color w:val="auto"/>
              </w:rPr>
            </w:pPr>
            <w:r>
              <w:rPr>
                <w:rFonts w:ascii="Arial" w:cs="Arial" w:eastAsia="Arial" w:hAnsi="Arial"/>
                <w:sz w:val="14"/>
                <w:szCs w:val="14"/>
                <w:color w:val="auto"/>
              </w:rPr>
              <w:t>○ Vice President, Engineering (January 2005 to July 2010)</w:t>
            </w:r>
          </w:p>
        </w:tc>
        <w:tc>
          <w:tcPr>
            <w:tcW w:w="3960" w:type="dxa"/>
            <w:vAlign w:val="bottom"/>
            <w:gridSpan w:val="2"/>
          </w:tcPr>
          <w:p>
            <w:pPr>
              <w:ind w:left="80"/>
              <w:spacing w:after="0"/>
              <w:rPr>
                <w:sz w:val="20"/>
                <w:szCs w:val="20"/>
                <w:color w:val="auto"/>
              </w:rPr>
            </w:pPr>
            <w:r>
              <w:rPr>
                <w:rFonts w:ascii="Arial" w:cs="Arial" w:eastAsia="Arial" w:hAnsi="Arial"/>
                <w:sz w:val="14"/>
                <w:szCs w:val="14"/>
                <w:color w:val="auto"/>
              </w:rPr>
              <w:t>from the University of Southern California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4936490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880" w:space="680"/>
            <w:col w:w="8560"/>
          </w:cols>
          <w:pgMar w:left="420" w:top="1156" w:right="359" w:bottom="1440" w:gutter="0" w:footer="0" w:header="0"/>
        </w:sectPr>
      </w:pPr>
    </w:p>
    <w:bookmarkStart w:id="36" w:name="page37"/>
    <w:bookmarkEnd w:id="36"/>
    <w:p>
      <w:pPr>
        <w:ind w:left="2560"/>
        <w:spacing w:after="0" w:line="279" w:lineRule="auto"/>
        <w:rPr>
          <w:sz w:val="20"/>
          <w:szCs w:val="20"/>
          <w:color w:val="auto"/>
        </w:rPr>
      </w:pPr>
      <w:r>
        <w:rPr>
          <w:rFonts w:ascii="Arial" w:cs="Arial" w:eastAsia="Arial" w:hAnsi="Arial"/>
          <w:sz w:val="14"/>
          <w:szCs w:val="14"/>
          <w:b w:val="1"/>
          <w:bCs w:val="1"/>
          <w:color w:val="auto"/>
        </w:rPr>
        <w:t>Former Executive Vice President and Chief Financial Officer, Sleep Number Corporation, a bedding manufacturer, marketer and retailer (June 2011 to February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-188595</wp:posOffset>
            </wp:positionV>
            <wp:extent cx="6875145" cy="1543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75145" cy="1543050"/>
                    </a:xfrm>
                    <a:prstGeom prst="rect">
                      <a:avLst/>
                    </a:prstGeom>
                    <a:noFill/>
                  </pic:spPr>
                </pic:pic>
              </a:graphicData>
            </a:graphic>
          </wp:anchor>
        </w:drawing>
      </w:r>
    </w:p>
    <w:p>
      <w:pPr>
        <w:spacing w:after="0" w:line="231" w:lineRule="exact"/>
        <w:rPr>
          <w:sz w:val="20"/>
          <w:szCs w:val="20"/>
          <w:color w:val="auto"/>
        </w:rPr>
      </w:pPr>
    </w:p>
    <w:p>
      <w:pPr>
        <w:ind w:left="2560"/>
        <w:spacing w:after="0"/>
        <w:rPr>
          <w:sz w:val="20"/>
          <w:szCs w:val="20"/>
          <w:color w:val="auto"/>
        </w:rPr>
      </w:pPr>
      <w:r>
        <w:rPr>
          <w:rFonts w:ascii="Arial" w:cs="Arial" w:eastAsia="Arial" w:hAnsi="Arial"/>
          <w:sz w:val="14"/>
          <w:szCs w:val="14"/>
          <w:b w:val="1"/>
          <w:bCs w:val="1"/>
          <w:i w:val="1"/>
          <w:iCs w:val="1"/>
          <w:u w:val="single" w:color="auto"/>
          <w:color w:val="3F000B"/>
        </w:rPr>
        <w:t>QUALIFICATIONS, ATTRIBUTES AND SKILLS</w:t>
      </w:r>
    </w:p>
    <w:p>
      <w:pPr>
        <w:spacing w:after="0" w:line="55" w:lineRule="exact"/>
        <w:rPr>
          <w:sz w:val="20"/>
          <w:szCs w:val="20"/>
          <w:color w:val="auto"/>
        </w:rPr>
      </w:pPr>
    </w:p>
    <w:p>
      <w:pPr>
        <w:ind w:left="2560" w:right="120"/>
        <w:spacing w:after="0" w:line="252" w:lineRule="auto"/>
        <w:rPr>
          <w:sz w:val="20"/>
          <w:szCs w:val="20"/>
          <w:color w:val="auto"/>
        </w:rPr>
      </w:pPr>
      <w:r>
        <w:rPr>
          <w:rFonts w:ascii="Arial" w:cs="Arial" w:eastAsia="Arial" w:hAnsi="Arial"/>
          <w:sz w:val="14"/>
          <w:szCs w:val="14"/>
          <w:color w:val="3F000B"/>
        </w:rPr>
        <w:t>As Chief Financial Officer for Sleep Number Corporation, Ms. Schoppert gained extensive experience leading all finance functions including financial planning and analysis, accounting, tax, treasury, investor relations, decision support and IT. She began her career in the airline industry, serving in various financial, strategic and general management leadership positions at American Airlines, Northwest Airlines and America West Airlines.</w:t>
      </w:r>
    </w:p>
    <w:p>
      <w:pPr>
        <w:sectPr>
          <w:pgSz w:w="11900" w:h="16838" w:orient="portrait"/>
          <w:cols w:equalWidth="0" w:num="1">
            <w:col w:w="11000"/>
          </w:cols>
          <w:pgMar w:left="420" w:top="17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3F000B"/>
        </w:rPr>
        <w:t>Wendy L. Schoppert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Director since </w:t>
      </w:r>
      <w:r>
        <w:rPr>
          <w:rFonts w:ascii="Arial" w:cs="Arial" w:eastAsia="Arial" w:hAnsi="Arial"/>
          <w:sz w:val="14"/>
          <w:szCs w:val="14"/>
          <w:color w:val="000000"/>
        </w:rPr>
        <w:t>2017</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 xml:space="preserve">Age </w:t>
      </w:r>
      <w:r>
        <w:rPr>
          <w:rFonts w:ascii="Arial" w:cs="Arial" w:eastAsia="Arial" w:hAnsi="Arial"/>
          <w:sz w:val="14"/>
          <w:szCs w:val="14"/>
          <w:color w:val="000000"/>
        </w:rPr>
        <w:t>54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3F000B"/>
        </w:rPr>
        <w:t>Board Committees</w:t>
      </w:r>
    </w:p>
    <w:p>
      <w:pPr>
        <w:ind w:left="100" w:hanging="93"/>
        <w:spacing w:after="0" w:line="201" w:lineRule="auto"/>
        <w:tabs>
          <w:tab w:leader="none" w:pos="1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Audit</w:t>
      </w:r>
    </w:p>
    <w:p>
      <w:pPr>
        <w:ind w:left="100" w:hanging="93"/>
        <w:spacing w:after="0"/>
        <w:tabs>
          <w:tab w:leader="none" w:pos="1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Finance and Risk Management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PREVIOUS BUSINESS EXPERIENCE</w:t>
      </w:r>
    </w:p>
    <w:p>
      <w:pPr>
        <w:spacing w:after="0" w:line="55" w:lineRule="exact"/>
        <w:rPr>
          <w:sz w:val="20"/>
          <w:szCs w:val="20"/>
          <w:color w:val="auto"/>
        </w:rPr>
      </w:pPr>
    </w:p>
    <w:p>
      <w:pPr>
        <w:ind w:left="82" w:hanging="82"/>
        <w:spacing w:after="0"/>
        <w:tabs>
          <w:tab w:leader="none" w:pos="82"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Sleep Number Corporation</w:t>
      </w:r>
    </w:p>
    <w:p>
      <w:pPr>
        <w:spacing w:after="0" w:line="13" w:lineRule="exact"/>
        <w:rPr>
          <w:rFonts w:ascii="Arial" w:cs="Arial" w:eastAsia="Arial" w:hAnsi="Arial"/>
          <w:sz w:val="14"/>
          <w:szCs w:val="14"/>
          <w:color w:val="auto"/>
        </w:rPr>
      </w:pPr>
    </w:p>
    <w:p>
      <w:pPr>
        <w:ind w:left="242" w:right="80" w:hanging="161"/>
        <w:spacing w:after="0" w:line="241" w:lineRule="auto"/>
        <w:tabs>
          <w:tab w:leader="none" w:pos="202" w:val="left"/>
        </w:tabs>
        <w:numPr>
          <w:ilvl w:val="1"/>
          <w:numId w:val="105"/>
        </w:numPr>
        <w:rPr>
          <w:rFonts w:ascii="Arial" w:cs="Arial" w:eastAsia="Arial" w:hAnsi="Arial"/>
          <w:sz w:val="14"/>
          <w:szCs w:val="14"/>
          <w:color w:val="auto"/>
        </w:rPr>
      </w:pPr>
      <w:r>
        <w:rPr>
          <w:rFonts w:ascii="Arial" w:cs="Arial" w:eastAsia="Arial" w:hAnsi="Arial"/>
          <w:sz w:val="14"/>
          <w:szCs w:val="14"/>
          <w:color w:val="auto"/>
        </w:rPr>
        <w:t>Senior Vice President and Chief Information Officer (March 2008 to June 2011)</w:t>
      </w:r>
    </w:p>
    <w:p>
      <w:pPr>
        <w:ind w:left="242" w:hanging="161"/>
        <w:spacing w:after="0" w:line="255" w:lineRule="auto"/>
        <w:tabs>
          <w:tab w:leader="none" w:pos="202" w:val="left"/>
        </w:tabs>
        <w:numPr>
          <w:ilvl w:val="1"/>
          <w:numId w:val="105"/>
        </w:numPr>
        <w:rPr>
          <w:rFonts w:ascii="Arial" w:cs="Arial" w:eastAsia="Arial" w:hAnsi="Arial"/>
          <w:sz w:val="14"/>
          <w:szCs w:val="14"/>
          <w:color w:val="auto"/>
        </w:rPr>
      </w:pPr>
      <w:r>
        <w:rPr>
          <w:rFonts w:ascii="Arial" w:cs="Arial" w:eastAsia="Arial" w:hAnsi="Arial"/>
          <w:sz w:val="14"/>
          <w:szCs w:val="14"/>
          <w:color w:val="auto"/>
        </w:rPr>
        <w:t>Senior Vice President, International and New Channel Development (April 2005 to March 2008)</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u w:val="single" w:color="auto"/>
          <w:color w:val="3F000B"/>
        </w:rPr>
        <w:t>CURRENT PUBLIC AND OTHER KEY DIRECTORSHIPS</w:t>
      </w:r>
    </w:p>
    <w:p>
      <w:pPr>
        <w:spacing w:after="0" w:line="55" w:lineRule="exact"/>
        <w:rPr>
          <w:sz w:val="20"/>
          <w:szCs w:val="20"/>
          <w:color w:val="auto"/>
        </w:rPr>
      </w:pPr>
    </w:p>
    <w:p>
      <w:pPr>
        <w:ind w:left="82" w:hanging="82"/>
        <w:spacing w:after="0"/>
        <w:tabs>
          <w:tab w:leader="none" w:pos="8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ODP Corporation (July 2020 to present)</w:t>
      </w:r>
    </w:p>
    <w:p>
      <w:pPr>
        <w:spacing w:after="0" w:line="13" w:lineRule="exact"/>
        <w:rPr>
          <w:rFonts w:ascii="Arial" w:cs="Arial" w:eastAsia="Arial" w:hAnsi="Arial"/>
          <w:sz w:val="14"/>
          <w:szCs w:val="14"/>
          <w:color w:val="auto"/>
        </w:rPr>
      </w:pPr>
    </w:p>
    <w:p>
      <w:pPr>
        <w:ind w:left="82" w:hanging="82"/>
        <w:spacing w:after="0"/>
        <w:tabs>
          <w:tab w:leader="none" w:pos="8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Bremer Financial Corporation (May 2017 to present)</w:t>
      </w:r>
    </w:p>
    <w:p>
      <w:pPr>
        <w:spacing w:after="0" w:line="1" w:lineRule="exact"/>
        <w:rPr>
          <w:rFonts w:ascii="Arial" w:cs="Arial" w:eastAsia="Arial" w:hAnsi="Arial"/>
          <w:sz w:val="14"/>
          <w:szCs w:val="14"/>
          <w:color w:val="auto"/>
        </w:rPr>
      </w:pPr>
    </w:p>
    <w:p>
      <w:pPr>
        <w:ind w:left="82" w:hanging="82"/>
        <w:spacing w:after="0"/>
        <w:tabs>
          <w:tab w:leader="none" w:pos="82" w:val="left"/>
        </w:tabs>
        <w:numPr>
          <w:ilvl w:val="0"/>
          <w:numId w:val="106"/>
        </w:numPr>
        <w:rPr>
          <w:rFonts w:ascii="Arial" w:cs="Arial" w:eastAsia="Arial" w:hAnsi="Arial"/>
          <w:sz w:val="14"/>
          <w:szCs w:val="14"/>
          <w:color w:val="auto"/>
        </w:rPr>
      </w:pPr>
      <w:r>
        <w:rPr>
          <w:rFonts w:ascii="Arial" w:cs="Arial" w:eastAsia="Arial" w:hAnsi="Arial"/>
          <w:sz w:val="14"/>
          <w:szCs w:val="14"/>
          <w:color w:val="auto"/>
        </w:rPr>
        <w:t>Big Lots, Inc. (May 2015 to present)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3F000B"/>
        </w:rPr>
        <w:t>PAST PUBLIC COMPANY BOARDS</w:t>
      </w:r>
    </w:p>
    <w:p>
      <w:pPr>
        <w:spacing w:after="0" w:line="55" w:lineRule="exact"/>
        <w:rPr>
          <w:sz w:val="20"/>
          <w:szCs w:val="20"/>
          <w:color w:val="auto"/>
        </w:rPr>
      </w:pPr>
    </w:p>
    <w:p>
      <w:pPr>
        <w:ind w:left="80" w:hanging="78"/>
        <w:spacing w:after="0"/>
        <w:tabs>
          <w:tab w:leader="none" w:pos="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Gaia, Inc. (October 2013 to December 2018)</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i w:val="1"/>
          <w:iCs w:val="1"/>
          <w:u w:val="single" w:color="auto"/>
          <w:color w:val="3F000B"/>
        </w:rPr>
        <w:t>EDUCATION</w:t>
      </w:r>
    </w:p>
    <w:p>
      <w:pPr>
        <w:spacing w:after="0" w:line="55" w:lineRule="exact"/>
        <w:rPr>
          <w:rFonts w:ascii="Arial" w:cs="Arial" w:eastAsia="Arial" w:hAnsi="Arial"/>
          <w:sz w:val="14"/>
          <w:szCs w:val="14"/>
          <w:color w:val="auto"/>
        </w:rPr>
      </w:pPr>
    </w:p>
    <w:p>
      <w:pPr>
        <w:ind w:left="80" w:right="180" w:hanging="78"/>
        <w:spacing w:after="0" w:line="250" w:lineRule="auto"/>
        <w:tabs>
          <w:tab w:leader="none" w:pos="85" w:val="left"/>
        </w:tabs>
        <w:numPr>
          <w:ilvl w:val="0"/>
          <w:numId w:val="107"/>
        </w:numPr>
        <w:rPr>
          <w:rFonts w:ascii="Arial" w:cs="Arial" w:eastAsia="Arial" w:hAnsi="Arial"/>
          <w:sz w:val="14"/>
          <w:szCs w:val="14"/>
          <w:color w:val="auto"/>
        </w:rPr>
      </w:pPr>
      <w:r>
        <w:rPr>
          <w:rFonts w:ascii="Arial" w:cs="Arial" w:eastAsia="Arial" w:hAnsi="Arial"/>
          <w:sz w:val="14"/>
          <w:szCs w:val="14"/>
          <w:color w:val="auto"/>
        </w:rPr>
        <w:t>Bachelor of Arts in mathematics and operations research from Cornell University</w:t>
      </w:r>
    </w:p>
    <w:p>
      <w:pPr>
        <w:ind w:left="80" w:right="380" w:hanging="78"/>
        <w:spacing w:after="0" w:line="255" w:lineRule="auto"/>
        <w:tabs>
          <w:tab w:leader="none" w:pos="85"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Masters of Business Administration in finance and general management from Cornell University</w:t>
      </w:r>
    </w:p>
    <w:p>
      <w:pPr>
        <w:spacing w:after="0" w:line="817" w:lineRule="exact"/>
        <w:rPr>
          <w:sz w:val="20"/>
          <w:szCs w:val="20"/>
          <w:color w:val="auto"/>
        </w:rPr>
      </w:pPr>
    </w:p>
    <w:p>
      <w:pPr>
        <w:sectPr>
          <w:pgSz w:w="11900" w:h="16838" w:orient="portrait"/>
          <w:cols w:equalWidth="0" w:num="3">
            <w:col w:w="1900" w:space="658"/>
            <w:col w:w="4522" w:space="80"/>
            <w:col w:w="3840"/>
          </w:cols>
          <w:pgMar w:left="420" w:top="17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000"/>
          </w:cols>
          <w:pgMar w:left="420" w:top="171" w:right="47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5"/>
          <w:szCs w:val="25"/>
          <w:b w:val="1"/>
          <w:bCs w:val="1"/>
          <w:color w:val="3F000B"/>
        </w:rPr>
        <w:t>NON-EMPLOYEE DIRECTOR COMPENSATION</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The Hershey Company Directors’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260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6085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maintain a Directors’ Compensation Plan that is designed to:</w:t>
      </w:r>
    </w:p>
    <w:p>
      <w:pPr>
        <w:spacing w:after="0" w:line="117"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Attract and retain highly qualified, non-employee directors; and</w:t>
      </w:r>
    </w:p>
    <w:p>
      <w:pPr>
        <w:spacing w:after="0" w:line="63"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Align the interests of non-employee directors with those of our stockholders by paying a portion of non-employee compensation in units representing shares of our Common Stock.</w:t>
      </w:r>
    </w:p>
    <w:p>
      <w:pPr>
        <w:spacing w:after="0" w:line="11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Directors who are employees of the Company receive no additional compensation for their service on our Board. Ms. Buck is the only employee of the Company who also served as a director during 2020 and thus received no additional compensation for her Board service.</w:t>
      </w:r>
    </w:p>
    <w:p>
      <w:pPr>
        <w:spacing w:after="0" w:line="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Board targets non-employee director compensation at the 50th percentile of compensation paid to directors at a peer group of companies we call the 2020 Compensation Peer Group. Information about the 2020 Compensation Peer Group is included in the section entitled “Setting Compensation” in the Compensation Discussion &amp; Analysis. Each year, with the assistance of the Compensation Committee and the Compensation Committee’s compensation consultant, the Board reviews the compensation paid to directors at companies in the current peer group to determine whether any changes to non-employee director compensation are warranted.</w:t>
      </w:r>
    </w:p>
    <w:p>
      <w:pPr>
        <w:spacing w:after="0" w:line="13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a result of its review in October 2019, the Board increased the annual cash retainer from $100,000 to $105,000, increased the annual Restricted Stock Unit (“RSU”) award from $155,000 to $160,000 and increased the annual Compensation Committee Chair retainer from $15,000 to $20,000.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Accordingly, compensation paid to non-employee directors in 2020 was as follows:</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100" w:type="dxa"/>
            <w:vAlign w:val="bottom"/>
            <w:tcBorders>
              <w:left w:val="single" w:sz="8" w:color="3F000B"/>
              <w:right w:val="single" w:sz="8" w:color="DADADA"/>
            </w:tcBorders>
            <w:vMerge w:val="restart"/>
            <w:shd w:val="clear" w:color="auto" w:fill="3F000B"/>
          </w:tcPr>
          <w:p>
            <w:pPr>
              <w:ind w:left="3660"/>
              <w:spacing w:after="0"/>
              <w:rPr>
                <w:sz w:val="20"/>
                <w:szCs w:val="20"/>
                <w:color w:val="auto"/>
              </w:rPr>
            </w:pPr>
            <w:r>
              <w:rPr>
                <w:rFonts w:ascii="Arial" w:cs="Arial" w:eastAsia="Arial" w:hAnsi="Arial"/>
                <w:sz w:val="18"/>
                <w:szCs w:val="18"/>
                <w:b w:val="1"/>
                <w:bCs w:val="1"/>
                <w:color w:val="FFFFFF"/>
              </w:rPr>
              <w:t>Form of Compensation</w:t>
            </w:r>
          </w:p>
        </w:tc>
        <w:tc>
          <w:tcPr>
            <w:tcW w:w="2120" w:type="dxa"/>
            <w:vAlign w:val="bottom"/>
            <w:tcBorders>
              <w:right w:val="single" w:sz="8" w:color="3F000B"/>
            </w:tcBorders>
            <w:shd w:val="clear" w:color="auto" w:fill="3F000B"/>
          </w:tcPr>
          <w:p>
            <w:pPr>
              <w:jc w:val="right"/>
              <w:ind w:right="650"/>
              <w:spacing w:after="0"/>
              <w:rPr>
                <w:sz w:val="20"/>
                <w:szCs w:val="20"/>
                <w:color w:val="auto"/>
              </w:rPr>
            </w:pPr>
            <w:r>
              <w:rPr>
                <w:rFonts w:ascii="Arial" w:cs="Arial" w:eastAsia="Arial" w:hAnsi="Arial"/>
                <w:sz w:val="18"/>
                <w:szCs w:val="18"/>
                <w:b w:val="1"/>
                <w:bCs w:val="1"/>
                <w:color w:val="FFFFFF"/>
              </w:rPr>
              <w:t>Payment</w:t>
            </w:r>
          </w:p>
        </w:tc>
        <w:tc>
          <w:tcPr>
            <w:tcW w:w="0" w:type="dxa"/>
            <w:vAlign w:val="bottom"/>
          </w:tcPr>
          <w:p>
            <w:pPr>
              <w:spacing w:after="0"/>
              <w:rPr>
                <w:sz w:val="1"/>
                <w:szCs w:val="1"/>
                <w:color w:val="auto"/>
              </w:rPr>
            </w:pPr>
          </w:p>
        </w:tc>
      </w:tr>
      <w:tr>
        <w:trPr>
          <w:trHeight w:val="243"/>
        </w:trPr>
        <w:tc>
          <w:tcPr>
            <w:tcW w:w="9100" w:type="dxa"/>
            <w:vAlign w:val="bottom"/>
            <w:tcBorders>
              <w:left w:val="single" w:sz="8" w:color="3F000B"/>
              <w:right w:val="single" w:sz="8" w:color="DADADA"/>
            </w:tcBorders>
            <w:vMerge w:val="continue"/>
            <w:shd w:val="clear" w:color="auto" w:fill="3F000B"/>
          </w:tcPr>
          <w:p>
            <w:pPr>
              <w:spacing w:after="0"/>
              <w:rPr>
                <w:sz w:val="21"/>
                <w:szCs w:val="21"/>
                <w:color w:val="auto"/>
              </w:rPr>
            </w:pPr>
          </w:p>
        </w:tc>
        <w:tc>
          <w:tcPr>
            <w:tcW w:w="2120" w:type="dxa"/>
            <w:vAlign w:val="bottom"/>
            <w:tcBorders>
              <w:right w:val="single" w:sz="8" w:color="3F000B"/>
            </w:tcBorders>
            <w:shd w:val="clear" w:color="auto" w:fill="3F000B"/>
          </w:tcPr>
          <w:p>
            <w:pPr>
              <w:jc w:val="right"/>
              <w:ind w:right="89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57"/>
        </w:trPr>
        <w:tc>
          <w:tcPr>
            <w:tcW w:w="9100" w:type="dxa"/>
            <w:vAlign w:val="bottom"/>
            <w:tcBorders>
              <w:left w:val="single" w:sz="8" w:color="3F000B"/>
              <w:right w:val="single" w:sz="8" w:color="3F000B"/>
            </w:tcBorders>
          </w:tcPr>
          <w:p>
            <w:pPr>
              <w:ind w:left="40"/>
              <w:spacing w:after="0" w:line="256" w:lineRule="exact"/>
              <w:rPr>
                <w:sz w:val="20"/>
                <w:szCs w:val="20"/>
                <w:color w:val="auto"/>
              </w:rPr>
            </w:pPr>
            <w:r>
              <w:rPr>
                <w:rFonts w:ascii="Arial" w:cs="Arial" w:eastAsia="Arial" w:hAnsi="Arial"/>
                <w:sz w:val="18"/>
                <w:szCs w:val="18"/>
                <w:color w:val="auto"/>
              </w:rPr>
              <w:t>Annual retainer for Chairman of the Board</w:t>
            </w:r>
            <w:r>
              <w:rPr>
                <w:rFonts w:ascii="Arial" w:cs="Arial" w:eastAsia="Arial" w:hAnsi="Arial"/>
                <w:sz w:val="23"/>
                <w:szCs w:val="23"/>
                <w:color w:val="auto"/>
                <w:vertAlign w:val="superscript"/>
              </w:rPr>
              <w:t>(1) (2)</w:t>
            </w:r>
          </w:p>
        </w:tc>
        <w:tc>
          <w:tcPr>
            <w:tcW w:w="21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56"/>
        </w:trPr>
        <w:tc>
          <w:tcPr>
            <w:tcW w:w="91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Annual retainer for other non-employee directors</w:t>
            </w:r>
          </w:p>
        </w:tc>
        <w:tc>
          <w:tcPr>
            <w:tcW w:w="21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57"/>
        </w:trPr>
        <w:tc>
          <w:tcPr>
            <w:tcW w:w="91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Annual RSU award</w:t>
            </w:r>
          </w:p>
        </w:tc>
        <w:tc>
          <w:tcPr>
            <w:tcW w:w="21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56"/>
        </w:trPr>
        <w:tc>
          <w:tcPr>
            <w:tcW w:w="9100" w:type="dxa"/>
            <w:vAlign w:val="bottom"/>
            <w:tcBorders>
              <w:left w:val="single" w:sz="8" w:color="3F000B"/>
              <w:right w:val="single" w:sz="8" w:color="3F000B"/>
            </w:tcBorders>
            <w:shd w:val="clear" w:color="auto" w:fill="DADADA"/>
          </w:tcPr>
          <w:p>
            <w:pPr>
              <w:ind w:left="40"/>
              <w:spacing w:after="0" w:line="256" w:lineRule="exact"/>
              <w:rPr>
                <w:sz w:val="20"/>
                <w:szCs w:val="20"/>
                <w:color w:val="auto"/>
              </w:rPr>
            </w:pPr>
            <w:r>
              <w:rPr>
                <w:rFonts w:ascii="Arial" w:cs="Arial" w:eastAsia="Arial" w:hAnsi="Arial"/>
                <w:sz w:val="18"/>
                <w:szCs w:val="18"/>
                <w:color w:val="auto"/>
              </w:rPr>
              <w:t>Annual retainer for Lead Independent Director</w:t>
            </w:r>
            <w:r>
              <w:rPr>
                <w:rFonts w:ascii="Arial" w:cs="Arial" w:eastAsia="Arial" w:hAnsi="Arial"/>
                <w:sz w:val="23"/>
                <w:szCs w:val="23"/>
                <w:color w:val="auto"/>
                <w:vertAlign w:val="superscript"/>
              </w:rPr>
              <w:t>(2) (3)</w:t>
            </w:r>
          </w:p>
        </w:tc>
        <w:tc>
          <w:tcPr>
            <w:tcW w:w="21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9100" w:type="dxa"/>
            <w:vAlign w:val="bottom"/>
            <w:tcBorders>
              <w:left w:val="single" w:sz="8" w:color="3F000B"/>
              <w:right w:val="single" w:sz="8" w:color="3F000B"/>
            </w:tcBorders>
          </w:tcPr>
          <w:p>
            <w:pPr>
              <w:ind w:left="40"/>
              <w:spacing w:after="0" w:line="230" w:lineRule="exact"/>
              <w:rPr>
                <w:sz w:val="20"/>
                <w:szCs w:val="20"/>
                <w:color w:val="auto"/>
              </w:rPr>
            </w:pPr>
            <w:r>
              <w:rPr>
                <w:rFonts w:ascii="Arial" w:cs="Arial" w:eastAsia="Arial" w:hAnsi="Arial"/>
                <w:sz w:val="18"/>
                <w:szCs w:val="18"/>
                <w:color w:val="auto"/>
              </w:rPr>
              <w:t>Annual retainers for chairs of Audit and Compensation Committee</w:t>
            </w:r>
            <w:r>
              <w:rPr>
                <w:rFonts w:ascii="Arial" w:cs="Arial" w:eastAsia="Arial" w:hAnsi="Arial"/>
                <w:sz w:val="23"/>
                <w:szCs w:val="23"/>
                <w:color w:val="auto"/>
                <w:vertAlign w:val="superscript"/>
              </w:rPr>
              <w:t>(2)</w:t>
            </w:r>
          </w:p>
        </w:tc>
        <w:tc>
          <w:tcPr>
            <w:tcW w:w="21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0"/>
        </w:trPr>
        <w:tc>
          <w:tcPr>
            <w:tcW w:w="9100" w:type="dxa"/>
            <w:vAlign w:val="bottom"/>
            <w:tcBorders>
              <w:left w:val="single" w:sz="8" w:color="3F000B"/>
              <w:bottom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Annual retainers for chairs of Finance and Risk Management and Governance Committees</w:t>
            </w:r>
            <w:r>
              <w:rPr>
                <w:rFonts w:ascii="Arial" w:cs="Arial" w:eastAsia="Arial" w:hAnsi="Arial"/>
                <w:sz w:val="23"/>
                <w:szCs w:val="23"/>
                <w:color w:val="auto"/>
                <w:vertAlign w:val="superscript"/>
              </w:rPr>
              <w:t>(2)</w:t>
            </w:r>
          </w:p>
        </w:tc>
        <w:tc>
          <w:tcPr>
            <w:tcW w:w="2120" w:type="dxa"/>
            <w:vAlign w:val="bottom"/>
            <w:tcBorders>
              <w:bottom w:val="single" w:sz="8" w:color="3F000B"/>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Applies only when Chairman of the Board is a non-employee director.</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Paid in addition to $105,000 annual retainer for non-employee directors.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 Lead Independent Director is appointed if the Chairman of the Board is not independent.</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completed its annual review of non-employee director compensation in October 2020 and determined that the following changes were warranted for 2021 to ensure that the program remains aligned to the 50th percentile of compensation paid to directors from our 2020 Compensation Peer Group. The Board elected to increase the annual retainer for the Lead Independent Director from $25,000 to $30,000 and to increase the annual Finance and Risk Management Committee Chair retainer from $15,000 to $20,000. Except for these changes, all other elements of the non-employee director compensation program described above remain unchanged for 2021.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Payment of Annual Retainer, Lead Independent Director Fee and Committee Chair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5924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9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annual retainer (including the annual retainer for the Chairman of the Board, when applicable) and any applicable Lead Independent Director or committee chair retainers for all non-employee directors are paid in quarterly installments on the 15th day of March, June, September and December, or the prior business day if the 15th is not a business day. Non-employee directors may elect to receive all or a portion of the annual retainer (including the annual retainer for the Chairman of the Board, when applicable) in cash or in Common Stock. Non-employee directors may also elect to defer receipt of all or a portion of the retainer (including the annual retainer for the Chairman of the Board, when applicable) any applicable Lead Independent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886" w:right="339" w:bottom="1440" w:gutter="0" w:footer="0" w:header="0"/>
        </w:sectPr>
      </w:pPr>
    </w:p>
    <w:bookmarkStart w:id="38" w:name="page39"/>
    <w:bookmarkEnd w:id="38"/>
    <w:p>
      <w:pPr>
        <w:ind w:right="100"/>
        <w:spacing w:after="0" w:line="273" w:lineRule="auto"/>
        <w:rPr>
          <w:sz w:val="20"/>
          <w:szCs w:val="20"/>
          <w:color w:val="auto"/>
        </w:rPr>
      </w:pPr>
      <w:r>
        <w:rPr>
          <w:rFonts w:ascii="Arial" w:cs="Arial" w:eastAsia="Arial" w:hAnsi="Arial"/>
          <w:sz w:val="18"/>
          <w:szCs w:val="18"/>
          <w:color w:val="auto"/>
        </w:rPr>
        <w:t>Director retainer or committee chair retainers until the date their membership on the Board ends. Lead Independent Director and committee chair retainers that are not deferred are paid only in cash.</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Non-employee directors choosing to defer all or a portion of their retainer, any applicable Lead Independent Director retainer or committee chair retainers may invest the deferred amounts in two ways:</w:t>
      </w:r>
    </w:p>
    <w:p>
      <w:pPr>
        <w:spacing w:after="0" w:line="62" w:lineRule="exact"/>
        <w:rPr>
          <w:sz w:val="20"/>
          <w:szCs w:val="20"/>
          <w:color w:val="auto"/>
        </w:rPr>
      </w:pPr>
    </w:p>
    <w:p>
      <w:pPr>
        <w:ind w:left="660" w:right="8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 cash account that values the performance of the investment based upon the performance of one or more third-party investment funds selected by the director from among the mutual funds or other investment options available to all employees participating in our 401(k) Plan. Amounts invested in the cash account are paid only in cash.</w:t>
      </w:r>
    </w:p>
    <w:p>
      <w:pPr>
        <w:spacing w:after="0" w:line="2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 deferred common stock unit account that we value according to the performance of our Common Stock, including reinvested dividends. Amounts invested in the deferred common stock unit account are paid in shares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565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56560" cy="8255"/>
                    </a:xfrm>
                    <a:prstGeom prst="rect">
                      <a:avLst/>
                    </a:prstGeom>
                    <a:noFill/>
                  </pic:spPr>
                </pic:pic>
              </a:graphicData>
            </a:graphic>
          </wp:anchor>
        </w:drawing>
      </w:r>
    </w:p>
    <w:p>
      <w:pPr>
        <w:spacing w:after="0" w:line="14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RSUs are granted quarterly to non-employee directors on the first day of January, April, July and October. In 2020, the number of RSUs granted in each quarter was determined by dividing $40,000 by the average closing price of a share of our Common Stock on the New York Stock Exchange (“NYSE”) on the last three trading days preceding the grant date. RSUs awarded to non-employee directors vest one year after the date of grant, or earlier upon termination of the director’s membership on the Board by reason of retirement (termination of service from the Board after the director’s 60th birthday), death or disability, for any reason after a Change in Control as defined in our Executive Benefits Protection Plan (Group 3A) (“EBPP 3A”), or under such other circumstances as the Board may determine. Vested RSUs are payable to directors in shares of Common Stock or, at the option of the director, can be deferred as common stock units under the Directors’ Compensation Plan until the director’s membership on the Board ends. Dividend equivalent units are credited at regular rates on the RSUs during the restriction period and, upon vesting of the RSUs, are payable in shares of Common Stock or deferred as common stock units together with any RSUs the director has deferred.</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18, 2021, Messrs. Brown, Davis, Dutkowsky, Malcolm, Palmer and Shedlarz and Mmes. Arway, Haben and Koken had attained retirement age for purposes of the vesting of RSUs.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Other Compensation, Reimbursements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2532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3230" cy="8255"/>
                    </a:xfrm>
                    <a:prstGeom prst="rect">
                      <a:avLst/>
                    </a:prstGeom>
                    <a:noFill/>
                  </pic:spPr>
                </pic:pic>
              </a:graphicData>
            </a:graphic>
          </wp:anchor>
        </w:drawing>
      </w:r>
    </w:p>
    <w:p>
      <w:pPr>
        <w:spacing w:after="0" w:line="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occasionally establishes committees of limited duration for special purposes. When a special committee is established, the Board will determine whether to provide non-employee directors with additional compensation for service on such committee based on the expected duties of the committee, the anticipated number and length of any committee meetings, and other factors the Board, in its discretion, may deem relevant. No such committees were established in 2020.</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reimburse our directors for travel and other out-of-pocket expenses they incur when attending Board and committee meetings and for minor incidental expenses they incur when performing directors’ services. We also provide reimbursement for at least one director continuing education program each year. Directors receive travel accident insurance while traveling on the Company’s business and receive discounts on the purchase of our products to the same extent and on the same terms as our employees. Directors also are eligible to participate in the Company’s Gift Matching Program. Under the Gift Matching Program, the Company will match, upon a director’s request, contributions made by the director to one or more charitable organizations, on a dollar-for-dollar basis up to a maximum aggregate contribution of $5,000 annually.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1775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77540" cy="8255"/>
                    </a:xfrm>
                    <a:prstGeom prst="rect">
                      <a:avLst/>
                    </a:prstGeom>
                    <a:noFill/>
                  </pic:spPr>
                </pic:pic>
              </a:graphicData>
            </a:graphic>
          </wp:anchor>
        </w:drawing>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Board’s Corporate Governance Guidelines, non-employee directors are expected to own shares of Common Stock having a value equal to at least five times the annual retainer. Each non-employee director has until January 1 of the year following his or her fifth anniversary of becoming a director to satisfy the guideline. The Compensation Committee reviews the stock ownership guidelines annually to ensure they are aligned with external market comparisons.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895"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3F000B"/>
        </w:rPr>
        <w:t>2020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190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line="1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and explanatory footnotes provide information with respect to the compensation paid or provided to non-employee directors during 2020:</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880" w:type="dxa"/>
            <w:vAlign w:val="bottom"/>
            <w:tcBorders>
              <w:left w:val="single" w:sz="8" w:color="3F000B"/>
              <w:right w:val="single" w:sz="8" w:color="DADADA"/>
            </w:tcBorders>
            <w:shd w:val="clear" w:color="auto" w:fill="3F000B"/>
          </w:tcPr>
          <w:p>
            <w:pPr>
              <w:spacing w:after="0"/>
              <w:rPr>
                <w:sz w:val="22"/>
                <w:szCs w:val="22"/>
                <w:color w:val="auto"/>
              </w:rPr>
            </w:pPr>
          </w:p>
        </w:tc>
        <w:tc>
          <w:tcPr>
            <w:tcW w:w="18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Fees Earned</w:t>
            </w:r>
          </w:p>
        </w:tc>
        <w:tc>
          <w:tcPr>
            <w:tcW w:w="18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5"/>
              </w:rPr>
              <w:t>Stock</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1760" w:type="dxa"/>
            <w:vAlign w:val="bottom"/>
            <w:tcBorders>
              <w:right w:val="single" w:sz="8" w:color="3F000B"/>
            </w:tcBorders>
            <w:shd w:val="clear" w:color="auto" w:fill="3F000B"/>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880" w:type="dxa"/>
            <w:vAlign w:val="bottom"/>
            <w:tcBorders>
              <w:left w:val="single" w:sz="8" w:color="3F000B"/>
              <w:right w:val="single" w:sz="8" w:color="DADADA"/>
            </w:tcBorders>
            <w:vMerge w:val="restart"/>
            <w:shd w:val="clear" w:color="auto" w:fill="3F000B"/>
          </w:tcPr>
          <w:p>
            <w:pPr>
              <w:ind w:left="1640"/>
              <w:spacing w:after="0"/>
              <w:rPr>
                <w:sz w:val="20"/>
                <w:szCs w:val="20"/>
                <w:color w:val="auto"/>
              </w:rPr>
            </w:pPr>
            <w:r>
              <w:rPr>
                <w:rFonts w:ascii="Arial" w:cs="Arial" w:eastAsia="Arial" w:hAnsi="Arial"/>
                <w:sz w:val="18"/>
                <w:szCs w:val="18"/>
                <w:b w:val="1"/>
                <w:bCs w:val="1"/>
                <w:color w:val="FFFFFF"/>
              </w:rPr>
              <w:t>Name</w:t>
            </w:r>
            <w:r>
              <w:rPr>
                <w:rFonts w:ascii="Arial" w:cs="Arial" w:eastAsia="Arial" w:hAnsi="Arial"/>
                <w:sz w:val="23"/>
                <w:szCs w:val="23"/>
                <w:b w:val="1"/>
                <w:bCs w:val="1"/>
                <w:color w:val="FFFFFF"/>
                <w:vertAlign w:val="superscript"/>
              </w:rPr>
              <w:t>(1)</w:t>
            </w:r>
          </w:p>
        </w:tc>
        <w:tc>
          <w:tcPr>
            <w:tcW w:w="1880" w:type="dxa"/>
            <w:vAlign w:val="bottom"/>
            <w:tcBorders>
              <w:right w:val="single" w:sz="8" w:color="DADADA"/>
            </w:tcBorders>
            <w:shd w:val="clear" w:color="auto" w:fill="3F000B"/>
          </w:tcPr>
          <w:p>
            <w:pPr>
              <w:jc w:val="center"/>
              <w:spacing w:after="0" w:line="220" w:lineRule="exact"/>
              <w:rPr>
                <w:sz w:val="20"/>
                <w:szCs w:val="20"/>
                <w:color w:val="auto"/>
              </w:rPr>
            </w:pPr>
            <w:r>
              <w:rPr>
                <w:rFonts w:ascii="Arial" w:cs="Arial" w:eastAsia="Arial" w:hAnsi="Arial"/>
                <w:sz w:val="18"/>
                <w:szCs w:val="18"/>
                <w:b w:val="1"/>
                <w:bCs w:val="1"/>
                <w:color w:val="FFFFFF"/>
                <w:w w:val="89"/>
              </w:rPr>
              <w:t>or Paid in Cash</w:t>
            </w:r>
            <w:r>
              <w:rPr>
                <w:rFonts w:ascii="Arial" w:cs="Arial" w:eastAsia="Arial" w:hAnsi="Arial"/>
                <w:sz w:val="23"/>
                <w:szCs w:val="23"/>
                <w:b w:val="1"/>
                <w:bCs w:val="1"/>
                <w:color w:val="FFFFFF"/>
                <w:w w:val="89"/>
                <w:vertAlign w:val="superscript"/>
              </w:rPr>
              <w:t>(2)</w:t>
            </w:r>
          </w:p>
        </w:tc>
        <w:tc>
          <w:tcPr>
            <w:tcW w:w="1820" w:type="dxa"/>
            <w:vAlign w:val="bottom"/>
            <w:tcBorders>
              <w:right w:val="single" w:sz="8" w:color="DADADA"/>
            </w:tcBorders>
            <w:shd w:val="clear" w:color="auto" w:fill="3F000B"/>
          </w:tcPr>
          <w:p>
            <w:pPr>
              <w:jc w:val="center"/>
              <w:spacing w:after="0" w:line="220" w:lineRule="exact"/>
              <w:rPr>
                <w:sz w:val="20"/>
                <w:szCs w:val="20"/>
                <w:color w:val="auto"/>
              </w:rPr>
            </w:pPr>
            <w:r>
              <w:rPr>
                <w:rFonts w:ascii="Arial" w:cs="Arial" w:eastAsia="Arial" w:hAnsi="Arial"/>
                <w:sz w:val="18"/>
                <w:szCs w:val="18"/>
                <w:b w:val="1"/>
                <w:bCs w:val="1"/>
                <w:color w:val="FFFFFF"/>
                <w:w w:val="88"/>
              </w:rPr>
              <w:t>Awards</w:t>
            </w:r>
            <w:r>
              <w:rPr>
                <w:rFonts w:ascii="Arial" w:cs="Arial" w:eastAsia="Arial" w:hAnsi="Arial"/>
                <w:sz w:val="23"/>
                <w:szCs w:val="23"/>
                <w:b w:val="1"/>
                <w:bCs w:val="1"/>
                <w:color w:val="FFFFFF"/>
                <w:w w:val="88"/>
                <w:vertAlign w:val="superscript"/>
              </w:rPr>
              <w:t>(3)</w:t>
            </w:r>
          </w:p>
        </w:tc>
        <w:tc>
          <w:tcPr>
            <w:tcW w:w="1900" w:type="dxa"/>
            <w:vAlign w:val="bottom"/>
            <w:tcBorders>
              <w:right w:val="single" w:sz="8" w:color="DADADA"/>
            </w:tcBorders>
            <w:shd w:val="clear" w:color="auto" w:fill="3F000B"/>
          </w:tcPr>
          <w:p>
            <w:pPr>
              <w:jc w:val="center"/>
              <w:spacing w:after="0" w:line="220" w:lineRule="exact"/>
              <w:rPr>
                <w:sz w:val="20"/>
                <w:szCs w:val="20"/>
                <w:color w:val="auto"/>
              </w:rPr>
            </w:pPr>
            <w:r>
              <w:rPr>
                <w:rFonts w:ascii="Arial" w:cs="Arial" w:eastAsia="Arial" w:hAnsi="Arial"/>
                <w:sz w:val="18"/>
                <w:szCs w:val="18"/>
                <w:b w:val="1"/>
                <w:bCs w:val="1"/>
                <w:color w:val="FFFFFF"/>
                <w:w w:val="86"/>
              </w:rPr>
              <w:t>Compensation</w:t>
            </w:r>
            <w:r>
              <w:rPr>
                <w:rFonts w:ascii="Arial" w:cs="Arial" w:eastAsia="Arial" w:hAnsi="Arial"/>
                <w:sz w:val="23"/>
                <w:szCs w:val="23"/>
                <w:b w:val="1"/>
                <w:bCs w:val="1"/>
                <w:color w:val="FFFFFF"/>
                <w:w w:val="86"/>
                <w:vertAlign w:val="superscript"/>
              </w:rPr>
              <w:t>(4)</w:t>
            </w:r>
          </w:p>
        </w:tc>
        <w:tc>
          <w:tcPr>
            <w:tcW w:w="1760" w:type="dxa"/>
            <w:vAlign w:val="bottom"/>
            <w:tcBorders>
              <w:right w:val="single" w:sz="8" w:color="3F000B"/>
            </w:tcBorders>
            <w:shd w:val="clear" w:color="auto" w:fill="3F000B"/>
          </w:tcPr>
          <w:p>
            <w:pPr>
              <w:jc w:val="right"/>
              <w:ind w:right="6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75"/>
        </w:trPr>
        <w:tc>
          <w:tcPr>
            <w:tcW w:w="3880" w:type="dxa"/>
            <w:vAlign w:val="bottom"/>
            <w:tcBorders>
              <w:left w:val="single" w:sz="8" w:color="3F000B"/>
              <w:right w:val="single" w:sz="8" w:color="DADADA"/>
            </w:tcBorders>
            <w:vMerge w:val="continue"/>
            <w:shd w:val="clear" w:color="auto" w:fill="3F000B"/>
          </w:tcPr>
          <w:p>
            <w:pPr>
              <w:spacing w:after="0"/>
              <w:rPr>
                <w:sz w:val="23"/>
                <w:szCs w:val="23"/>
                <w:color w:val="auto"/>
              </w:rPr>
            </w:pPr>
          </w:p>
        </w:tc>
        <w:tc>
          <w:tcPr>
            <w:tcW w:w="18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8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1760" w:type="dxa"/>
            <w:vAlign w:val="bottom"/>
            <w:tcBorders>
              <w:right w:val="single" w:sz="8" w:color="3F000B"/>
            </w:tcBorders>
            <w:shd w:val="clear" w:color="auto" w:fill="3F000B"/>
          </w:tcPr>
          <w:p>
            <w:pPr>
              <w:jc w:val="right"/>
              <w:ind w:right="71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43"/>
        </w:trPr>
        <w:tc>
          <w:tcPr>
            <w:tcW w:w="38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Pamela M. Arway</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117,747</w:t>
            </w:r>
          </w:p>
        </w:tc>
        <w:tc>
          <w:tcPr>
            <w:tcW w:w="18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282,747</w:t>
            </w:r>
          </w:p>
        </w:tc>
        <w:tc>
          <w:tcPr>
            <w:tcW w:w="0" w:type="dxa"/>
            <w:vAlign w:val="bottom"/>
          </w:tcPr>
          <w:p>
            <w:pPr>
              <w:spacing w:after="0"/>
              <w:rPr>
                <w:sz w:val="1"/>
                <w:szCs w:val="1"/>
                <w:color w:val="auto"/>
              </w:rPr>
            </w:pPr>
          </w:p>
        </w:tc>
      </w:tr>
      <w:tr>
        <w:trPr>
          <w:trHeight w:val="27"/>
        </w:trPr>
        <w:tc>
          <w:tcPr>
            <w:tcW w:w="3880" w:type="dxa"/>
            <w:vAlign w:val="bottom"/>
            <w:tcBorders>
              <w:left w:val="single" w:sz="8" w:color="3F000B"/>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c>
          <w:tcPr>
            <w:tcW w:w="1820" w:type="dxa"/>
            <w:vAlign w:val="bottom"/>
            <w:tcBorders>
              <w:right w:val="single" w:sz="8" w:color="3F000B"/>
            </w:tcBorders>
          </w:tcPr>
          <w:p>
            <w:pPr>
              <w:spacing w:after="0"/>
              <w:rPr>
                <w:sz w:val="2"/>
                <w:szCs w:val="2"/>
                <w:color w:val="auto"/>
              </w:rPr>
            </w:pPr>
          </w:p>
        </w:tc>
        <w:tc>
          <w:tcPr>
            <w:tcW w:w="1900" w:type="dxa"/>
            <w:vAlign w:val="bottom"/>
            <w:tcBorders>
              <w:right w:val="single" w:sz="8" w:color="3F000B"/>
            </w:tcBorders>
          </w:tcPr>
          <w:p>
            <w:pPr>
              <w:spacing w:after="0"/>
              <w:rPr>
                <w:sz w:val="2"/>
                <w:szCs w:val="2"/>
                <w:color w:val="auto"/>
              </w:rPr>
            </w:pPr>
          </w:p>
        </w:tc>
        <w:tc>
          <w:tcPr>
            <w:tcW w:w="17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James W. Brown</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105,000</w:t>
            </w:r>
          </w:p>
        </w:tc>
        <w:tc>
          <w:tcPr>
            <w:tcW w:w="18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43"/>
        </w:trPr>
        <w:tc>
          <w:tcPr>
            <w:tcW w:w="38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Victor L. Crawford</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66,923</w:t>
            </w:r>
          </w:p>
        </w:tc>
        <w:tc>
          <w:tcPr>
            <w:tcW w:w="18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101,978</w:t>
            </w:r>
          </w:p>
        </w:tc>
        <w:tc>
          <w:tcPr>
            <w:tcW w:w="19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173,901</w:t>
            </w:r>
          </w:p>
        </w:tc>
        <w:tc>
          <w:tcPr>
            <w:tcW w:w="0" w:type="dxa"/>
            <w:vAlign w:val="bottom"/>
          </w:tcPr>
          <w:p>
            <w:pPr>
              <w:spacing w:after="0"/>
              <w:rPr>
                <w:sz w:val="1"/>
                <w:szCs w:val="1"/>
                <w:color w:val="auto"/>
              </w:rPr>
            </w:pPr>
          </w:p>
        </w:tc>
      </w:tr>
      <w:tr>
        <w:trPr>
          <w:trHeight w:val="27"/>
        </w:trPr>
        <w:tc>
          <w:tcPr>
            <w:tcW w:w="3880" w:type="dxa"/>
            <w:vAlign w:val="bottom"/>
            <w:tcBorders>
              <w:left w:val="single" w:sz="8" w:color="3F000B"/>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c>
          <w:tcPr>
            <w:tcW w:w="1820" w:type="dxa"/>
            <w:vAlign w:val="bottom"/>
            <w:tcBorders>
              <w:right w:val="single" w:sz="8" w:color="3F000B"/>
            </w:tcBorders>
          </w:tcPr>
          <w:p>
            <w:pPr>
              <w:spacing w:after="0"/>
              <w:rPr>
                <w:sz w:val="2"/>
                <w:szCs w:val="2"/>
                <w:color w:val="auto"/>
              </w:rPr>
            </w:pPr>
          </w:p>
        </w:tc>
        <w:tc>
          <w:tcPr>
            <w:tcW w:w="1900" w:type="dxa"/>
            <w:vAlign w:val="bottom"/>
            <w:tcBorders>
              <w:right w:val="single" w:sz="8" w:color="3F000B"/>
            </w:tcBorders>
          </w:tcPr>
          <w:p>
            <w:pPr>
              <w:spacing w:after="0"/>
              <w:rPr>
                <w:sz w:val="2"/>
                <w:szCs w:val="2"/>
                <w:color w:val="auto"/>
              </w:rPr>
            </w:pPr>
          </w:p>
        </w:tc>
        <w:tc>
          <w:tcPr>
            <w:tcW w:w="17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Charles A. Davis</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114,135</w:t>
            </w:r>
          </w:p>
        </w:tc>
        <w:tc>
          <w:tcPr>
            <w:tcW w:w="18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279,135</w:t>
            </w:r>
          </w:p>
        </w:tc>
        <w:tc>
          <w:tcPr>
            <w:tcW w:w="0" w:type="dxa"/>
            <w:vAlign w:val="bottom"/>
          </w:tcPr>
          <w:p>
            <w:pPr>
              <w:spacing w:after="0"/>
              <w:rPr>
                <w:sz w:val="1"/>
                <w:szCs w:val="1"/>
                <w:color w:val="auto"/>
              </w:rPr>
            </w:pPr>
          </w:p>
        </w:tc>
      </w:tr>
      <w:tr>
        <w:trPr>
          <w:trHeight w:val="243"/>
        </w:trPr>
        <w:tc>
          <w:tcPr>
            <w:tcW w:w="38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Robert M. Dutkowsky</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35,666</w:t>
            </w:r>
          </w:p>
        </w:tc>
        <w:tc>
          <w:tcPr>
            <w:tcW w:w="18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54,348</w:t>
            </w:r>
          </w:p>
        </w:tc>
        <w:tc>
          <w:tcPr>
            <w:tcW w:w="19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90,014</w:t>
            </w:r>
          </w:p>
        </w:tc>
        <w:tc>
          <w:tcPr>
            <w:tcW w:w="0" w:type="dxa"/>
            <w:vAlign w:val="bottom"/>
          </w:tcPr>
          <w:p>
            <w:pPr>
              <w:spacing w:after="0"/>
              <w:rPr>
                <w:sz w:val="1"/>
                <w:szCs w:val="1"/>
                <w:color w:val="auto"/>
              </w:rPr>
            </w:pPr>
          </w:p>
        </w:tc>
      </w:tr>
      <w:tr>
        <w:trPr>
          <w:trHeight w:val="27"/>
        </w:trPr>
        <w:tc>
          <w:tcPr>
            <w:tcW w:w="3880" w:type="dxa"/>
            <w:vAlign w:val="bottom"/>
            <w:tcBorders>
              <w:left w:val="single" w:sz="8" w:color="3F000B"/>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c>
          <w:tcPr>
            <w:tcW w:w="1820" w:type="dxa"/>
            <w:vAlign w:val="bottom"/>
            <w:tcBorders>
              <w:right w:val="single" w:sz="8" w:color="3F000B"/>
            </w:tcBorders>
          </w:tcPr>
          <w:p>
            <w:pPr>
              <w:spacing w:after="0"/>
              <w:rPr>
                <w:sz w:val="2"/>
                <w:szCs w:val="2"/>
                <w:color w:val="auto"/>
              </w:rPr>
            </w:pPr>
          </w:p>
        </w:tc>
        <w:tc>
          <w:tcPr>
            <w:tcW w:w="1900" w:type="dxa"/>
            <w:vAlign w:val="bottom"/>
            <w:tcBorders>
              <w:right w:val="single" w:sz="8" w:color="3F000B"/>
            </w:tcBorders>
          </w:tcPr>
          <w:p>
            <w:pPr>
              <w:spacing w:after="0"/>
              <w:rPr>
                <w:sz w:val="2"/>
                <w:szCs w:val="2"/>
                <w:color w:val="auto"/>
              </w:rPr>
            </w:pPr>
          </w:p>
        </w:tc>
        <w:tc>
          <w:tcPr>
            <w:tcW w:w="17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Mary Kay Haben</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120,000</w:t>
            </w:r>
          </w:p>
        </w:tc>
        <w:tc>
          <w:tcPr>
            <w:tcW w:w="18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r>
        <w:trPr>
          <w:trHeight w:val="243"/>
        </w:trPr>
        <w:tc>
          <w:tcPr>
            <w:tcW w:w="38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James C. Katzman</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105,000</w:t>
            </w:r>
          </w:p>
        </w:tc>
        <w:tc>
          <w:tcPr>
            <w:tcW w:w="18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7"/>
        </w:trPr>
        <w:tc>
          <w:tcPr>
            <w:tcW w:w="3880" w:type="dxa"/>
            <w:vAlign w:val="bottom"/>
            <w:tcBorders>
              <w:left w:val="single" w:sz="8" w:color="3F000B"/>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c>
          <w:tcPr>
            <w:tcW w:w="1820" w:type="dxa"/>
            <w:vAlign w:val="bottom"/>
            <w:tcBorders>
              <w:right w:val="single" w:sz="8" w:color="3F000B"/>
            </w:tcBorders>
          </w:tcPr>
          <w:p>
            <w:pPr>
              <w:spacing w:after="0"/>
              <w:rPr>
                <w:sz w:val="2"/>
                <w:szCs w:val="2"/>
                <w:color w:val="auto"/>
              </w:rPr>
            </w:pPr>
          </w:p>
        </w:tc>
        <w:tc>
          <w:tcPr>
            <w:tcW w:w="1900" w:type="dxa"/>
            <w:vAlign w:val="bottom"/>
            <w:tcBorders>
              <w:right w:val="single" w:sz="8" w:color="3F000B"/>
            </w:tcBorders>
          </w:tcPr>
          <w:p>
            <w:pPr>
              <w:spacing w:after="0"/>
              <w:rPr>
                <w:sz w:val="2"/>
                <w:szCs w:val="2"/>
                <w:color w:val="auto"/>
              </w:rPr>
            </w:pPr>
          </w:p>
        </w:tc>
        <w:tc>
          <w:tcPr>
            <w:tcW w:w="17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 Diane Koken</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105,000</w:t>
            </w:r>
          </w:p>
        </w:tc>
        <w:tc>
          <w:tcPr>
            <w:tcW w:w="18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43"/>
        </w:trPr>
        <w:tc>
          <w:tcPr>
            <w:tcW w:w="38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Robert M. Malcolm</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120,000</w:t>
            </w:r>
          </w:p>
        </w:tc>
        <w:tc>
          <w:tcPr>
            <w:tcW w:w="18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5,000</w:t>
            </w:r>
          </w:p>
        </w:tc>
        <w:tc>
          <w:tcPr>
            <w:tcW w:w="17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r>
        <w:trPr>
          <w:trHeight w:val="27"/>
        </w:trPr>
        <w:tc>
          <w:tcPr>
            <w:tcW w:w="3880" w:type="dxa"/>
            <w:vAlign w:val="bottom"/>
            <w:tcBorders>
              <w:left w:val="single" w:sz="8" w:color="3F000B"/>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c>
          <w:tcPr>
            <w:tcW w:w="1820" w:type="dxa"/>
            <w:vAlign w:val="bottom"/>
            <w:tcBorders>
              <w:right w:val="single" w:sz="8" w:color="3F000B"/>
            </w:tcBorders>
          </w:tcPr>
          <w:p>
            <w:pPr>
              <w:spacing w:after="0"/>
              <w:rPr>
                <w:sz w:val="2"/>
                <w:szCs w:val="2"/>
                <w:color w:val="auto"/>
              </w:rPr>
            </w:pPr>
          </w:p>
        </w:tc>
        <w:tc>
          <w:tcPr>
            <w:tcW w:w="1900" w:type="dxa"/>
            <w:vAlign w:val="bottom"/>
            <w:tcBorders>
              <w:right w:val="single" w:sz="8" w:color="3F000B"/>
            </w:tcBorders>
          </w:tcPr>
          <w:p>
            <w:pPr>
              <w:spacing w:after="0"/>
              <w:rPr>
                <w:sz w:val="2"/>
                <w:szCs w:val="2"/>
                <w:color w:val="auto"/>
              </w:rPr>
            </w:pPr>
          </w:p>
        </w:tc>
        <w:tc>
          <w:tcPr>
            <w:tcW w:w="17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Anthony J. Palmer</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128,187</w:t>
            </w:r>
          </w:p>
        </w:tc>
        <w:tc>
          <w:tcPr>
            <w:tcW w:w="18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2,550</w:t>
            </w:r>
          </w:p>
        </w:tc>
        <w:tc>
          <w:tcPr>
            <w:tcW w:w="17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290,737</w:t>
            </w:r>
          </w:p>
        </w:tc>
        <w:tc>
          <w:tcPr>
            <w:tcW w:w="0" w:type="dxa"/>
            <w:vAlign w:val="bottom"/>
          </w:tcPr>
          <w:p>
            <w:pPr>
              <w:spacing w:after="0"/>
              <w:rPr>
                <w:sz w:val="1"/>
                <w:szCs w:val="1"/>
                <w:color w:val="auto"/>
              </w:rPr>
            </w:pPr>
          </w:p>
        </w:tc>
      </w:tr>
      <w:tr>
        <w:trPr>
          <w:trHeight w:val="243"/>
        </w:trPr>
        <w:tc>
          <w:tcPr>
            <w:tcW w:w="38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Juan R. Perez</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105,000</w:t>
            </w:r>
          </w:p>
        </w:tc>
        <w:tc>
          <w:tcPr>
            <w:tcW w:w="18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7"/>
        </w:trPr>
        <w:tc>
          <w:tcPr>
            <w:tcW w:w="3880" w:type="dxa"/>
            <w:vAlign w:val="bottom"/>
            <w:tcBorders>
              <w:left w:val="single" w:sz="8" w:color="3F000B"/>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c>
          <w:tcPr>
            <w:tcW w:w="1820" w:type="dxa"/>
            <w:vAlign w:val="bottom"/>
            <w:tcBorders>
              <w:right w:val="single" w:sz="8" w:color="3F000B"/>
            </w:tcBorders>
          </w:tcPr>
          <w:p>
            <w:pPr>
              <w:spacing w:after="0"/>
              <w:rPr>
                <w:sz w:val="2"/>
                <w:szCs w:val="2"/>
                <w:color w:val="auto"/>
              </w:rPr>
            </w:pPr>
          </w:p>
        </w:tc>
        <w:tc>
          <w:tcPr>
            <w:tcW w:w="1900" w:type="dxa"/>
            <w:vAlign w:val="bottom"/>
            <w:tcBorders>
              <w:right w:val="single" w:sz="8" w:color="3F000B"/>
            </w:tcBorders>
          </w:tcPr>
          <w:p>
            <w:pPr>
              <w:spacing w:after="0"/>
              <w:rPr>
                <w:sz w:val="2"/>
                <w:szCs w:val="2"/>
                <w:color w:val="auto"/>
              </w:rPr>
            </w:pPr>
          </w:p>
        </w:tc>
        <w:tc>
          <w:tcPr>
            <w:tcW w:w="17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Wendy L. Schoppert</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105,000</w:t>
            </w:r>
          </w:p>
        </w:tc>
        <w:tc>
          <w:tcPr>
            <w:tcW w:w="18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2,275</w:t>
            </w:r>
          </w:p>
        </w:tc>
        <w:tc>
          <w:tcPr>
            <w:tcW w:w="17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267,275</w:t>
            </w:r>
          </w:p>
        </w:tc>
        <w:tc>
          <w:tcPr>
            <w:tcW w:w="0" w:type="dxa"/>
            <w:vAlign w:val="bottom"/>
          </w:tcPr>
          <w:p>
            <w:pPr>
              <w:spacing w:after="0"/>
              <w:rPr>
                <w:sz w:val="1"/>
                <w:szCs w:val="1"/>
                <w:color w:val="auto"/>
              </w:rPr>
            </w:pPr>
          </w:p>
        </w:tc>
      </w:tr>
      <w:tr>
        <w:trPr>
          <w:trHeight w:val="243"/>
        </w:trPr>
        <w:tc>
          <w:tcPr>
            <w:tcW w:w="38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David L. Shedlarz</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125,000</w:t>
            </w:r>
          </w:p>
        </w:tc>
        <w:tc>
          <w:tcPr>
            <w:tcW w:w="18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160,000</w:t>
            </w:r>
          </w:p>
        </w:tc>
        <w:tc>
          <w:tcPr>
            <w:tcW w:w="19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r>
        <w:trPr>
          <w:trHeight w:val="27"/>
        </w:trPr>
        <w:tc>
          <w:tcPr>
            <w:tcW w:w="3880" w:type="dxa"/>
            <w:vAlign w:val="bottom"/>
            <w:tcBorders>
              <w:left w:val="single" w:sz="8" w:color="3F000B"/>
              <w:bottom w:val="single" w:sz="8" w:color="3F000B"/>
              <w:right w:val="single" w:sz="8" w:color="3F000B"/>
            </w:tcBorders>
          </w:tcPr>
          <w:p>
            <w:pPr>
              <w:spacing w:after="0"/>
              <w:rPr>
                <w:sz w:val="2"/>
                <w:szCs w:val="2"/>
                <w:color w:val="auto"/>
              </w:rPr>
            </w:pPr>
          </w:p>
        </w:tc>
        <w:tc>
          <w:tcPr>
            <w:tcW w:w="1880" w:type="dxa"/>
            <w:vAlign w:val="bottom"/>
            <w:tcBorders>
              <w:bottom w:val="single" w:sz="8" w:color="3F000B"/>
              <w:right w:val="single" w:sz="8" w:color="3F000B"/>
            </w:tcBorders>
          </w:tcPr>
          <w:p>
            <w:pPr>
              <w:spacing w:after="0"/>
              <w:rPr>
                <w:sz w:val="2"/>
                <w:szCs w:val="2"/>
                <w:color w:val="auto"/>
              </w:rPr>
            </w:pPr>
          </w:p>
        </w:tc>
        <w:tc>
          <w:tcPr>
            <w:tcW w:w="1820" w:type="dxa"/>
            <w:vAlign w:val="bottom"/>
            <w:tcBorders>
              <w:bottom w:val="single" w:sz="8" w:color="3F000B"/>
              <w:right w:val="single" w:sz="8" w:color="3F000B"/>
            </w:tcBorders>
          </w:tcPr>
          <w:p>
            <w:pPr>
              <w:spacing w:after="0"/>
              <w:rPr>
                <w:sz w:val="2"/>
                <w:szCs w:val="2"/>
                <w:color w:val="auto"/>
              </w:rPr>
            </w:pPr>
          </w:p>
        </w:tc>
        <w:tc>
          <w:tcPr>
            <w:tcW w:w="1900" w:type="dxa"/>
            <w:vAlign w:val="bottom"/>
            <w:tcBorders>
              <w:bottom w:val="single" w:sz="8" w:color="3F000B"/>
              <w:right w:val="single" w:sz="8" w:color="3F000B"/>
            </w:tcBorders>
          </w:tcPr>
          <w:p>
            <w:pPr>
              <w:spacing w:after="0"/>
              <w:rPr>
                <w:sz w:val="2"/>
                <w:szCs w:val="2"/>
                <w:color w:val="auto"/>
              </w:rPr>
            </w:pPr>
          </w:p>
        </w:tc>
        <w:tc>
          <w:tcPr>
            <w:tcW w:w="176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w:t>
      </w:r>
    </w:p>
    <w:p>
      <w:pPr>
        <w:spacing w:after="0" w:line="117" w:lineRule="exact"/>
        <w:rPr>
          <w:sz w:val="20"/>
          <w:szCs w:val="20"/>
          <w:color w:val="auto"/>
        </w:rPr>
      </w:pPr>
    </w:p>
    <w:p>
      <w:pPr>
        <w:ind w:left="340" w:right="240" w:hanging="332"/>
        <w:spacing w:after="0" w:line="273" w:lineRule="auto"/>
        <w:tabs>
          <w:tab w:leader="none" w:pos="33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During 2020, Mr. Davis served as Lead Independent Director until May 11, 2020, at which time he was succeeded by Mr. Palmer. Messrs. Crawford and Dutkowsky joined the Board on May 12, 2020 and August 29, 2020, respectively.</w:t>
      </w:r>
    </w:p>
    <w:p>
      <w:pPr>
        <w:spacing w:after="0" w:line="200" w:lineRule="exact"/>
        <w:rPr>
          <w:rFonts w:ascii="Arial" w:cs="Arial" w:eastAsia="Arial" w:hAnsi="Arial"/>
          <w:sz w:val="14"/>
          <w:szCs w:val="14"/>
          <w:color w:val="auto"/>
        </w:rPr>
      </w:pPr>
    </w:p>
    <w:p>
      <w:pPr>
        <w:ind w:left="340" w:right="100" w:hanging="332"/>
        <w:spacing w:after="0" w:line="257" w:lineRule="auto"/>
        <w:tabs>
          <w:tab w:leader="none" w:pos="33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amounts earned or paid in cash or shares of Common Stock at the election of the director or deferred by the director under the Directors’ Compensation Plan. Amounts credited as earnings on amounts deferred under the Directors’ Compensation Plan are based on investment options available to all participants in our 401(k) Plan or our Common Stock and, accordingly, the earnings credited during 2020 were not considered “above market” or “preferential” earnings.</w:t>
      </w:r>
    </w:p>
    <w:p>
      <w:pPr>
        <w:spacing w:after="0" w:line="130"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following table sets forth the portion of fees earned or paid in cash or Common Stock, and the portion deferred with respect to retainers and fees earned during 2020:</w:t>
      </w:r>
    </w:p>
    <w:p>
      <w:pPr>
        <w:spacing w:after="0" w:line="283" w:lineRule="exact"/>
        <w:rPr>
          <w:sz w:val="20"/>
          <w:szCs w:val="20"/>
          <w:color w:val="auto"/>
        </w:rPr>
      </w:pPr>
    </w:p>
    <w:tbl>
      <w:tblPr>
        <w:tblLayout w:type="fixed"/>
        <w:tblInd w:w="350" w:type="dxa"/>
        <w:tblCellMar>
          <w:top w:w="0" w:type="dxa"/>
          <w:left w:w="0" w:type="dxa"/>
          <w:bottom w:w="0" w:type="dxa"/>
          <w:right w:w="0" w:type="dxa"/>
        </w:tblCellMar>
      </w:tblPr>
      <w:tr>
        <w:trPr>
          <w:trHeight w:val="257"/>
        </w:trPr>
        <w:tc>
          <w:tcPr>
            <w:tcW w:w="1980" w:type="dxa"/>
            <w:vAlign w:val="bottom"/>
            <w:tcBorders>
              <w:top w:val="single" w:sz="8" w:color="3F000B"/>
              <w:left w:val="single" w:sz="8" w:color="3F000B"/>
              <w:bottom w:val="single" w:sz="8" w:color="3F000B"/>
              <w:right w:val="single" w:sz="8" w:color="3F000B"/>
            </w:tcBorders>
            <w:shd w:val="clear" w:color="auto" w:fill="3F000B"/>
          </w:tcPr>
          <w:p>
            <w:pPr>
              <w:spacing w:after="0"/>
              <w:rPr>
                <w:sz w:val="22"/>
                <w:szCs w:val="22"/>
                <w:color w:val="auto"/>
              </w:rPr>
            </w:pPr>
          </w:p>
        </w:tc>
        <w:tc>
          <w:tcPr>
            <w:tcW w:w="1220" w:type="dxa"/>
            <w:vAlign w:val="bottom"/>
            <w:tcBorders>
              <w:top w:val="single" w:sz="8" w:color="3F000B"/>
              <w:bottom w:val="single" w:sz="8" w:color="3F000B"/>
              <w:right w:val="single" w:sz="8" w:color="3F000B"/>
            </w:tcBorders>
            <w:shd w:val="clear" w:color="auto" w:fill="3F000B"/>
          </w:tcPr>
          <w:p>
            <w:pPr>
              <w:spacing w:after="0"/>
              <w:rPr>
                <w:sz w:val="22"/>
                <w:szCs w:val="22"/>
                <w:color w:val="auto"/>
              </w:rPr>
            </w:pPr>
          </w:p>
        </w:tc>
        <w:tc>
          <w:tcPr>
            <w:tcW w:w="1480" w:type="dxa"/>
            <w:vAlign w:val="bottom"/>
            <w:tcBorders>
              <w:top w:val="single" w:sz="8" w:color="3F000B"/>
              <w:bottom w:val="single" w:sz="8" w:color="3F000B"/>
            </w:tcBorders>
            <w:gridSpan w:val="2"/>
            <w:shd w:val="clear" w:color="auto" w:fill="3F000B"/>
          </w:tcPr>
          <w:p>
            <w:pPr>
              <w:ind w:left="80"/>
              <w:spacing w:after="0"/>
              <w:rPr>
                <w:sz w:val="20"/>
                <w:szCs w:val="20"/>
                <w:color w:val="auto"/>
              </w:rPr>
            </w:pPr>
            <w:r>
              <w:rPr>
                <w:rFonts w:ascii="Arial" w:cs="Arial" w:eastAsia="Arial" w:hAnsi="Arial"/>
                <w:sz w:val="14"/>
                <w:szCs w:val="14"/>
                <w:b w:val="1"/>
                <w:bCs w:val="1"/>
                <w:color w:val="FFFFFF"/>
              </w:rPr>
              <w:t>Immediate Payment</w:t>
            </w:r>
          </w:p>
        </w:tc>
        <w:tc>
          <w:tcPr>
            <w:tcW w:w="1200" w:type="dxa"/>
            <w:vAlign w:val="bottom"/>
            <w:tcBorders>
              <w:top w:val="single" w:sz="8" w:color="3F000B"/>
              <w:bottom w:val="single" w:sz="8" w:color="3F000B"/>
              <w:right w:val="single" w:sz="8" w:color="DADADA"/>
            </w:tcBorders>
            <w:shd w:val="clear" w:color="auto" w:fill="3F000B"/>
          </w:tcPr>
          <w:p>
            <w:pPr>
              <w:spacing w:after="0"/>
              <w:rPr>
                <w:sz w:val="22"/>
                <w:szCs w:val="22"/>
                <w:color w:val="auto"/>
              </w:rPr>
            </w:pPr>
          </w:p>
        </w:tc>
        <w:tc>
          <w:tcPr>
            <w:tcW w:w="3280" w:type="dxa"/>
            <w:vAlign w:val="bottom"/>
            <w:tcBorders>
              <w:top w:val="single" w:sz="8" w:color="3F000B"/>
              <w:bottom w:val="single" w:sz="8" w:color="3F000B"/>
            </w:tcBorders>
            <w:gridSpan w:val="3"/>
            <w:shd w:val="clear" w:color="auto" w:fill="3F000B"/>
          </w:tcPr>
          <w:p>
            <w:pPr>
              <w:jc w:val="center"/>
              <w:ind w:left="1128"/>
              <w:spacing w:after="0"/>
              <w:rPr>
                <w:sz w:val="20"/>
                <w:szCs w:val="20"/>
                <w:color w:val="auto"/>
              </w:rPr>
            </w:pPr>
            <w:r>
              <w:rPr>
                <w:rFonts w:ascii="Arial" w:cs="Arial" w:eastAsia="Arial" w:hAnsi="Arial"/>
                <w:sz w:val="14"/>
                <w:szCs w:val="14"/>
                <w:b w:val="1"/>
                <w:bCs w:val="1"/>
                <w:color w:val="FFFFFF"/>
                <w:w w:val="93"/>
              </w:rPr>
              <w:t>Deferred and Investment Election</w:t>
            </w:r>
          </w:p>
        </w:tc>
        <w:tc>
          <w:tcPr>
            <w:tcW w:w="1260" w:type="dxa"/>
            <w:vAlign w:val="bottom"/>
            <w:tcBorders>
              <w:top w:val="single" w:sz="8" w:color="3F000B"/>
              <w:bottom w:val="single" w:sz="8" w:color="3F000B"/>
              <w:right w:val="single" w:sz="8" w:color="3F000B"/>
            </w:tcBorders>
            <w:shd w:val="clear" w:color="auto" w:fill="3F000B"/>
          </w:tcPr>
          <w:p>
            <w:pPr>
              <w:spacing w:after="0"/>
              <w:rPr>
                <w:sz w:val="22"/>
                <w:szCs w:val="22"/>
                <w:color w:val="auto"/>
              </w:rPr>
            </w:pPr>
          </w:p>
        </w:tc>
      </w:tr>
      <w:tr>
        <w:trPr>
          <w:trHeight w:val="268"/>
        </w:trPr>
        <w:tc>
          <w:tcPr>
            <w:tcW w:w="1980" w:type="dxa"/>
            <w:vAlign w:val="bottom"/>
            <w:tcBorders>
              <w:left w:val="single" w:sz="8" w:color="3F000B"/>
              <w:right w:val="single" w:sz="8" w:color="3F000B"/>
            </w:tcBorders>
            <w:shd w:val="clear" w:color="auto" w:fill="3F000B"/>
          </w:tcPr>
          <w:p>
            <w:pPr>
              <w:spacing w:after="0"/>
              <w:rPr>
                <w:sz w:val="23"/>
                <w:szCs w:val="23"/>
                <w:color w:val="auto"/>
              </w:rPr>
            </w:pPr>
          </w:p>
        </w:tc>
        <w:tc>
          <w:tcPr>
            <w:tcW w:w="1220" w:type="dxa"/>
            <w:vAlign w:val="bottom"/>
            <w:tcBorders>
              <w:right w:val="single" w:sz="8" w:color="DADADA"/>
            </w:tcBorders>
            <w:shd w:val="clear" w:color="auto" w:fill="3F000B"/>
          </w:tcPr>
          <w:p>
            <w:pPr>
              <w:spacing w:after="0"/>
              <w:rPr>
                <w:sz w:val="23"/>
                <w:szCs w:val="23"/>
                <w:color w:val="auto"/>
              </w:rPr>
            </w:pPr>
          </w:p>
        </w:tc>
        <w:tc>
          <w:tcPr>
            <w:tcW w:w="1340" w:type="dxa"/>
            <w:vAlign w:val="bottom"/>
            <w:tcBorders>
              <w:right w:val="single" w:sz="8" w:color="DADADA"/>
            </w:tcBorders>
            <w:shd w:val="clear" w:color="auto" w:fill="3F000B"/>
          </w:tcPr>
          <w:p>
            <w:pPr>
              <w:spacing w:after="0"/>
              <w:rPr>
                <w:sz w:val="23"/>
                <w:szCs w:val="23"/>
                <w:color w:val="auto"/>
              </w:rPr>
            </w:pPr>
          </w:p>
        </w:tc>
        <w:tc>
          <w:tcPr>
            <w:tcW w:w="140" w:type="dxa"/>
            <w:vAlign w:val="bottom"/>
            <w:shd w:val="clear" w:color="auto" w:fill="3F000B"/>
          </w:tcPr>
          <w:p>
            <w:pPr>
              <w:spacing w:after="0"/>
              <w:rPr>
                <w:sz w:val="23"/>
                <w:szCs w:val="23"/>
                <w:color w:val="auto"/>
              </w:rPr>
            </w:pPr>
          </w:p>
        </w:tc>
        <w:tc>
          <w:tcPr>
            <w:tcW w:w="1200" w:type="dxa"/>
            <w:vAlign w:val="bottom"/>
            <w:tcBorders>
              <w:right w:val="single" w:sz="8" w:color="DADADA"/>
            </w:tcBorders>
            <w:shd w:val="clear" w:color="auto" w:fill="3F000B"/>
          </w:tcPr>
          <w:p>
            <w:pPr>
              <w:jc w:val="center"/>
              <w:ind w:right="108"/>
              <w:spacing w:after="0"/>
              <w:rPr>
                <w:sz w:val="20"/>
                <w:szCs w:val="20"/>
                <w:color w:val="auto"/>
              </w:rPr>
            </w:pPr>
            <w:r>
              <w:rPr>
                <w:rFonts w:ascii="Arial" w:cs="Arial" w:eastAsia="Arial" w:hAnsi="Arial"/>
                <w:sz w:val="14"/>
                <w:szCs w:val="14"/>
                <w:b w:val="1"/>
                <w:bCs w:val="1"/>
                <w:color w:val="FFFFFF"/>
                <w:w w:val="94"/>
              </w:rPr>
              <w:t>Number</w:t>
            </w:r>
          </w:p>
        </w:tc>
        <w:tc>
          <w:tcPr>
            <w:tcW w:w="15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0"/>
              </w:rPr>
              <w:t>Value</w:t>
            </w:r>
          </w:p>
        </w:tc>
        <w:tc>
          <w:tcPr>
            <w:tcW w:w="15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5"/>
              </w:rPr>
              <w:t>Value Deferred</w:t>
            </w:r>
          </w:p>
        </w:tc>
        <w:tc>
          <w:tcPr>
            <w:tcW w:w="260" w:type="dxa"/>
            <w:vAlign w:val="bottom"/>
            <w:shd w:val="clear" w:color="auto" w:fill="3F000B"/>
          </w:tcPr>
          <w:p>
            <w:pPr>
              <w:spacing w:after="0"/>
              <w:rPr>
                <w:sz w:val="23"/>
                <w:szCs w:val="23"/>
                <w:color w:val="auto"/>
              </w:rPr>
            </w:pPr>
          </w:p>
        </w:tc>
        <w:tc>
          <w:tcPr>
            <w:tcW w:w="1260" w:type="dxa"/>
            <w:vAlign w:val="bottom"/>
            <w:tcBorders>
              <w:right w:val="single" w:sz="8" w:color="3F000B"/>
            </w:tcBorders>
            <w:shd w:val="clear" w:color="auto" w:fill="3F000B"/>
          </w:tcPr>
          <w:p>
            <w:pPr>
              <w:jc w:val="center"/>
              <w:ind w:right="208"/>
              <w:spacing w:after="0"/>
              <w:rPr>
                <w:sz w:val="20"/>
                <w:szCs w:val="20"/>
                <w:color w:val="auto"/>
              </w:rPr>
            </w:pPr>
            <w:r>
              <w:rPr>
                <w:rFonts w:ascii="Arial" w:cs="Arial" w:eastAsia="Arial" w:hAnsi="Arial"/>
                <w:sz w:val="14"/>
                <w:szCs w:val="14"/>
                <w:b w:val="1"/>
                <w:bCs w:val="1"/>
                <w:color w:val="FFFFFF"/>
                <w:w w:val="94"/>
              </w:rPr>
              <w:t>Number of</w:t>
            </w:r>
          </w:p>
        </w:tc>
      </w:tr>
      <w:tr>
        <w:trPr>
          <w:trHeight w:val="162"/>
        </w:trPr>
        <w:tc>
          <w:tcPr>
            <w:tcW w:w="1980" w:type="dxa"/>
            <w:vAlign w:val="bottom"/>
            <w:tcBorders>
              <w:left w:val="single" w:sz="8" w:color="3F000B"/>
              <w:right w:val="single" w:sz="8" w:color="3F000B"/>
            </w:tcBorders>
            <w:shd w:val="clear" w:color="auto" w:fill="3F000B"/>
          </w:tcPr>
          <w:p>
            <w:pPr>
              <w:spacing w:after="0"/>
              <w:rPr>
                <w:sz w:val="14"/>
                <w:szCs w:val="14"/>
                <w:color w:val="auto"/>
              </w:rPr>
            </w:pPr>
          </w:p>
        </w:tc>
        <w:tc>
          <w:tcPr>
            <w:tcW w:w="1220" w:type="dxa"/>
            <w:vAlign w:val="bottom"/>
            <w:tcBorders>
              <w:right w:val="single" w:sz="8" w:color="DADADA"/>
            </w:tcBorders>
            <w:shd w:val="clear" w:color="auto" w:fill="3F000B"/>
          </w:tcPr>
          <w:p>
            <w:pPr>
              <w:spacing w:after="0"/>
              <w:rPr>
                <w:sz w:val="14"/>
                <w:szCs w:val="14"/>
                <w:color w:val="auto"/>
              </w:rPr>
            </w:pPr>
          </w:p>
        </w:tc>
        <w:tc>
          <w:tcPr>
            <w:tcW w:w="13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4"/>
              </w:rPr>
              <w:t>Value Paid in</w:t>
            </w:r>
          </w:p>
        </w:tc>
        <w:tc>
          <w:tcPr>
            <w:tcW w:w="140" w:type="dxa"/>
            <w:vAlign w:val="bottom"/>
            <w:shd w:val="clear" w:color="auto" w:fill="3F000B"/>
          </w:tcPr>
          <w:p>
            <w:pPr>
              <w:spacing w:after="0"/>
              <w:rPr>
                <w:sz w:val="14"/>
                <w:szCs w:val="14"/>
                <w:color w:val="auto"/>
              </w:rPr>
            </w:pPr>
          </w:p>
        </w:tc>
        <w:tc>
          <w:tcPr>
            <w:tcW w:w="1200" w:type="dxa"/>
            <w:vAlign w:val="bottom"/>
            <w:tcBorders>
              <w:right w:val="single" w:sz="8" w:color="DADADA"/>
            </w:tcBorders>
            <w:shd w:val="clear" w:color="auto" w:fill="3F000B"/>
          </w:tcPr>
          <w:p>
            <w:pPr>
              <w:jc w:val="center"/>
              <w:ind w:right="108"/>
              <w:spacing w:after="0"/>
              <w:rPr>
                <w:sz w:val="20"/>
                <w:szCs w:val="20"/>
                <w:color w:val="auto"/>
              </w:rPr>
            </w:pPr>
            <w:r>
              <w:rPr>
                <w:rFonts w:ascii="Arial" w:cs="Arial" w:eastAsia="Arial" w:hAnsi="Arial"/>
                <w:sz w:val="14"/>
                <w:szCs w:val="14"/>
                <w:b w:val="1"/>
                <w:bCs w:val="1"/>
                <w:color w:val="FFFFFF"/>
                <w:w w:val="90"/>
              </w:rPr>
              <w:t>of Shares</w:t>
            </w:r>
          </w:p>
        </w:tc>
        <w:tc>
          <w:tcPr>
            <w:tcW w:w="15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3"/>
              </w:rPr>
              <w:t>Deferred</w:t>
            </w:r>
          </w:p>
        </w:tc>
        <w:tc>
          <w:tcPr>
            <w:tcW w:w="15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1"/>
              </w:rPr>
              <w:t>to a Common</w:t>
            </w:r>
          </w:p>
        </w:tc>
        <w:tc>
          <w:tcPr>
            <w:tcW w:w="260" w:type="dxa"/>
            <w:vAlign w:val="bottom"/>
            <w:shd w:val="clear" w:color="auto" w:fill="3F000B"/>
          </w:tcPr>
          <w:p>
            <w:pPr>
              <w:spacing w:after="0"/>
              <w:rPr>
                <w:sz w:val="14"/>
                <w:szCs w:val="14"/>
                <w:color w:val="auto"/>
              </w:rPr>
            </w:pPr>
          </w:p>
        </w:tc>
        <w:tc>
          <w:tcPr>
            <w:tcW w:w="1260" w:type="dxa"/>
            <w:vAlign w:val="bottom"/>
            <w:tcBorders>
              <w:right w:val="single" w:sz="8" w:color="3F000B"/>
            </w:tcBorders>
            <w:shd w:val="clear" w:color="auto" w:fill="3F000B"/>
          </w:tcPr>
          <w:p>
            <w:pPr>
              <w:jc w:val="center"/>
              <w:ind w:right="208"/>
              <w:spacing w:after="0"/>
              <w:rPr>
                <w:sz w:val="20"/>
                <w:szCs w:val="20"/>
                <w:color w:val="auto"/>
              </w:rPr>
            </w:pPr>
            <w:r>
              <w:rPr>
                <w:rFonts w:ascii="Arial" w:cs="Arial" w:eastAsia="Arial" w:hAnsi="Arial"/>
                <w:sz w:val="14"/>
                <w:szCs w:val="14"/>
                <w:b w:val="1"/>
                <w:bCs w:val="1"/>
                <w:color w:val="FFFFFF"/>
                <w:w w:val="93"/>
              </w:rPr>
              <w:t>Deferred</w:t>
            </w:r>
          </w:p>
        </w:tc>
      </w:tr>
      <w:tr>
        <w:trPr>
          <w:trHeight w:val="162"/>
        </w:trPr>
        <w:tc>
          <w:tcPr>
            <w:tcW w:w="1980" w:type="dxa"/>
            <w:vAlign w:val="bottom"/>
            <w:tcBorders>
              <w:left w:val="single" w:sz="8" w:color="3F000B"/>
              <w:right w:val="single" w:sz="8" w:color="3F000B"/>
            </w:tcBorders>
            <w:shd w:val="clear" w:color="auto" w:fill="3F000B"/>
          </w:tcPr>
          <w:p>
            <w:pPr>
              <w:spacing w:after="0"/>
              <w:rPr>
                <w:sz w:val="14"/>
                <w:szCs w:val="14"/>
                <w:color w:val="auto"/>
              </w:rPr>
            </w:pPr>
          </w:p>
        </w:tc>
        <w:tc>
          <w:tcPr>
            <w:tcW w:w="12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3"/>
              </w:rPr>
              <w:t>Cash</w:t>
            </w:r>
          </w:p>
        </w:tc>
        <w:tc>
          <w:tcPr>
            <w:tcW w:w="13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0"/>
              </w:rPr>
              <w:t>Shares of</w:t>
            </w:r>
          </w:p>
        </w:tc>
        <w:tc>
          <w:tcPr>
            <w:tcW w:w="140" w:type="dxa"/>
            <w:vAlign w:val="bottom"/>
            <w:shd w:val="clear" w:color="auto" w:fill="3F000B"/>
          </w:tcPr>
          <w:p>
            <w:pPr>
              <w:spacing w:after="0"/>
              <w:rPr>
                <w:sz w:val="14"/>
                <w:szCs w:val="14"/>
                <w:color w:val="auto"/>
              </w:rPr>
            </w:pPr>
          </w:p>
        </w:tc>
        <w:tc>
          <w:tcPr>
            <w:tcW w:w="1200" w:type="dxa"/>
            <w:vAlign w:val="bottom"/>
            <w:tcBorders>
              <w:right w:val="single" w:sz="8" w:color="DADADA"/>
            </w:tcBorders>
            <w:shd w:val="clear" w:color="auto" w:fill="3F000B"/>
          </w:tcPr>
          <w:p>
            <w:pPr>
              <w:jc w:val="center"/>
              <w:ind w:right="108"/>
              <w:spacing w:after="0"/>
              <w:rPr>
                <w:sz w:val="20"/>
                <w:szCs w:val="20"/>
                <w:color w:val="auto"/>
              </w:rPr>
            </w:pPr>
            <w:r>
              <w:rPr>
                <w:rFonts w:ascii="Arial" w:cs="Arial" w:eastAsia="Arial" w:hAnsi="Arial"/>
                <w:sz w:val="14"/>
                <w:szCs w:val="14"/>
                <w:b w:val="1"/>
                <w:bCs w:val="1"/>
                <w:color w:val="FFFFFF"/>
                <w:w w:val="95"/>
              </w:rPr>
              <w:t>of Common</w:t>
            </w:r>
          </w:p>
        </w:tc>
        <w:tc>
          <w:tcPr>
            <w:tcW w:w="15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1"/>
              </w:rPr>
              <w:t>to a Cash</w:t>
            </w:r>
          </w:p>
        </w:tc>
        <w:tc>
          <w:tcPr>
            <w:tcW w:w="15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5"/>
              </w:rPr>
              <w:t>Stock Unit</w:t>
            </w:r>
          </w:p>
        </w:tc>
        <w:tc>
          <w:tcPr>
            <w:tcW w:w="260" w:type="dxa"/>
            <w:vAlign w:val="bottom"/>
            <w:shd w:val="clear" w:color="auto" w:fill="3F000B"/>
          </w:tcPr>
          <w:p>
            <w:pPr>
              <w:spacing w:after="0"/>
              <w:rPr>
                <w:sz w:val="14"/>
                <w:szCs w:val="14"/>
                <w:color w:val="auto"/>
              </w:rPr>
            </w:pPr>
          </w:p>
        </w:tc>
        <w:tc>
          <w:tcPr>
            <w:tcW w:w="1260" w:type="dxa"/>
            <w:vAlign w:val="bottom"/>
            <w:tcBorders>
              <w:right w:val="single" w:sz="8" w:color="3F000B"/>
            </w:tcBorders>
            <w:shd w:val="clear" w:color="auto" w:fill="3F000B"/>
          </w:tcPr>
          <w:p>
            <w:pPr>
              <w:jc w:val="center"/>
              <w:ind w:right="208"/>
              <w:spacing w:after="0"/>
              <w:rPr>
                <w:sz w:val="20"/>
                <w:szCs w:val="20"/>
                <w:color w:val="auto"/>
              </w:rPr>
            </w:pPr>
            <w:r>
              <w:rPr>
                <w:rFonts w:ascii="Arial" w:cs="Arial" w:eastAsia="Arial" w:hAnsi="Arial"/>
                <w:sz w:val="14"/>
                <w:szCs w:val="14"/>
                <w:b w:val="1"/>
                <w:bCs w:val="1"/>
                <w:color w:val="FFFFFF"/>
                <w:w w:val="91"/>
              </w:rPr>
              <w:t>Common Stock</w:t>
            </w:r>
          </w:p>
        </w:tc>
      </w:tr>
      <w:tr>
        <w:trPr>
          <w:trHeight w:val="162"/>
        </w:trPr>
        <w:tc>
          <w:tcPr>
            <w:tcW w:w="1980" w:type="dxa"/>
            <w:vAlign w:val="bottom"/>
            <w:tcBorders>
              <w:left w:val="single" w:sz="8" w:color="3F000B"/>
              <w:right w:val="single" w:sz="8" w:color="3F000B"/>
            </w:tcBorders>
            <w:shd w:val="clear" w:color="auto" w:fill="3F000B"/>
          </w:tcPr>
          <w:p>
            <w:pPr>
              <w:spacing w:after="0"/>
              <w:rPr>
                <w:sz w:val="14"/>
                <w:szCs w:val="14"/>
                <w:color w:val="auto"/>
              </w:rPr>
            </w:pPr>
          </w:p>
        </w:tc>
        <w:tc>
          <w:tcPr>
            <w:tcW w:w="12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4"/>
              </w:rPr>
              <w:t>Paid</w:t>
            </w:r>
          </w:p>
        </w:tc>
        <w:tc>
          <w:tcPr>
            <w:tcW w:w="13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1"/>
              </w:rPr>
              <w:t>Common Stock</w:t>
            </w:r>
          </w:p>
        </w:tc>
        <w:tc>
          <w:tcPr>
            <w:tcW w:w="140" w:type="dxa"/>
            <w:vAlign w:val="bottom"/>
            <w:shd w:val="clear" w:color="auto" w:fill="3F000B"/>
          </w:tcPr>
          <w:p>
            <w:pPr>
              <w:spacing w:after="0"/>
              <w:rPr>
                <w:sz w:val="14"/>
                <w:szCs w:val="14"/>
                <w:color w:val="auto"/>
              </w:rPr>
            </w:pPr>
          </w:p>
        </w:tc>
        <w:tc>
          <w:tcPr>
            <w:tcW w:w="1200" w:type="dxa"/>
            <w:vAlign w:val="bottom"/>
            <w:tcBorders>
              <w:right w:val="single" w:sz="8" w:color="DADADA"/>
            </w:tcBorders>
            <w:shd w:val="clear" w:color="auto" w:fill="3F000B"/>
          </w:tcPr>
          <w:p>
            <w:pPr>
              <w:jc w:val="center"/>
              <w:ind w:right="108"/>
              <w:spacing w:after="0"/>
              <w:rPr>
                <w:sz w:val="20"/>
                <w:szCs w:val="20"/>
                <w:color w:val="auto"/>
              </w:rPr>
            </w:pPr>
            <w:r>
              <w:rPr>
                <w:rFonts w:ascii="Arial" w:cs="Arial" w:eastAsia="Arial" w:hAnsi="Arial"/>
                <w:sz w:val="14"/>
                <w:szCs w:val="14"/>
                <w:b w:val="1"/>
                <w:bCs w:val="1"/>
                <w:color w:val="FFFFFF"/>
                <w:w w:val="89"/>
              </w:rPr>
              <w:t>Stock</w:t>
            </w:r>
          </w:p>
        </w:tc>
        <w:tc>
          <w:tcPr>
            <w:tcW w:w="15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89"/>
              </w:rPr>
              <w:t>Account</w:t>
            </w:r>
          </w:p>
        </w:tc>
        <w:tc>
          <w:tcPr>
            <w:tcW w:w="15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89"/>
              </w:rPr>
              <w:t>Account</w:t>
            </w:r>
          </w:p>
        </w:tc>
        <w:tc>
          <w:tcPr>
            <w:tcW w:w="260" w:type="dxa"/>
            <w:vAlign w:val="bottom"/>
            <w:shd w:val="clear" w:color="auto" w:fill="3F000B"/>
          </w:tcPr>
          <w:p>
            <w:pPr>
              <w:spacing w:after="0"/>
              <w:rPr>
                <w:sz w:val="14"/>
                <w:szCs w:val="14"/>
                <w:color w:val="auto"/>
              </w:rPr>
            </w:pPr>
          </w:p>
        </w:tc>
        <w:tc>
          <w:tcPr>
            <w:tcW w:w="1260" w:type="dxa"/>
            <w:vAlign w:val="bottom"/>
            <w:tcBorders>
              <w:right w:val="single" w:sz="8" w:color="3F000B"/>
            </w:tcBorders>
            <w:shd w:val="clear" w:color="auto" w:fill="3F000B"/>
          </w:tcPr>
          <w:p>
            <w:pPr>
              <w:jc w:val="center"/>
              <w:ind w:right="228"/>
              <w:spacing w:after="0"/>
              <w:rPr>
                <w:sz w:val="20"/>
                <w:szCs w:val="20"/>
                <w:color w:val="auto"/>
              </w:rPr>
            </w:pPr>
            <w:r>
              <w:rPr>
                <w:rFonts w:ascii="Arial" w:cs="Arial" w:eastAsia="Arial" w:hAnsi="Arial"/>
                <w:sz w:val="14"/>
                <w:szCs w:val="14"/>
                <w:b w:val="1"/>
                <w:bCs w:val="1"/>
                <w:color w:val="FFFFFF"/>
                <w:w w:val="91"/>
              </w:rPr>
              <w:t>Units</w:t>
            </w:r>
          </w:p>
        </w:tc>
      </w:tr>
      <w:tr>
        <w:trPr>
          <w:trHeight w:val="217"/>
        </w:trPr>
        <w:tc>
          <w:tcPr>
            <w:tcW w:w="1980" w:type="dxa"/>
            <w:vAlign w:val="bottom"/>
            <w:tcBorders>
              <w:left w:val="single" w:sz="8" w:color="3F000B"/>
              <w:bottom w:val="single" w:sz="8" w:color="3F000B"/>
              <w:right w:val="single" w:sz="8" w:color="3F000B"/>
            </w:tcBorders>
            <w:shd w:val="clear" w:color="auto" w:fill="3F000B"/>
          </w:tcPr>
          <w:p>
            <w:pPr>
              <w:ind w:left="800"/>
              <w:spacing w:after="0"/>
              <w:rPr>
                <w:sz w:val="20"/>
                <w:szCs w:val="20"/>
                <w:color w:val="auto"/>
              </w:rPr>
            </w:pPr>
            <w:r>
              <w:rPr>
                <w:rFonts w:ascii="Arial" w:cs="Arial" w:eastAsia="Arial" w:hAnsi="Arial"/>
                <w:sz w:val="14"/>
                <w:szCs w:val="14"/>
                <w:b w:val="1"/>
                <w:bCs w:val="1"/>
                <w:color w:val="FFFFFF"/>
              </w:rPr>
              <w:t>Name</w:t>
            </w:r>
          </w:p>
        </w:tc>
        <w:tc>
          <w:tcPr>
            <w:tcW w:w="122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3F000B"/>
            </w:tcBorders>
            <w:shd w:val="clear" w:color="auto" w:fill="3F000B"/>
          </w:tcPr>
          <w:p>
            <w:pPr>
              <w:spacing w:after="0"/>
              <w:rPr>
                <w:sz w:val="18"/>
                <w:szCs w:val="18"/>
                <w:color w:val="auto"/>
              </w:rPr>
            </w:pPr>
          </w:p>
        </w:tc>
        <w:tc>
          <w:tcPr>
            <w:tcW w:w="1200" w:type="dxa"/>
            <w:vAlign w:val="bottom"/>
            <w:tcBorders>
              <w:bottom w:val="single" w:sz="8" w:color="3F000B"/>
              <w:right w:val="single" w:sz="8" w:color="DADADA"/>
            </w:tcBorders>
            <w:shd w:val="clear" w:color="auto" w:fill="3F000B"/>
          </w:tcPr>
          <w:p>
            <w:pPr>
              <w:jc w:val="center"/>
              <w:ind w:right="128"/>
              <w:spacing w:after="0"/>
              <w:rPr>
                <w:sz w:val="20"/>
                <w:szCs w:val="20"/>
                <w:color w:val="auto"/>
              </w:rPr>
            </w:pPr>
            <w:r>
              <w:rPr>
                <w:rFonts w:ascii="Arial" w:cs="Arial" w:eastAsia="Arial" w:hAnsi="Arial"/>
                <w:sz w:val="14"/>
                <w:szCs w:val="14"/>
                <w:b w:val="1"/>
                <w:bCs w:val="1"/>
                <w:color w:val="FFFFFF"/>
                <w:w w:val="93"/>
              </w:rPr>
              <w:t>(#)</w:t>
            </w:r>
          </w:p>
        </w:tc>
        <w:tc>
          <w:tcPr>
            <w:tcW w:w="15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3"/>
              </w:rPr>
              <w:t>($)</w:t>
            </w:r>
          </w:p>
        </w:tc>
        <w:tc>
          <w:tcPr>
            <w:tcW w:w="260" w:type="dxa"/>
            <w:vAlign w:val="bottom"/>
            <w:tcBorders>
              <w:bottom w:val="single" w:sz="8" w:color="3F000B"/>
            </w:tcBorders>
            <w:shd w:val="clear" w:color="auto" w:fill="3F000B"/>
          </w:tcPr>
          <w:p>
            <w:pPr>
              <w:spacing w:after="0"/>
              <w:rPr>
                <w:sz w:val="18"/>
                <w:szCs w:val="18"/>
                <w:color w:val="auto"/>
              </w:rPr>
            </w:pPr>
          </w:p>
        </w:tc>
        <w:tc>
          <w:tcPr>
            <w:tcW w:w="1260" w:type="dxa"/>
            <w:vAlign w:val="bottom"/>
            <w:tcBorders>
              <w:bottom w:val="single" w:sz="8" w:color="3F000B"/>
              <w:right w:val="single" w:sz="8" w:color="3F000B"/>
            </w:tcBorders>
            <w:shd w:val="clear" w:color="auto" w:fill="3F000B"/>
          </w:tcPr>
          <w:p>
            <w:pPr>
              <w:jc w:val="center"/>
              <w:ind w:right="228"/>
              <w:spacing w:after="0"/>
              <w:rPr>
                <w:sz w:val="20"/>
                <w:szCs w:val="20"/>
                <w:color w:val="auto"/>
              </w:rPr>
            </w:pPr>
            <w:r>
              <w:rPr>
                <w:rFonts w:ascii="Arial" w:cs="Arial" w:eastAsia="Arial" w:hAnsi="Arial"/>
                <w:sz w:val="14"/>
                <w:szCs w:val="14"/>
                <w:b w:val="1"/>
                <w:bCs w:val="1"/>
                <w:color w:val="FFFFFF"/>
                <w:w w:val="93"/>
              </w:rPr>
              <w:t>(#)</w:t>
            </w:r>
          </w:p>
        </w:tc>
      </w:tr>
      <w:tr>
        <w:trPr>
          <w:trHeight w:val="184"/>
        </w:trPr>
        <w:tc>
          <w:tcPr>
            <w:tcW w:w="1980" w:type="dxa"/>
            <w:vAlign w:val="bottom"/>
            <w:tcBorders>
              <w:top w:val="single" w:sz="8" w:color="3F000B"/>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Pamela M. Arway</w:t>
            </w:r>
          </w:p>
        </w:tc>
        <w:tc>
          <w:tcPr>
            <w:tcW w:w="122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117,747</w:t>
            </w:r>
          </w:p>
        </w:tc>
        <w:tc>
          <w:tcPr>
            <w:tcW w:w="134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3F000B"/>
            </w:tcBorders>
          </w:tcPr>
          <w:p>
            <w:pPr>
              <w:spacing w:after="0"/>
              <w:rPr>
                <w:sz w:val="16"/>
                <w:szCs w:val="16"/>
                <w:color w:val="auto"/>
              </w:rPr>
            </w:pPr>
          </w:p>
        </w:tc>
        <w:tc>
          <w:tcPr>
            <w:tcW w:w="1200" w:type="dxa"/>
            <w:vAlign w:val="bottom"/>
            <w:tcBorders>
              <w:top w:val="single" w:sz="8" w:color="3F000B"/>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3F000B"/>
            </w:tcBorders>
          </w:tcPr>
          <w:p>
            <w:pPr>
              <w:spacing w:after="0"/>
              <w:rPr>
                <w:sz w:val="16"/>
                <w:szCs w:val="16"/>
                <w:color w:val="auto"/>
              </w:rPr>
            </w:pPr>
          </w:p>
        </w:tc>
        <w:tc>
          <w:tcPr>
            <w:tcW w:w="1260" w:type="dxa"/>
            <w:vAlign w:val="bottom"/>
            <w:tcBorders>
              <w:top w:val="single" w:sz="8" w:color="3F000B"/>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1980" w:type="dxa"/>
            <w:vAlign w:val="bottom"/>
            <w:tcBorders>
              <w:left w:val="single" w:sz="8" w:color="3F000B"/>
              <w:right w:val="single" w:sz="8" w:color="3F000B"/>
            </w:tcBorders>
          </w:tcPr>
          <w:p>
            <w:pPr>
              <w:spacing w:after="0"/>
              <w:rPr>
                <w:sz w:val="2"/>
                <w:szCs w:val="2"/>
                <w:color w:val="auto"/>
              </w:rPr>
            </w:pPr>
          </w:p>
        </w:tc>
        <w:tc>
          <w:tcPr>
            <w:tcW w:w="1220" w:type="dxa"/>
            <w:vAlign w:val="bottom"/>
            <w:tcBorders>
              <w:right w:val="single" w:sz="8" w:color="3F000B"/>
            </w:tcBorders>
          </w:tcPr>
          <w:p>
            <w:pPr>
              <w:spacing w:after="0"/>
              <w:rPr>
                <w:sz w:val="2"/>
                <w:szCs w:val="2"/>
                <w:color w:val="auto"/>
              </w:rPr>
            </w:pPr>
          </w:p>
        </w:tc>
        <w:tc>
          <w:tcPr>
            <w:tcW w:w="1340" w:type="dxa"/>
            <w:vAlign w:val="bottom"/>
            <w:tcBorders>
              <w:right w:val="single" w:sz="8" w:color="3F000B"/>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500" w:type="dxa"/>
            <w:vAlign w:val="bottom"/>
            <w:tcBorders>
              <w:right w:val="single" w:sz="8" w:color="3F000B"/>
            </w:tcBorders>
          </w:tcPr>
          <w:p>
            <w:pPr>
              <w:spacing w:after="0"/>
              <w:rPr>
                <w:sz w:val="2"/>
                <w:szCs w:val="2"/>
                <w:color w:val="auto"/>
              </w:rPr>
            </w:pPr>
          </w:p>
        </w:tc>
        <w:tc>
          <w:tcPr>
            <w:tcW w:w="1520" w:type="dxa"/>
            <w:vAlign w:val="bottom"/>
            <w:tcBorders>
              <w:right w:val="single" w:sz="8" w:color="3F000B"/>
            </w:tcBorders>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r>
      <w:tr>
        <w:trPr>
          <w:trHeight w:val="196"/>
        </w:trPr>
        <w:tc>
          <w:tcPr>
            <w:tcW w:w="19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James W. Brown</w:t>
            </w:r>
          </w:p>
        </w:tc>
        <w:tc>
          <w:tcPr>
            <w:tcW w:w="12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105,000</w:t>
            </w:r>
          </w:p>
        </w:tc>
        <w:tc>
          <w:tcPr>
            <w:tcW w:w="13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ADADA"/>
            </w:tcBorders>
            <w:shd w:val="clear" w:color="auto" w:fill="DADADA"/>
          </w:tcPr>
          <w:p>
            <w:pPr>
              <w:spacing w:after="0"/>
              <w:rPr>
                <w:sz w:val="17"/>
                <w:szCs w:val="17"/>
                <w:color w:val="auto"/>
              </w:rPr>
            </w:pPr>
          </w:p>
        </w:tc>
        <w:tc>
          <w:tcPr>
            <w:tcW w:w="120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ADADA"/>
            </w:tcBorders>
            <w:shd w:val="clear" w:color="auto" w:fill="DADADA"/>
          </w:tcPr>
          <w:p>
            <w:pPr>
              <w:spacing w:after="0"/>
              <w:rPr>
                <w:sz w:val="17"/>
                <w:szCs w:val="17"/>
                <w:color w:val="auto"/>
              </w:rPr>
            </w:pPr>
          </w:p>
        </w:tc>
        <w:tc>
          <w:tcPr>
            <w:tcW w:w="126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r>
      <w:tr>
        <w:trPr>
          <w:trHeight w:val="190"/>
        </w:trPr>
        <w:tc>
          <w:tcPr>
            <w:tcW w:w="19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Victor L. Crawford</w:t>
            </w:r>
          </w:p>
        </w:tc>
        <w:tc>
          <w:tcPr>
            <w:tcW w:w="12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66,923</w:t>
            </w:r>
          </w:p>
        </w:tc>
        <w:tc>
          <w:tcPr>
            <w:tcW w:w="15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6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1980" w:type="dxa"/>
            <w:vAlign w:val="bottom"/>
            <w:tcBorders>
              <w:left w:val="single" w:sz="8" w:color="3F000B"/>
              <w:right w:val="single" w:sz="8" w:color="3F000B"/>
            </w:tcBorders>
          </w:tcPr>
          <w:p>
            <w:pPr>
              <w:spacing w:after="0"/>
              <w:rPr>
                <w:sz w:val="2"/>
                <w:szCs w:val="2"/>
                <w:color w:val="auto"/>
              </w:rPr>
            </w:pPr>
          </w:p>
        </w:tc>
        <w:tc>
          <w:tcPr>
            <w:tcW w:w="1220" w:type="dxa"/>
            <w:vAlign w:val="bottom"/>
            <w:tcBorders>
              <w:right w:val="single" w:sz="8" w:color="3F000B"/>
            </w:tcBorders>
          </w:tcPr>
          <w:p>
            <w:pPr>
              <w:spacing w:after="0"/>
              <w:rPr>
                <w:sz w:val="2"/>
                <w:szCs w:val="2"/>
                <w:color w:val="auto"/>
              </w:rPr>
            </w:pPr>
          </w:p>
        </w:tc>
        <w:tc>
          <w:tcPr>
            <w:tcW w:w="1340" w:type="dxa"/>
            <w:vAlign w:val="bottom"/>
            <w:tcBorders>
              <w:right w:val="single" w:sz="8" w:color="3F000B"/>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500" w:type="dxa"/>
            <w:vAlign w:val="bottom"/>
            <w:tcBorders>
              <w:right w:val="single" w:sz="8" w:color="3F000B"/>
            </w:tcBorders>
          </w:tcPr>
          <w:p>
            <w:pPr>
              <w:spacing w:after="0"/>
              <w:rPr>
                <w:sz w:val="2"/>
                <w:szCs w:val="2"/>
                <w:color w:val="auto"/>
              </w:rPr>
            </w:pPr>
          </w:p>
        </w:tc>
        <w:tc>
          <w:tcPr>
            <w:tcW w:w="1520" w:type="dxa"/>
            <w:vAlign w:val="bottom"/>
            <w:tcBorders>
              <w:right w:val="single" w:sz="8" w:color="3F000B"/>
            </w:tcBorders>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r>
      <w:tr>
        <w:trPr>
          <w:trHeight w:val="196"/>
        </w:trPr>
        <w:tc>
          <w:tcPr>
            <w:tcW w:w="19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Charles A. Davis</w:t>
            </w:r>
          </w:p>
        </w:tc>
        <w:tc>
          <w:tcPr>
            <w:tcW w:w="12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114,135</w:t>
            </w:r>
          </w:p>
        </w:tc>
        <w:tc>
          <w:tcPr>
            <w:tcW w:w="13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ADADA"/>
            </w:tcBorders>
            <w:shd w:val="clear" w:color="auto" w:fill="DADADA"/>
          </w:tcPr>
          <w:p>
            <w:pPr>
              <w:spacing w:after="0"/>
              <w:rPr>
                <w:sz w:val="17"/>
                <w:szCs w:val="17"/>
                <w:color w:val="auto"/>
              </w:rPr>
            </w:pPr>
          </w:p>
        </w:tc>
        <w:tc>
          <w:tcPr>
            <w:tcW w:w="120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ADADA"/>
            </w:tcBorders>
            <w:shd w:val="clear" w:color="auto" w:fill="DADADA"/>
          </w:tcPr>
          <w:p>
            <w:pPr>
              <w:spacing w:after="0"/>
              <w:rPr>
                <w:sz w:val="17"/>
                <w:szCs w:val="17"/>
                <w:color w:val="auto"/>
              </w:rPr>
            </w:pPr>
          </w:p>
        </w:tc>
        <w:tc>
          <w:tcPr>
            <w:tcW w:w="126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r>
      <w:tr>
        <w:trPr>
          <w:trHeight w:val="191"/>
        </w:trPr>
        <w:tc>
          <w:tcPr>
            <w:tcW w:w="19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Robert M. Dutkowsky</w:t>
            </w:r>
          </w:p>
        </w:tc>
        <w:tc>
          <w:tcPr>
            <w:tcW w:w="12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35,666</w:t>
            </w:r>
          </w:p>
        </w:tc>
        <w:tc>
          <w:tcPr>
            <w:tcW w:w="13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6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1980" w:type="dxa"/>
            <w:vAlign w:val="bottom"/>
            <w:tcBorders>
              <w:left w:val="single" w:sz="8" w:color="3F000B"/>
              <w:right w:val="single" w:sz="8" w:color="3F000B"/>
            </w:tcBorders>
          </w:tcPr>
          <w:p>
            <w:pPr>
              <w:spacing w:after="0"/>
              <w:rPr>
                <w:sz w:val="2"/>
                <w:szCs w:val="2"/>
                <w:color w:val="auto"/>
              </w:rPr>
            </w:pPr>
          </w:p>
        </w:tc>
        <w:tc>
          <w:tcPr>
            <w:tcW w:w="1220" w:type="dxa"/>
            <w:vAlign w:val="bottom"/>
            <w:tcBorders>
              <w:right w:val="single" w:sz="8" w:color="3F000B"/>
            </w:tcBorders>
          </w:tcPr>
          <w:p>
            <w:pPr>
              <w:spacing w:after="0"/>
              <w:rPr>
                <w:sz w:val="2"/>
                <w:szCs w:val="2"/>
                <w:color w:val="auto"/>
              </w:rPr>
            </w:pPr>
          </w:p>
        </w:tc>
        <w:tc>
          <w:tcPr>
            <w:tcW w:w="1340" w:type="dxa"/>
            <w:vAlign w:val="bottom"/>
            <w:tcBorders>
              <w:right w:val="single" w:sz="8" w:color="3F000B"/>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500" w:type="dxa"/>
            <w:vAlign w:val="bottom"/>
            <w:tcBorders>
              <w:right w:val="single" w:sz="8" w:color="3F000B"/>
            </w:tcBorders>
          </w:tcPr>
          <w:p>
            <w:pPr>
              <w:spacing w:after="0"/>
              <w:rPr>
                <w:sz w:val="2"/>
                <w:szCs w:val="2"/>
                <w:color w:val="auto"/>
              </w:rPr>
            </w:pPr>
          </w:p>
        </w:tc>
        <w:tc>
          <w:tcPr>
            <w:tcW w:w="1520" w:type="dxa"/>
            <w:vAlign w:val="bottom"/>
            <w:tcBorders>
              <w:right w:val="single" w:sz="8" w:color="3F000B"/>
            </w:tcBorders>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r>
      <w:tr>
        <w:trPr>
          <w:trHeight w:val="196"/>
        </w:trPr>
        <w:tc>
          <w:tcPr>
            <w:tcW w:w="19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Mary Kay Haben</w:t>
            </w:r>
          </w:p>
        </w:tc>
        <w:tc>
          <w:tcPr>
            <w:tcW w:w="12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120,000</w:t>
            </w:r>
          </w:p>
        </w:tc>
        <w:tc>
          <w:tcPr>
            <w:tcW w:w="13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ADADA"/>
            </w:tcBorders>
            <w:shd w:val="clear" w:color="auto" w:fill="DADADA"/>
          </w:tcPr>
          <w:p>
            <w:pPr>
              <w:spacing w:after="0"/>
              <w:rPr>
                <w:sz w:val="17"/>
                <w:szCs w:val="17"/>
                <w:color w:val="auto"/>
              </w:rPr>
            </w:pPr>
          </w:p>
        </w:tc>
        <w:tc>
          <w:tcPr>
            <w:tcW w:w="120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ADADA"/>
            </w:tcBorders>
            <w:shd w:val="clear" w:color="auto" w:fill="DADADA"/>
          </w:tcPr>
          <w:p>
            <w:pPr>
              <w:spacing w:after="0"/>
              <w:rPr>
                <w:sz w:val="17"/>
                <w:szCs w:val="17"/>
                <w:color w:val="auto"/>
              </w:rPr>
            </w:pPr>
          </w:p>
        </w:tc>
        <w:tc>
          <w:tcPr>
            <w:tcW w:w="126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r>
      <w:tr>
        <w:trPr>
          <w:trHeight w:val="191"/>
        </w:trPr>
        <w:tc>
          <w:tcPr>
            <w:tcW w:w="19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James C. Katzman</w:t>
            </w:r>
          </w:p>
        </w:tc>
        <w:tc>
          <w:tcPr>
            <w:tcW w:w="12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105,000</w:t>
            </w:r>
          </w:p>
        </w:tc>
        <w:tc>
          <w:tcPr>
            <w:tcW w:w="260" w:type="dxa"/>
            <w:vAlign w:val="bottom"/>
          </w:tcPr>
          <w:p>
            <w:pPr>
              <w:spacing w:after="0"/>
              <w:rPr>
                <w:sz w:val="16"/>
                <w:szCs w:val="16"/>
                <w:color w:val="auto"/>
              </w:rPr>
            </w:pPr>
          </w:p>
        </w:tc>
        <w:tc>
          <w:tcPr>
            <w:tcW w:w="126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737</w:t>
            </w:r>
          </w:p>
        </w:tc>
      </w:tr>
      <w:tr>
        <w:trPr>
          <w:trHeight w:val="25"/>
        </w:trPr>
        <w:tc>
          <w:tcPr>
            <w:tcW w:w="1980" w:type="dxa"/>
            <w:vAlign w:val="bottom"/>
            <w:tcBorders>
              <w:left w:val="single" w:sz="8" w:color="3F000B"/>
              <w:right w:val="single" w:sz="8" w:color="3F000B"/>
            </w:tcBorders>
          </w:tcPr>
          <w:p>
            <w:pPr>
              <w:spacing w:after="0"/>
              <w:rPr>
                <w:sz w:val="2"/>
                <w:szCs w:val="2"/>
                <w:color w:val="auto"/>
              </w:rPr>
            </w:pPr>
          </w:p>
        </w:tc>
        <w:tc>
          <w:tcPr>
            <w:tcW w:w="1220" w:type="dxa"/>
            <w:vAlign w:val="bottom"/>
            <w:tcBorders>
              <w:right w:val="single" w:sz="8" w:color="3F000B"/>
            </w:tcBorders>
          </w:tcPr>
          <w:p>
            <w:pPr>
              <w:spacing w:after="0"/>
              <w:rPr>
                <w:sz w:val="2"/>
                <w:szCs w:val="2"/>
                <w:color w:val="auto"/>
              </w:rPr>
            </w:pPr>
          </w:p>
        </w:tc>
        <w:tc>
          <w:tcPr>
            <w:tcW w:w="1340" w:type="dxa"/>
            <w:vAlign w:val="bottom"/>
            <w:tcBorders>
              <w:right w:val="single" w:sz="8" w:color="3F000B"/>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500" w:type="dxa"/>
            <w:vAlign w:val="bottom"/>
            <w:tcBorders>
              <w:right w:val="single" w:sz="8" w:color="3F000B"/>
            </w:tcBorders>
          </w:tcPr>
          <w:p>
            <w:pPr>
              <w:spacing w:after="0"/>
              <w:rPr>
                <w:sz w:val="2"/>
                <w:szCs w:val="2"/>
                <w:color w:val="auto"/>
              </w:rPr>
            </w:pPr>
          </w:p>
        </w:tc>
        <w:tc>
          <w:tcPr>
            <w:tcW w:w="1520" w:type="dxa"/>
            <w:vAlign w:val="bottom"/>
            <w:tcBorders>
              <w:right w:val="single" w:sz="8" w:color="3F000B"/>
            </w:tcBorders>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r>
      <w:tr>
        <w:trPr>
          <w:trHeight w:val="196"/>
        </w:trPr>
        <w:tc>
          <w:tcPr>
            <w:tcW w:w="19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 Diane Koken</w:t>
            </w:r>
          </w:p>
        </w:tc>
        <w:tc>
          <w:tcPr>
            <w:tcW w:w="12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105,000</w:t>
            </w:r>
          </w:p>
        </w:tc>
        <w:tc>
          <w:tcPr>
            <w:tcW w:w="13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ADADA"/>
            </w:tcBorders>
            <w:shd w:val="clear" w:color="auto" w:fill="DADADA"/>
          </w:tcPr>
          <w:p>
            <w:pPr>
              <w:spacing w:after="0"/>
              <w:rPr>
                <w:sz w:val="17"/>
                <w:szCs w:val="17"/>
                <w:color w:val="auto"/>
              </w:rPr>
            </w:pPr>
          </w:p>
        </w:tc>
        <w:tc>
          <w:tcPr>
            <w:tcW w:w="120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ADADA"/>
            </w:tcBorders>
            <w:shd w:val="clear" w:color="auto" w:fill="DADADA"/>
          </w:tcPr>
          <w:p>
            <w:pPr>
              <w:spacing w:after="0"/>
              <w:rPr>
                <w:sz w:val="17"/>
                <w:szCs w:val="17"/>
                <w:color w:val="auto"/>
              </w:rPr>
            </w:pPr>
          </w:p>
        </w:tc>
        <w:tc>
          <w:tcPr>
            <w:tcW w:w="126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r>
      <w:tr>
        <w:trPr>
          <w:trHeight w:val="191"/>
        </w:trPr>
        <w:tc>
          <w:tcPr>
            <w:tcW w:w="19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Robert M. Malcolm</w:t>
            </w:r>
          </w:p>
        </w:tc>
        <w:tc>
          <w:tcPr>
            <w:tcW w:w="12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120,000</w:t>
            </w:r>
          </w:p>
        </w:tc>
        <w:tc>
          <w:tcPr>
            <w:tcW w:w="13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6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1980" w:type="dxa"/>
            <w:vAlign w:val="bottom"/>
            <w:tcBorders>
              <w:left w:val="single" w:sz="8" w:color="3F000B"/>
              <w:right w:val="single" w:sz="8" w:color="3F000B"/>
            </w:tcBorders>
          </w:tcPr>
          <w:p>
            <w:pPr>
              <w:spacing w:after="0"/>
              <w:rPr>
                <w:sz w:val="2"/>
                <w:szCs w:val="2"/>
                <w:color w:val="auto"/>
              </w:rPr>
            </w:pPr>
          </w:p>
        </w:tc>
        <w:tc>
          <w:tcPr>
            <w:tcW w:w="1220" w:type="dxa"/>
            <w:vAlign w:val="bottom"/>
            <w:tcBorders>
              <w:right w:val="single" w:sz="8" w:color="3F000B"/>
            </w:tcBorders>
          </w:tcPr>
          <w:p>
            <w:pPr>
              <w:spacing w:after="0"/>
              <w:rPr>
                <w:sz w:val="2"/>
                <w:szCs w:val="2"/>
                <w:color w:val="auto"/>
              </w:rPr>
            </w:pPr>
          </w:p>
        </w:tc>
        <w:tc>
          <w:tcPr>
            <w:tcW w:w="1340" w:type="dxa"/>
            <w:vAlign w:val="bottom"/>
            <w:tcBorders>
              <w:right w:val="single" w:sz="8" w:color="3F000B"/>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500" w:type="dxa"/>
            <w:vAlign w:val="bottom"/>
            <w:tcBorders>
              <w:right w:val="single" w:sz="8" w:color="3F000B"/>
            </w:tcBorders>
          </w:tcPr>
          <w:p>
            <w:pPr>
              <w:spacing w:after="0"/>
              <w:rPr>
                <w:sz w:val="2"/>
                <w:szCs w:val="2"/>
                <w:color w:val="auto"/>
              </w:rPr>
            </w:pPr>
          </w:p>
        </w:tc>
        <w:tc>
          <w:tcPr>
            <w:tcW w:w="1520" w:type="dxa"/>
            <w:vAlign w:val="bottom"/>
            <w:tcBorders>
              <w:right w:val="single" w:sz="8" w:color="3F000B"/>
            </w:tcBorders>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r>
      <w:tr>
        <w:trPr>
          <w:trHeight w:val="196"/>
        </w:trPr>
        <w:tc>
          <w:tcPr>
            <w:tcW w:w="19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Anthony J. Palmer</w:t>
            </w:r>
          </w:p>
        </w:tc>
        <w:tc>
          <w:tcPr>
            <w:tcW w:w="12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7,253</w:t>
            </w:r>
          </w:p>
        </w:tc>
        <w:tc>
          <w:tcPr>
            <w:tcW w:w="13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120,934</w:t>
            </w:r>
          </w:p>
        </w:tc>
        <w:tc>
          <w:tcPr>
            <w:tcW w:w="140" w:type="dxa"/>
            <w:vAlign w:val="bottom"/>
            <w:tcBorders>
              <w:bottom w:val="single" w:sz="8" w:color="DADADA"/>
            </w:tcBorders>
            <w:shd w:val="clear" w:color="auto" w:fill="DADADA"/>
          </w:tcPr>
          <w:p>
            <w:pPr>
              <w:spacing w:after="0"/>
              <w:rPr>
                <w:sz w:val="17"/>
                <w:szCs w:val="17"/>
                <w:color w:val="auto"/>
              </w:rPr>
            </w:pPr>
          </w:p>
        </w:tc>
        <w:tc>
          <w:tcPr>
            <w:tcW w:w="120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850</w:t>
            </w:r>
          </w:p>
        </w:tc>
        <w:tc>
          <w:tcPr>
            <w:tcW w:w="15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ADADA"/>
            </w:tcBorders>
            <w:shd w:val="clear" w:color="auto" w:fill="DADADA"/>
          </w:tcPr>
          <w:p>
            <w:pPr>
              <w:spacing w:after="0"/>
              <w:rPr>
                <w:sz w:val="17"/>
                <w:szCs w:val="17"/>
                <w:color w:val="auto"/>
              </w:rPr>
            </w:pPr>
          </w:p>
        </w:tc>
        <w:tc>
          <w:tcPr>
            <w:tcW w:w="126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r>
      <w:tr>
        <w:trPr>
          <w:trHeight w:val="191"/>
        </w:trPr>
        <w:tc>
          <w:tcPr>
            <w:tcW w:w="19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Juan R. Perez</w:t>
            </w:r>
          </w:p>
        </w:tc>
        <w:tc>
          <w:tcPr>
            <w:tcW w:w="12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89,250</w:t>
            </w:r>
          </w:p>
        </w:tc>
        <w:tc>
          <w:tcPr>
            <w:tcW w:w="13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15,750</w:t>
            </w:r>
          </w:p>
        </w:tc>
        <w:tc>
          <w:tcPr>
            <w:tcW w:w="140" w:type="dxa"/>
            <w:vAlign w:val="bottom"/>
          </w:tcPr>
          <w:p>
            <w:pPr>
              <w:spacing w:after="0"/>
              <w:rPr>
                <w:sz w:val="16"/>
                <w:szCs w:val="16"/>
                <w:color w:val="auto"/>
              </w:rPr>
            </w:pPr>
          </w:p>
        </w:tc>
        <w:tc>
          <w:tcPr>
            <w:tcW w:w="120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111</w:t>
            </w:r>
          </w:p>
        </w:tc>
        <w:tc>
          <w:tcPr>
            <w:tcW w:w="15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6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1980" w:type="dxa"/>
            <w:vAlign w:val="bottom"/>
            <w:tcBorders>
              <w:left w:val="single" w:sz="8" w:color="3F000B"/>
              <w:right w:val="single" w:sz="8" w:color="3F000B"/>
            </w:tcBorders>
          </w:tcPr>
          <w:p>
            <w:pPr>
              <w:spacing w:after="0"/>
              <w:rPr>
                <w:sz w:val="2"/>
                <w:szCs w:val="2"/>
                <w:color w:val="auto"/>
              </w:rPr>
            </w:pPr>
          </w:p>
        </w:tc>
        <w:tc>
          <w:tcPr>
            <w:tcW w:w="1220" w:type="dxa"/>
            <w:vAlign w:val="bottom"/>
            <w:tcBorders>
              <w:right w:val="single" w:sz="8" w:color="3F000B"/>
            </w:tcBorders>
          </w:tcPr>
          <w:p>
            <w:pPr>
              <w:spacing w:after="0"/>
              <w:rPr>
                <w:sz w:val="2"/>
                <w:szCs w:val="2"/>
                <w:color w:val="auto"/>
              </w:rPr>
            </w:pPr>
          </w:p>
        </w:tc>
        <w:tc>
          <w:tcPr>
            <w:tcW w:w="1340" w:type="dxa"/>
            <w:vAlign w:val="bottom"/>
            <w:tcBorders>
              <w:right w:val="single" w:sz="8" w:color="3F000B"/>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500" w:type="dxa"/>
            <w:vAlign w:val="bottom"/>
            <w:tcBorders>
              <w:right w:val="single" w:sz="8" w:color="3F000B"/>
            </w:tcBorders>
          </w:tcPr>
          <w:p>
            <w:pPr>
              <w:spacing w:after="0"/>
              <w:rPr>
                <w:sz w:val="2"/>
                <w:szCs w:val="2"/>
                <w:color w:val="auto"/>
              </w:rPr>
            </w:pPr>
          </w:p>
        </w:tc>
        <w:tc>
          <w:tcPr>
            <w:tcW w:w="1520" w:type="dxa"/>
            <w:vAlign w:val="bottom"/>
            <w:tcBorders>
              <w:right w:val="single" w:sz="8" w:color="3F000B"/>
            </w:tcBorders>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r>
      <w:tr>
        <w:trPr>
          <w:trHeight w:val="196"/>
        </w:trPr>
        <w:tc>
          <w:tcPr>
            <w:tcW w:w="19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Wendy L. Schoppert</w:t>
            </w:r>
          </w:p>
        </w:tc>
        <w:tc>
          <w:tcPr>
            <w:tcW w:w="12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105,000</w:t>
            </w:r>
          </w:p>
        </w:tc>
        <w:tc>
          <w:tcPr>
            <w:tcW w:w="13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ADADA"/>
            </w:tcBorders>
            <w:shd w:val="clear" w:color="auto" w:fill="DADADA"/>
          </w:tcPr>
          <w:p>
            <w:pPr>
              <w:spacing w:after="0"/>
              <w:rPr>
                <w:sz w:val="17"/>
                <w:szCs w:val="17"/>
                <w:color w:val="auto"/>
              </w:rPr>
            </w:pPr>
          </w:p>
        </w:tc>
        <w:tc>
          <w:tcPr>
            <w:tcW w:w="120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ADADA"/>
            </w:tcBorders>
            <w:shd w:val="clear" w:color="auto" w:fill="DADADA"/>
          </w:tcPr>
          <w:p>
            <w:pPr>
              <w:spacing w:after="0"/>
              <w:rPr>
                <w:sz w:val="17"/>
                <w:szCs w:val="17"/>
                <w:color w:val="auto"/>
              </w:rPr>
            </w:pPr>
          </w:p>
        </w:tc>
        <w:tc>
          <w:tcPr>
            <w:tcW w:w="1260" w:type="dxa"/>
            <w:vAlign w:val="bottom"/>
            <w:tcBorders>
              <w:bottom w:val="single" w:sz="8" w:color="DADADA"/>
              <w:right w:val="single" w:sz="8" w:color="3F000B"/>
            </w:tcBorders>
            <w:shd w:val="clear" w:color="auto" w:fill="DADADA"/>
          </w:tcPr>
          <w:p>
            <w:pPr>
              <w:jc w:val="right"/>
              <w:ind w:right="28"/>
              <w:spacing w:after="0"/>
              <w:rPr>
                <w:sz w:val="20"/>
                <w:szCs w:val="20"/>
                <w:color w:val="auto"/>
              </w:rPr>
            </w:pPr>
            <w:r>
              <w:rPr>
                <w:rFonts w:ascii="Arial" w:cs="Arial" w:eastAsia="Arial" w:hAnsi="Arial"/>
                <w:sz w:val="14"/>
                <w:szCs w:val="14"/>
                <w:color w:val="auto"/>
              </w:rPr>
              <w:t>—</w:t>
            </w:r>
          </w:p>
        </w:tc>
      </w:tr>
      <w:tr>
        <w:trPr>
          <w:trHeight w:val="190"/>
        </w:trPr>
        <w:tc>
          <w:tcPr>
            <w:tcW w:w="19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David L. Shedlarz</w:t>
            </w:r>
          </w:p>
        </w:tc>
        <w:tc>
          <w:tcPr>
            <w:tcW w:w="12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125,000</w:t>
            </w:r>
          </w:p>
        </w:tc>
        <w:tc>
          <w:tcPr>
            <w:tcW w:w="13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60" w:type="dxa"/>
            <w:vAlign w:val="bottom"/>
            <w:tcBorders>
              <w:right w:val="single" w:sz="8" w:color="3F000B"/>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1980" w:type="dxa"/>
            <w:vAlign w:val="bottom"/>
            <w:tcBorders>
              <w:left w:val="single" w:sz="8" w:color="3F000B"/>
              <w:bottom w:val="single" w:sz="8" w:color="3F000B"/>
              <w:right w:val="single" w:sz="8" w:color="3F000B"/>
            </w:tcBorders>
          </w:tcPr>
          <w:p>
            <w:pPr>
              <w:spacing w:after="0"/>
              <w:rPr>
                <w:sz w:val="2"/>
                <w:szCs w:val="2"/>
                <w:color w:val="auto"/>
              </w:rPr>
            </w:pPr>
          </w:p>
        </w:tc>
        <w:tc>
          <w:tcPr>
            <w:tcW w:w="1220" w:type="dxa"/>
            <w:vAlign w:val="bottom"/>
            <w:tcBorders>
              <w:bottom w:val="single" w:sz="8" w:color="3F000B"/>
              <w:right w:val="single" w:sz="8" w:color="3F000B"/>
            </w:tcBorders>
          </w:tcPr>
          <w:p>
            <w:pPr>
              <w:spacing w:after="0"/>
              <w:rPr>
                <w:sz w:val="2"/>
                <w:szCs w:val="2"/>
                <w:color w:val="auto"/>
              </w:rPr>
            </w:pPr>
          </w:p>
        </w:tc>
        <w:tc>
          <w:tcPr>
            <w:tcW w:w="1340" w:type="dxa"/>
            <w:vAlign w:val="bottom"/>
            <w:tcBorders>
              <w:bottom w:val="single" w:sz="8" w:color="3F000B"/>
              <w:right w:val="single" w:sz="8" w:color="3F000B"/>
            </w:tcBorders>
          </w:tcPr>
          <w:p>
            <w:pPr>
              <w:spacing w:after="0"/>
              <w:rPr>
                <w:sz w:val="2"/>
                <w:szCs w:val="2"/>
                <w:color w:val="auto"/>
              </w:rPr>
            </w:pPr>
          </w:p>
        </w:tc>
        <w:tc>
          <w:tcPr>
            <w:tcW w:w="140" w:type="dxa"/>
            <w:vAlign w:val="bottom"/>
            <w:tcBorders>
              <w:bottom w:val="single" w:sz="8" w:color="3F000B"/>
            </w:tcBorders>
          </w:tcPr>
          <w:p>
            <w:pPr>
              <w:spacing w:after="0"/>
              <w:rPr>
                <w:sz w:val="2"/>
                <w:szCs w:val="2"/>
                <w:color w:val="auto"/>
              </w:rPr>
            </w:pPr>
          </w:p>
        </w:tc>
        <w:tc>
          <w:tcPr>
            <w:tcW w:w="1200" w:type="dxa"/>
            <w:vAlign w:val="bottom"/>
            <w:tcBorders>
              <w:bottom w:val="single" w:sz="8" w:color="3F000B"/>
              <w:right w:val="single" w:sz="8" w:color="3F000B"/>
            </w:tcBorders>
          </w:tcPr>
          <w:p>
            <w:pPr>
              <w:spacing w:after="0"/>
              <w:rPr>
                <w:sz w:val="2"/>
                <w:szCs w:val="2"/>
                <w:color w:val="auto"/>
              </w:rPr>
            </w:pPr>
          </w:p>
        </w:tc>
        <w:tc>
          <w:tcPr>
            <w:tcW w:w="1500" w:type="dxa"/>
            <w:vAlign w:val="bottom"/>
            <w:tcBorders>
              <w:bottom w:val="single" w:sz="8" w:color="3F000B"/>
              <w:right w:val="single" w:sz="8" w:color="3F000B"/>
            </w:tcBorders>
          </w:tcPr>
          <w:p>
            <w:pPr>
              <w:spacing w:after="0"/>
              <w:rPr>
                <w:sz w:val="2"/>
                <w:szCs w:val="2"/>
                <w:color w:val="auto"/>
              </w:rPr>
            </w:pPr>
          </w:p>
        </w:tc>
        <w:tc>
          <w:tcPr>
            <w:tcW w:w="1520" w:type="dxa"/>
            <w:vAlign w:val="bottom"/>
            <w:tcBorders>
              <w:bottom w:val="single" w:sz="8" w:color="3F000B"/>
              <w:right w:val="single" w:sz="8" w:color="3F000B"/>
            </w:tcBorders>
          </w:tcPr>
          <w:p>
            <w:pPr>
              <w:spacing w:after="0"/>
              <w:rPr>
                <w:sz w:val="2"/>
                <w:szCs w:val="2"/>
                <w:color w:val="auto"/>
              </w:rPr>
            </w:pPr>
          </w:p>
        </w:tc>
        <w:tc>
          <w:tcPr>
            <w:tcW w:w="260" w:type="dxa"/>
            <w:vAlign w:val="bottom"/>
            <w:tcBorders>
              <w:bottom w:val="single" w:sz="8" w:color="3F000B"/>
            </w:tcBorders>
          </w:tcPr>
          <w:p>
            <w:pPr>
              <w:spacing w:after="0"/>
              <w:rPr>
                <w:sz w:val="2"/>
                <w:szCs w:val="2"/>
                <w:color w:val="auto"/>
              </w:rPr>
            </w:pPr>
          </w:p>
        </w:tc>
        <w:tc>
          <w:tcPr>
            <w:tcW w:w="1260" w:type="dxa"/>
            <w:vAlign w:val="bottom"/>
            <w:tcBorders>
              <w:bottom w:val="single" w:sz="8" w:color="3F000B"/>
              <w:right w:val="single" w:sz="8" w:color="3F000B"/>
            </w:tcBorders>
          </w:tcPr>
          <w:p>
            <w:pPr>
              <w:spacing w:after="0"/>
              <w:rPr>
                <w:sz w:val="2"/>
                <w:szCs w:val="2"/>
                <w:color w:val="auto"/>
              </w:rPr>
            </w:pPr>
          </w:p>
        </w:tc>
      </w:tr>
    </w:tbl>
    <w:p>
      <w:pPr>
        <w:spacing w:after="0" w:line="184" w:lineRule="exact"/>
        <w:rPr>
          <w:sz w:val="20"/>
          <w:szCs w:val="20"/>
          <w:color w:val="auto"/>
        </w:rPr>
      </w:pPr>
    </w:p>
    <w:p>
      <w:pPr>
        <w:ind w:left="340" w:right="120" w:hanging="332"/>
        <w:spacing w:after="0" w:line="257" w:lineRule="auto"/>
        <w:tabs>
          <w:tab w:leader="none" w:pos="332"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the dollar amount recognized as expense during 2020 for financial statement reporting purposes with respect to RSUs awarded to the directors during 2020. RSUs awarded to directors are charged to expense in the Company’s financial statements at the grant date fair value on each quarterly grant date. The target annual grant date fair value of the RSUs for each director during 2020 was $160,000.</w:t>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320" w:top="1111" w:right="359" w:bottom="1440" w:gutter="0" w:footer="0" w:header="0"/>
          <w:type w:val="continuous"/>
        </w:sectPr>
      </w:pPr>
    </w:p>
    <w:bookmarkStart w:id="40" w:name="page41"/>
    <w:bookmarkEnd w:id="40"/>
    <w:p>
      <w:pPr>
        <w:ind w:left="332"/>
        <w:spacing w:after="0" w:line="252" w:lineRule="auto"/>
        <w:rPr>
          <w:sz w:val="20"/>
          <w:szCs w:val="20"/>
          <w:color w:val="auto"/>
        </w:rPr>
      </w:pPr>
      <w:r>
        <w:rPr>
          <w:rFonts w:ascii="Arial" w:cs="Arial" w:eastAsia="Arial" w:hAnsi="Arial"/>
          <w:sz w:val="14"/>
          <w:szCs w:val="14"/>
          <w:color w:val="auto"/>
        </w:rPr>
        <w:t>The following table provides information with respect to the number and market value of deferred common stock units and RSUs held as of December 31, 2020, based on the $152.33 closing price of our Common Stock as reported by NYSE on December 31, 2020, the last trading day of 2020. The information presented includes the accumulated value of each director’s deferred common stock units and RSUs. Balances shown below include dividend equivalent units credited in the form of additional common stock units on deferred amounts and dividend equivalent units credited in the form of additional common stock units on RSUs.</w:t>
      </w:r>
    </w:p>
    <w:p>
      <w:pPr>
        <w:spacing w:after="0" w:line="92" w:lineRule="exact"/>
        <w:rPr>
          <w:sz w:val="20"/>
          <w:szCs w:val="20"/>
          <w:color w:val="auto"/>
        </w:rPr>
      </w:pPr>
    </w:p>
    <w:tbl>
      <w:tblPr>
        <w:tblLayout w:type="fixed"/>
        <w:tblInd w:w="342" w:type="dxa"/>
        <w:tblCellMar>
          <w:top w:w="0" w:type="dxa"/>
          <w:left w:w="0" w:type="dxa"/>
          <w:bottom w:w="0" w:type="dxa"/>
          <w:right w:w="0" w:type="dxa"/>
        </w:tblCellMar>
      </w:tblPr>
      <w:tr>
        <w:trPr>
          <w:trHeight w:val="220"/>
        </w:trPr>
        <w:tc>
          <w:tcPr>
            <w:tcW w:w="3140" w:type="dxa"/>
            <w:vAlign w:val="bottom"/>
            <w:tcBorders>
              <w:top w:val="single" w:sz="8" w:color="3F000B"/>
              <w:left w:val="single" w:sz="8" w:color="3F000B"/>
              <w:right w:val="single" w:sz="8" w:color="DADADA"/>
            </w:tcBorders>
            <w:shd w:val="clear" w:color="auto" w:fill="3F000B"/>
          </w:tcPr>
          <w:p>
            <w:pPr>
              <w:spacing w:after="0"/>
              <w:rPr>
                <w:sz w:val="19"/>
                <w:szCs w:val="19"/>
                <w:color w:val="auto"/>
              </w:rPr>
            </w:pPr>
          </w:p>
        </w:tc>
        <w:tc>
          <w:tcPr>
            <w:tcW w:w="1340" w:type="dxa"/>
            <w:vAlign w:val="bottom"/>
            <w:tcBorders>
              <w:top w:val="single" w:sz="8" w:color="3F000B"/>
            </w:tcBorders>
            <w:shd w:val="clear" w:color="auto" w:fill="3F000B"/>
          </w:tcPr>
          <w:p>
            <w:pPr>
              <w:spacing w:after="0"/>
              <w:rPr>
                <w:sz w:val="19"/>
                <w:szCs w:val="19"/>
                <w:color w:val="auto"/>
              </w:rPr>
            </w:pPr>
          </w:p>
        </w:tc>
        <w:tc>
          <w:tcPr>
            <w:tcW w:w="400" w:type="dxa"/>
            <w:vAlign w:val="bottom"/>
            <w:tcBorders>
              <w:top w:val="single" w:sz="8" w:color="3F000B"/>
              <w:right w:val="single" w:sz="8" w:color="DADADA"/>
            </w:tcBorders>
            <w:shd w:val="clear" w:color="auto" w:fill="3F000B"/>
          </w:tcPr>
          <w:p>
            <w:pPr>
              <w:spacing w:after="0"/>
              <w:rPr>
                <w:sz w:val="19"/>
                <w:szCs w:val="19"/>
                <w:color w:val="auto"/>
              </w:rPr>
            </w:pPr>
          </w:p>
        </w:tc>
        <w:tc>
          <w:tcPr>
            <w:tcW w:w="206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6"/>
              </w:rPr>
              <w:t>Market Value of</w:t>
            </w:r>
          </w:p>
        </w:tc>
        <w:tc>
          <w:tcPr>
            <w:tcW w:w="1740" w:type="dxa"/>
            <w:vAlign w:val="bottom"/>
            <w:tcBorders>
              <w:top w:val="single" w:sz="8" w:color="3F000B"/>
              <w:right w:val="single" w:sz="8" w:color="DADADA"/>
            </w:tcBorders>
            <w:shd w:val="clear" w:color="auto" w:fill="3F000B"/>
          </w:tcPr>
          <w:p>
            <w:pPr>
              <w:spacing w:after="0"/>
              <w:rPr>
                <w:sz w:val="19"/>
                <w:szCs w:val="19"/>
                <w:color w:val="auto"/>
              </w:rPr>
            </w:pPr>
          </w:p>
        </w:tc>
        <w:tc>
          <w:tcPr>
            <w:tcW w:w="1740" w:type="dxa"/>
            <w:vAlign w:val="bottom"/>
            <w:tcBorders>
              <w:top w:val="single" w:sz="8" w:color="3F000B"/>
              <w:right w:val="single" w:sz="8" w:color="3F000B"/>
            </w:tcBorders>
            <w:shd w:val="clear" w:color="auto" w:fill="3F000B"/>
          </w:tcPr>
          <w:p>
            <w:pPr>
              <w:spacing w:after="0"/>
              <w:rPr>
                <w:sz w:val="19"/>
                <w:szCs w:val="19"/>
                <w:color w:val="auto"/>
              </w:rPr>
            </w:pPr>
          </w:p>
        </w:tc>
      </w:tr>
      <w:tr>
        <w:trPr>
          <w:trHeight w:val="162"/>
        </w:trPr>
        <w:tc>
          <w:tcPr>
            <w:tcW w:w="3140" w:type="dxa"/>
            <w:vAlign w:val="bottom"/>
            <w:tcBorders>
              <w:left w:val="single" w:sz="8" w:color="3F000B"/>
              <w:right w:val="single" w:sz="8" w:color="DADADA"/>
            </w:tcBorders>
            <w:shd w:val="clear" w:color="auto" w:fill="3F000B"/>
          </w:tcPr>
          <w:p>
            <w:pPr>
              <w:spacing w:after="0"/>
              <w:rPr>
                <w:sz w:val="14"/>
                <w:szCs w:val="14"/>
                <w:color w:val="auto"/>
              </w:rPr>
            </w:pPr>
          </w:p>
        </w:tc>
        <w:tc>
          <w:tcPr>
            <w:tcW w:w="1340" w:type="dxa"/>
            <w:vAlign w:val="bottom"/>
            <w:shd w:val="clear" w:color="auto" w:fill="3F000B"/>
          </w:tcPr>
          <w:p>
            <w:pPr>
              <w:jc w:val="center"/>
              <w:ind w:left="308"/>
              <w:spacing w:after="0"/>
              <w:rPr>
                <w:sz w:val="20"/>
                <w:szCs w:val="20"/>
                <w:color w:val="auto"/>
              </w:rPr>
            </w:pPr>
            <w:r>
              <w:rPr>
                <w:rFonts w:ascii="Arial" w:cs="Arial" w:eastAsia="Arial" w:hAnsi="Arial"/>
                <w:sz w:val="14"/>
                <w:szCs w:val="14"/>
                <w:b w:val="1"/>
                <w:bCs w:val="1"/>
                <w:color w:val="FFFFFF"/>
                <w:w w:val="97"/>
              </w:rPr>
              <w:t>Number of</w:t>
            </w:r>
          </w:p>
        </w:tc>
        <w:tc>
          <w:tcPr>
            <w:tcW w:w="400" w:type="dxa"/>
            <w:vAlign w:val="bottom"/>
            <w:tcBorders>
              <w:right w:val="single" w:sz="8" w:color="DADADA"/>
            </w:tcBorders>
            <w:shd w:val="clear" w:color="auto" w:fill="3F000B"/>
          </w:tcPr>
          <w:p>
            <w:pPr>
              <w:spacing w:after="0"/>
              <w:rPr>
                <w:sz w:val="14"/>
                <w:szCs w:val="14"/>
                <w:color w:val="auto"/>
              </w:rPr>
            </w:pPr>
          </w:p>
        </w:tc>
        <w:tc>
          <w:tcPr>
            <w:tcW w:w="2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7"/>
              </w:rPr>
              <w:t>Deferred</w:t>
            </w:r>
          </w:p>
        </w:tc>
        <w:tc>
          <w:tcPr>
            <w:tcW w:w="1740" w:type="dxa"/>
            <w:vAlign w:val="bottom"/>
            <w:tcBorders>
              <w:right w:val="single" w:sz="8" w:color="DADADA"/>
            </w:tcBorders>
            <w:shd w:val="clear" w:color="auto" w:fill="3F000B"/>
          </w:tcPr>
          <w:p>
            <w:pPr>
              <w:spacing w:after="0"/>
              <w:rPr>
                <w:sz w:val="14"/>
                <w:szCs w:val="14"/>
                <w:color w:val="auto"/>
              </w:rPr>
            </w:pPr>
          </w:p>
        </w:tc>
        <w:tc>
          <w:tcPr>
            <w:tcW w:w="17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rPr>
              <w:t>Market</w:t>
            </w:r>
          </w:p>
        </w:tc>
      </w:tr>
      <w:tr>
        <w:trPr>
          <w:trHeight w:val="162"/>
        </w:trPr>
        <w:tc>
          <w:tcPr>
            <w:tcW w:w="3140" w:type="dxa"/>
            <w:vAlign w:val="bottom"/>
            <w:tcBorders>
              <w:left w:val="single" w:sz="8" w:color="3F000B"/>
              <w:right w:val="single" w:sz="8" w:color="DADADA"/>
            </w:tcBorders>
            <w:shd w:val="clear" w:color="auto" w:fill="3F000B"/>
          </w:tcPr>
          <w:p>
            <w:pPr>
              <w:spacing w:after="0"/>
              <w:rPr>
                <w:sz w:val="14"/>
                <w:szCs w:val="14"/>
                <w:color w:val="auto"/>
              </w:rPr>
            </w:pPr>
          </w:p>
        </w:tc>
        <w:tc>
          <w:tcPr>
            <w:tcW w:w="1340" w:type="dxa"/>
            <w:vAlign w:val="bottom"/>
            <w:shd w:val="clear" w:color="auto" w:fill="3F000B"/>
          </w:tcPr>
          <w:p>
            <w:pPr>
              <w:jc w:val="center"/>
              <w:ind w:left="308"/>
              <w:spacing w:after="0"/>
              <w:rPr>
                <w:sz w:val="20"/>
                <w:szCs w:val="20"/>
                <w:color w:val="auto"/>
              </w:rPr>
            </w:pPr>
            <w:r>
              <w:rPr>
                <w:rFonts w:ascii="Arial" w:cs="Arial" w:eastAsia="Arial" w:hAnsi="Arial"/>
                <w:sz w:val="14"/>
                <w:szCs w:val="14"/>
                <w:b w:val="1"/>
                <w:bCs w:val="1"/>
                <w:color w:val="FFFFFF"/>
                <w:w w:val="97"/>
              </w:rPr>
              <w:t>Deferred</w:t>
            </w:r>
          </w:p>
        </w:tc>
        <w:tc>
          <w:tcPr>
            <w:tcW w:w="400" w:type="dxa"/>
            <w:vAlign w:val="bottom"/>
            <w:tcBorders>
              <w:right w:val="single" w:sz="8" w:color="DADADA"/>
            </w:tcBorders>
            <w:shd w:val="clear" w:color="auto" w:fill="3F000B"/>
          </w:tcPr>
          <w:p>
            <w:pPr>
              <w:spacing w:after="0"/>
              <w:rPr>
                <w:sz w:val="14"/>
                <w:szCs w:val="14"/>
                <w:color w:val="auto"/>
              </w:rPr>
            </w:pPr>
          </w:p>
        </w:tc>
        <w:tc>
          <w:tcPr>
            <w:tcW w:w="2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3"/>
              </w:rPr>
              <w:t>Common Stock</w:t>
            </w:r>
          </w:p>
        </w:tc>
        <w:tc>
          <w:tcPr>
            <w:tcW w:w="1740" w:type="dxa"/>
            <w:vAlign w:val="bottom"/>
            <w:tcBorders>
              <w:right w:val="single" w:sz="8" w:color="DADADA"/>
            </w:tcBorders>
            <w:shd w:val="clear" w:color="auto" w:fill="3F000B"/>
          </w:tcPr>
          <w:p>
            <w:pPr>
              <w:spacing w:after="0"/>
              <w:rPr>
                <w:sz w:val="14"/>
                <w:szCs w:val="14"/>
                <w:color w:val="auto"/>
              </w:rPr>
            </w:pPr>
          </w:p>
        </w:tc>
        <w:tc>
          <w:tcPr>
            <w:tcW w:w="17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1"/>
              </w:rPr>
              <w:t>Value of</w:t>
            </w:r>
          </w:p>
        </w:tc>
      </w:tr>
      <w:tr>
        <w:trPr>
          <w:trHeight w:val="162"/>
        </w:trPr>
        <w:tc>
          <w:tcPr>
            <w:tcW w:w="3140" w:type="dxa"/>
            <w:vAlign w:val="bottom"/>
            <w:tcBorders>
              <w:left w:val="single" w:sz="8" w:color="3F000B"/>
              <w:right w:val="single" w:sz="8" w:color="DADADA"/>
            </w:tcBorders>
            <w:shd w:val="clear" w:color="auto" w:fill="3F000B"/>
          </w:tcPr>
          <w:p>
            <w:pPr>
              <w:spacing w:after="0"/>
              <w:rPr>
                <w:sz w:val="14"/>
                <w:szCs w:val="14"/>
                <w:color w:val="auto"/>
              </w:rPr>
            </w:pPr>
          </w:p>
        </w:tc>
        <w:tc>
          <w:tcPr>
            <w:tcW w:w="1340" w:type="dxa"/>
            <w:vAlign w:val="bottom"/>
            <w:shd w:val="clear" w:color="auto" w:fill="3F000B"/>
          </w:tcPr>
          <w:p>
            <w:pPr>
              <w:jc w:val="center"/>
              <w:ind w:left="308"/>
              <w:spacing w:after="0"/>
              <w:rPr>
                <w:sz w:val="20"/>
                <w:szCs w:val="20"/>
                <w:color w:val="auto"/>
              </w:rPr>
            </w:pPr>
            <w:r>
              <w:rPr>
                <w:rFonts w:ascii="Arial" w:cs="Arial" w:eastAsia="Arial" w:hAnsi="Arial"/>
                <w:sz w:val="14"/>
                <w:szCs w:val="14"/>
                <w:b w:val="1"/>
                <w:bCs w:val="1"/>
                <w:color w:val="FFFFFF"/>
                <w:w w:val="93"/>
              </w:rPr>
              <w:t>Common Stock</w:t>
            </w:r>
          </w:p>
        </w:tc>
        <w:tc>
          <w:tcPr>
            <w:tcW w:w="400" w:type="dxa"/>
            <w:vAlign w:val="bottom"/>
            <w:tcBorders>
              <w:right w:val="single" w:sz="8" w:color="DADADA"/>
            </w:tcBorders>
            <w:shd w:val="clear" w:color="auto" w:fill="3F000B"/>
          </w:tcPr>
          <w:p>
            <w:pPr>
              <w:spacing w:after="0"/>
              <w:rPr>
                <w:sz w:val="14"/>
                <w:szCs w:val="14"/>
                <w:color w:val="auto"/>
              </w:rPr>
            </w:pPr>
          </w:p>
        </w:tc>
        <w:tc>
          <w:tcPr>
            <w:tcW w:w="2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89"/>
              </w:rPr>
              <w:t>Units as of</w:t>
            </w:r>
          </w:p>
        </w:tc>
        <w:tc>
          <w:tcPr>
            <w:tcW w:w="17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4"/>
              </w:rPr>
              <w:t>Number of</w:t>
            </w:r>
          </w:p>
        </w:tc>
        <w:tc>
          <w:tcPr>
            <w:tcW w:w="17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89"/>
              </w:rPr>
              <w:t>RSUs as of</w:t>
            </w:r>
          </w:p>
        </w:tc>
      </w:tr>
      <w:tr>
        <w:trPr>
          <w:trHeight w:val="162"/>
        </w:trPr>
        <w:tc>
          <w:tcPr>
            <w:tcW w:w="3140" w:type="dxa"/>
            <w:vAlign w:val="bottom"/>
            <w:tcBorders>
              <w:left w:val="single" w:sz="8" w:color="3F000B"/>
              <w:right w:val="single" w:sz="8" w:color="DADADA"/>
            </w:tcBorders>
            <w:shd w:val="clear" w:color="auto" w:fill="3F000B"/>
          </w:tcPr>
          <w:p>
            <w:pPr>
              <w:spacing w:after="0"/>
              <w:rPr>
                <w:sz w:val="14"/>
                <w:szCs w:val="14"/>
                <w:color w:val="auto"/>
              </w:rPr>
            </w:pPr>
          </w:p>
        </w:tc>
        <w:tc>
          <w:tcPr>
            <w:tcW w:w="1340" w:type="dxa"/>
            <w:vAlign w:val="bottom"/>
            <w:shd w:val="clear" w:color="auto" w:fill="3F000B"/>
          </w:tcPr>
          <w:p>
            <w:pPr>
              <w:jc w:val="center"/>
              <w:ind w:left="308"/>
              <w:spacing w:after="0"/>
              <w:rPr>
                <w:sz w:val="20"/>
                <w:szCs w:val="20"/>
                <w:color w:val="auto"/>
              </w:rPr>
            </w:pPr>
            <w:r>
              <w:rPr>
                <w:rFonts w:ascii="Arial" w:cs="Arial" w:eastAsia="Arial" w:hAnsi="Arial"/>
                <w:sz w:val="14"/>
                <w:szCs w:val="14"/>
                <w:b w:val="1"/>
                <w:bCs w:val="1"/>
                <w:color w:val="FFFFFF"/>
                <w:w w:val="91"/>
              </w:rPr>
              <w:t>Units</w:t>
            </w:r>
          </w:p>
        </w:tc>
        <w:tc>
          <w:tcPr>
            <w:tcW w:w="400" w:type="dxa"/>
            <w:vAlign w:val="bottom"/>
            <w:tcBorders>
              <w:right w:val="single" w:sz="8" w:color="DADADA"/>
            </w:tcBorders>
            <w:shd w:val="clear" w:color="auto" w:fill="3F000B"/>
          </w:tcPr>
          <w:p>
            <w:pPr>
              <w:spacing w:after="0"/>
              <w:rPr>
                <w:sz w:val="14"/>
                <w:szCs w:val="14"/>
                <w:color w:val="auto"/>
              </w:rPr>
            </w:pPr>
          </w:p>
        </w:tc>
        <w:tc>
          <w:tcPr>
            <w:tcW w:w="2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1"/>
              </w:rPr>
              <w:t>December 31, 2020</w:t>
            </w:r>
          </w:p>
        </w:tc>
        <w:tc>
          <w:tcPr>
            <w:tcW w:w="17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0"/>
              </w:rPr>
              <w:t>RSUs</w:t>
            </w:r>
          </w:p>
        </w:tc>
        <w:tc>
          <w:tcPr>
            <w:tcW w:w="17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1"/>
              </w:rPr>
              <w:t>December 31, 2020</w:t>
            </w:r>
          </w:p>
        </w:tc>
      </w:tr>
      <w:tr>
        <w:trPr>
          <w:trHeight w:val="205"/>
        </w:trPr>
        <w:tc>
          <w:tcPr>
            <w:tcW w:w="3140" w:type="dxa"/>
            <w:vAlign w:val="bottom"/>
            <w:tcBorders>
              <w:left w:val="single" w:sz="8" w:color="3F000B"/>
              <w:bottom w:val="single" w:sz="8" w:color="3F000B"/>
              <w:right w:val="single" w:sz="8" w:color="DADADA"/>
            </w:tcBorders>
            <w:shd w:val="clear" w:color="auto" w:fill="3F000B"/>
          </w:tcPr>
          <w:p>
            <w:pPr>
              <w:ind w:left="1380"/>
              <w:spacing w:after="0"/>
              <w:rPr>
                <w:sz w:val="20"/>
                <w:szCs w:val="20"/>
                <w:color w:val="auto"/>
              </w:rPr>
            </w:pPr>
            <w:r>
              <w:rPr>
                <w:rFonts w:ascii="Arial" w:cs="Arial" w:eastAsia="Arial" w:hAnsi="Arial"/>
                <w:sz w:val="14"/>
                <w:szCs w:val="14"/>
                <w:b w:val="1"/>
                <w:bCs w:val="1"/>
                <w:color w:val="FFFFFF"/>
              </w:rPr>
              <w:t>Name</w:t>
            </w:r>
          </w:p>
        </w:tc>
        <w:tc>
          <w:tcPr>
            <w:tcW w:w="1340" w:type="dxa"/>
            <w:vAlign w:val="bottom"/>
            <w:tcBorders>
              <w:bottom w:val="single" w:sz="8" w:color="3F000B"/>
            </w:tcBorders>
            <w:shd w:val="clear" w:color="auto" w:fill="3F000B"/>
          </w:tcPr>
          <w:p>
            <w:pPr>
              <w:jc w:val="center"/>
              <w:ind w:left="308"/>
              <w:spacing w:after="0"/>
              <w:rPr>
                <w:sz w:val="20"/>
                <w:szCs w:val="20"/>
                <w:color w:val="auto"/>
              </w:rPr>
            </w:pPr>
            <w:r>
              <w:rPr>
                <w:rFonts w:ascii="Arial" w:cs="Arial" w:eastAsia="Arial" w:hAnsi="Arial"/>
                <w:sz w:val="14"/>
                <w:szCs w:val="14"/>
                <w:b w:val="1"/>
                <w:bCs w:val="1"/>
                <w:color w:val="FFFFFF"/>
                <w:w w:val="93"/>
              </w:rPr>
              <w:t>(#)</w:t>
            </w:r>
          </w:p>
        </w:tc>
        <w:tc>
          <w:tcPr>
            <w:tcW w:w="400" w:type="dxa"/>
            <w:vAlign w:val="bottom"/>
            <w:tcBorders>
              <w:bottom w:val="single" w:sz="8" w:color="3F000B"/>
              <w:right w:val="single" w:sz="8" w:color="DADADA"/>
            </w:tcBorders>
            <w:shd w:val="clear" w:color="auto" w:fill="3F000B"/>
          </w:tcPr>
          <w:p>
            <w:pPr>
              <w:spacing w:after="0"/>
              <w:rPr>
                <w:sz w:val="17"/>
                <w:szCs w:val="17"/>
                <w:color w:val="auto"/>
              </w:rPr>
            </w:pPr>
          </w:p>
        </w:tc>
        <w:tc>
          <w:tcPr>
            <w:tcW w:w="20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rPr>
              <w:t>($)</w:t>
            </w:r>
          </w:p>
        </w:tc>
        <w:tc>
          <w:tcPr>
            <w:tcW w:w="17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4"/>
                <w:szCs w:val="14"/>
                <w:b w:val="1"/>
                <w:bCs w:val="1"/>
                <w:color w:val="FFFFFF"/>
              </w:rPr>
              <w:t>(#)</w:t>
            </w:r>
          </w:p>
        </w:tc>
        <w:tc>
          <w:tcPr>
            <w:tcW w:w="174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rPr>
              <w:t>($)</w:t>
            </w:r>
          </w:p>
        </w:tc>
      </w:tr>
      <w:tr>
        <w:trPr>
          <w:trHeight w:val="190"/>
        </w:trPr>
        <w:tc>
          <w:tcPr>
            <w:tcW w:w="31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Pamela M. Arway</w:t>
            </w:r>
          </w:p>
        </w:tc>
        <w:tc>
          <w:tcPr>
            <w:tcW w:w="1340" w:type="dxa"/>
            <w:vAlign w:val="bottom"/>
          </w:tcPr>
          <w:p>
            <w:pPr>
              <w:spacing w:after="0"/>
              <w:rPr>
                <w:sz w:val="16"/>
                <w:szCs w:val="16"/>
                <w:color w:val="auto"/>
              </w:rPr>
            </w:pPr>
          </w:p>
        </w:tc>
        <w:tc>
          <w:tcPr>
            <w:tcW w:w="4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180,206</w:t>
            </w:r>
          </w:p>
        </w:tc>
      </w:tr>
      <w:tr>
        <w:trPr>
          <w:trHeight w:val="26"/>
        </w:trPr>
        <w:tc>
          <w:tcPr>
            <w:tcW w:w="3140" w:type="dxa"/>
            <w:vAlign w:val="bottom"/>
            <w:tcBorders>
              <w:left w:val="single" w:sz="8" w:color="3F000B"/>
              <w:right w:val="single" w:sz="8" w:color="3F000B"/>
            </w:tcBorders>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Borders>
              <w:right w:val="single" w:sz="8" w:color="3F000B"/>
            </w:tcBorders>
          </w:tcPr>
          <w:p>
            <w:pPr>
              <w:spacing w:after="0"/>
              <w:rPr>
                <w:sz w:val="2"/>
                <w:szCs w:val="2"/>
                <w:color w:val="auto"/>
              </w:rPr>
            </w:pPr>
          </w:p>
        </w:tc>
        <w:tc>
          <w:tcPr>
            <w:tcW w:w="206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r>
      <w:tr>
        <w:trPr>
          <w:trHeight w:val="196"/>
        </w:trPr>
        <w:tc>
          <w:tcPr>
            <w:tcW w:w="314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James W. Brown</w:t>
            </w:r>
          </w:p>
        </w:tc>
        <w:tc>
          <w:tcPr>
            <w:tcW w:w="1340" w:type="dxa"/>
            <w:vAlign w:val="bottom"/>
            <w:tcBorders>
              <w:bottom w:val="single" w:sz="8" w:color="DADADA"/>
            </w:tcBorders>
            <w:shd w:val="clear" w:color="auto" w:fill="DADADA"/>
          </w:tcPr>
          <w:p>
            <w:pPr>
              <w:spacing w:after="0"/>
              <w:rPr>
                <w:sz w:val="17"/>
                <w:szCs w:val="17"/>
                <w:color w:val="auto"/>
              </w:rPr>
            </w:pPr>
          </w:p>
        </w:tc>
        <w:tc>
          <w:tcPr>
            <w:tcW w:w="4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w w:val="85"/>
              </w:rPr>
              <w:t>3,910</w:t>
            </w:r>
          </w:p>
        </w:tc>
        <w:tc>
          <w:tcPr>
            <w:tcW w:w="20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595,610</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180,206</w:t>
            </w:r>
          </w:p>
        </w:tc>
      </w:tr>
      <w:tr>
        <w:trPr>
          <w:trHeight w:val="191"/>
        </w:trPr>
        <w:tc>
          <w:tcPr>
            <w:tcW w:w="31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Victor L. Crawford</w:t>
            </w:r>
          </w:p>
        </w:tc>
        <w:tc>
          <w:tcPr>
            <w:tcW w:w="1340" w:type="dxa"/>
            <w:vAlign w:val="bottom"/>
          </w:tcPr>
          <w:p>
            <w:pPr>
              <w:spacing w:after="0"/>
              <w:rPr>
                <w:sz w:val="16"/>
                <w:szCs w:val="16"/>
                <w:color w:val="auto"/>
              </w:rPr>
            </w:pPr>
          </w:p>
        </w:tc>
        <w:tc>
          <w:tcPr>
            <w:tcW w:w="4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767</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116,837</w:t>
            </w:r>
          </w:p>
        </w:tc>
      </w:tr>
      <w:tr>
        <w:trPr>
          <w:trHeight w:val="26"/>
        </w:trPr>
        <w:tc>
          <w:tcPr>
            <w:tcW w:w="3140" w:type="dxa"/>
            <w:vAlign w:val="bottom"/>
            <w:tcBorders>
              <w:left w:val="single" w:sz="8" w:color="3F000B"/>
              <w:right w:val="single" w:sz="8" w:color="3F000B"/>
            </w:tcBorders>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Borders>
              <w:right w:val="single" w:sz="8" w:color="3F000B"/>
            </w:tcBorders>
          </w:tcPr>
          <w:p>
            <w:pPr>
              <w:spacing w:after="0"/>
              <w:rPr>
                <w:sz w:val="2"/>
                <w:szCs w:val="2"/>
                <w:color w:val="auto"/>
              </w:rPr>
            </w:pPr>
          </w:p>
        </w:tc>
        <w:tc>
          <w:tcPr>
            <w:tcW w:w="206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r>
      <w:tr>
        <w:trPr>
          <w:trHeight w:val="196"/>
        </w:trPr>
        <w:tc>
          <w:tcPr>
            <w:tcW w:w="314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Charles A. Davis</w:t>
            </w:r>
          </w:p>
        </w:tc>
        <w:tc>
          <w:tcPr>
            <w:tcW w:w="1340" w:type="dxa"/>
            <w:vAlign w:val="bottom"/>
            <w:tcBorders>
              <w:bottom w:val="single" w:sz="8" w:color="DADADA"/>
            </w:tcBorders>
            <w:shd w:val="clear" w:color="auto" w:fill="DADADA"/>
          </w:tcPr>
          <w:p>
            <w:pPr>
              <w:spacing w:after="0"/>
              <w:rPr>
                <w:sz w:val="17"/>
                <w:szCs w:val="17"/>
                <w:color w:val="auto"/>
              </w:rPr>
            </w:pPr>
          </w:p>
        </w:tc>
        <w:tc>
          <w:tcPr>
            <w:tcW w:w="4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180,206</w:t>
            </w:r>
          </w:p>
        </w:tc>
      </w:tr>
      <w:tr>
        <w:trPr>
          <w:trHeight w:val="190"/>
        </w:trPr>
        <w:tc>
          <w:tcPr>
            <w:tcW w:w="31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Robert M. Dutkowsky</w:t>
            </w:r>
          </w:p>
        </w:tc>
        <w:tc>
          <w:tcPr>
            <w:tcW w:w="1340" w:type="dxa"/>
            <w:vAlign w:val="bottom"/>
          </w:tcPr>
          <w:p>
            <w:pPr>
              <w:spacing w:after="0"/>
              <w:rPr>
                <w:sz w:val="16"/>
                <w:szCs w:val="16"/>
                <w:color w:val="auto"/>
              </w:rPr>
            </w:pPr>
          </w:p>
        </w:tc>
        <w:tc>
          <w:tcPr>
            <w:tcW w:w="4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397</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60,475</w:t>
            </w:r>
          </w:p>
        </w:tc>
      </w:tr>
      <w:tr>
        <w:trPr>
          <w:trHeight w:val="26"/>
        </w:trPr>
        <w:tc>
          <w:tcPr>
            <w:tcW w:w="3140" w:type="dxa"/>
            <w:vAlign w:val="bottom"/>
            <w:tcBorders>
              <w:left w:val="single" w:sz="8" w:color="3F000B"/>
              <w:right w:val="single" w:sz="8" w:color="3F000B"/>
            </w:tcBorders>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Borders>
              <w:right w:val="single" w:sz="8" w:color="3F000B"/>
            </w:tcBorders>
          </w:tcPr>
          <w:p>
            <w:pPr>
              <w:spacing w:after="0"/>
              <w:rPr>
                <w:sz w:val="2"/>
                <w:szCs w:val="2"/>
                <w:color w:val="auto"/>
              </w:rPr>
            </w:pPr>
          </w:p>
        </w:tc>
        <w:tc>
          <w:tcPr>
            <w:tcW w:w="206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r>
      <w:tr>
        <w:trPr>
          <w:trHeight w:val="196"/>
        </w:trPr>
        <w:tc>
          <w:tcPr>
            <w:tcW w:w="314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Mary Kay Haben</w:t>
            </w:r>
          </w:p>
        </w:tc>
        <w:tc>
          <w:tcPr>
            <w:tcW w:w="1340" w:type="dxa"/>
            <w:vAlign w:val="bottom"/>
            <w:tcBorders>
              <w:bottom w:val="single" w:sz="8" w:color="DADADA"/>
            </w:tcBorders>
            <w:shd w:val="clear" w:color="auto" w:fill="DADADA"/>
          </w:tcPr>
          <w:p>
            <w:pPr>
              <w:spacing w:after="0"/>
              <w:rPr>
                <w:sz w:val="17"/>
                <w:szCs w:val="17"/>
                <w:color w:val="auto"/>
              </w:rPr>
            </w:pPr>
          </w:p>
        </w:tc>
        <w:tc>
          <w:tcPr>
            <w:tcW w:w="4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w w:val="85"/>
              </w:rPr>
              <w:t>9,865</w:t>
            </w:r>
          </w:p>
        </w:tc>
        <w:tc>
          <w:tcPr>
            <w:tcW w:w="20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1,502,735</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180,206</w:t>
            </w:r>
          </w:p>
        </w:tc>
      </w:tr>
      <w:tr>
        <w:trPr>
          <w:trHeight w:val="190"/>
        </w:trPr>
        <w:tc>
          <w:tcPr>
            <w:tcW w:w="31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James C. Katzman</w:t>
            </w:r>
          </w:p>
        </w:tc>
        <w:tc>
          <w:tcPr>
            <w:tcW w:w="1340" w:type="dxa"/>
            <w:vAlign w:val="bottom"/>
          </w:tcPr>
          <w:p>
            <w:pPr>
              <w:spacing w:after="0"/>
              <w:rPr>
                <w:sz w:val="16"/>
                <w:szCs w:val="16"/>
                <w:color w:val="auto"/>
              </w:rPr>
            </w:pPr>
          </w:p>
        </w:tc>
        <w:tc>
          <w:tcPr>
            <w:tcW w:w="4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w w:val="85"/>
              </w:rPr>
              <w:t>4,653</w:t>
            </w:r>
          </w:p>
        </w:tc>
        <w:tc>
          <w:tcPr>
            <w:tcW w:w="20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708,791</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180,206</w:t>
            </w:r>
          </w:p>
        </w:tc>
      </w:tr>
      <w:tr>
        <w:trPr>
          <w:trHeight w:val="26"/>
        </w:trPr>
        <w:tc>
          <w:tcPr>
            <w:tcW w:w="3140" w:type="dxa"/>
            <w:vAlign w:val="bottom"/>
            <w:tcBorders>
              <w:left w:val="single" w:sz="8" w:color="3F000B"/>
              <w:right w:val="single" w:sz="8" w:color="3F000B"/>
            </w:tcBorders>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Borders>
              <w:right w:val="single" w:sz="8" w:color="3F000B"/>
            </w:tcBorders>
          </w:tcPr>
          <w:p>
            <w:pPr>
              <w:spacing w:after="0"/>
              <w:rPr>
                <w:sz w:val="2"/>
                <w:szCs w:val="2"/>
                <w:color w:val="auto"/>
              </w:rPr>
            </w:pPr>
          </w:p>
        </w:tc>
        <w:tc>
          <w:tcPr>
            <w:tcW w:w="206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r>
      <w:tr>
        <w:trPr>
          <w:trHeight w:val="196"/>
        </w:trPr>
        <w:tc>
          <w:tcPr>
            <w:tcW w:w="314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 Diane Koken</w:t>
            </w:r>
          </w:p>
        </w:tc>
        <w:tc>
          <w:tcPr>
            <w:tcW w:w="1340" w:type="dxa"/>
            <w:vAlign w:val="bottom"/>
            <w:tcBorders>
              <w:bottom w:val="single" w:sz="8" w:color="DADADA"/>
            </w:tcBorders>
            <w:shd w:val="clear" w:color="auto" w:fill="DADADA"/>
          </w:tcPr>
          <w:p>
            <w:pPr>
              <w:spacing w:after="0"/>
              <w:rPr>
                <w:sz w:val="17"/>
                <w:szCs w:val="17"/>
                <w:color w:val="auto"/>
              </w:rPr>
            </w:pPr>
          </w:p>
        </w:tc>
        <w:tc>
          <w:tcPr>
            <w:tcW w:w="4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w w:val="85"/>
              </w:rPr>
              <w:t>3,910</w:t>
            </w:r>
          </w:p>
        </w:tc>
        <w:tc>
          <w:tcPr>
            <w:tcW w:w="20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595,610</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180,206</w:t>
            </w:r>
          </w:p>
        </w:tc>
      </w:tr>
      <w:tr>
        <w:trPr>
          <w:trHeight w:val="190"/>
        </w:trPr>
        <w:tc>
          <w:tcPr>
            <w:tcW w:w="31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Robert M. Malcolm</w:t>
            </w:r>
          </w:p>
        </w:tc>
        <w:tc>
          <w:tcPr>
            <w:tcW w:w="1340" w:type="dxa"/>
            <w:vAlign w:val="bottom"/>
          </w:tcPr>
          <w:p>
            <w:pPr>
              <w:spacing w:after="0"/>
              <w:rPr>
                <w:sz w:val="16"/>
                <w:szCs w:val="16"/>
                <w:color w:val="auto"/>
              </w:rPr>
            </w:pPr>
          </w:p>
        </w:tc>
        <w:tc>
          <w:tcPr>
            <w:tcW w:w="4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180,206</w:t>
            </w:r>
          </w:p>
        </w:tc>
      </w:tr>
      <w:tr>
        <w:trPr>
          <w:trHeight w:val="26"/>
        </w:trPr>
        <w:tc>
          <w:tcPr>
            <w:tcW w:w="3140" w:type="dxa"/>
            <w:vAlign w:val="bottom"/>
            <w:tcBorders>
              <w:left w:val="single" w:sz="8" w:color="3F000B"/>
              <w:right w:val="single" w:sz="8" w:color="3F000B"/>
            </w:tcBorders>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Borders>
              <w:right w:val="single" w:sz="8" w:color="3F000B"/>
            </w:tcBorders>
          </w:tcPr>
          <w:p>
            <w:pPr>
              <w:spacing w:after="0"/>
              <w:rPr>
                <w:sz w:val="2"/>
                <w:szCs w:val="2"/>
                <w:color w:val="auto"/>
              </w:rPr>
            </w:pPr>
          </w:p>
        </w:tc>
        <w:tc>
          <w:tcPr>
            <w:tcW w:w="206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r>
      <w:tr>
        <w:trPr>
          <w:trHeight w:val="196"/>
        </w:trPr>
        <w:tc>
          <w:tcPr>
            <w:tcW w:w="314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Anthony J. Palmer</w:t>
            </w:r>
          </w:p>
        </w:tc>
        <w:tc>
          <w:tcPr>
            <w:tcW w:w="1340" w:type="dxa"/>
            <w:vAlign w:val="bottom"/>
            <w:tcBorders>
              <w:bottom w:val="single" w:sz="8" w:color="DADADA"/>
            </w:tcBorders>
            <w:shd w:val="clear" w:color="auto" w:fill="DADADA"/>
          </w:tcPr>
          <w:p>
            <w:pPr>
              <w:spacing w:after="0"/>
              <w:rPr>
                <w:sz w:val="17"/>
                <w:szCs w:val="17"/>
                <w:color w:val="auto"/>
              </w:rPr>
            </w:pPr>
          </w:p>
        </w:tc>
        <w:tc>
          <w:tcPr>
            <w:tcW w:w="4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180,206</w:t>
            </w:r>
          </w:p>
        </w:tc>
      </w:tr>
      <w:tr>
        <w:trPr>
          <w:trHeight w:val="190"/>
        </w:trPr>
        <w:tc>
          <w:tcPr>
            <w:tcW w:w="31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Juan R. Perez</w:t>
            </w:r>
          </w:p>
        </w:tc>
        <w:tc>
          <w:tcPr>
            <w:tcW w:w="1340" w:type="dxa"/>
            <w:vAlign w:val="bottom"/>
          </w:tcPr>
          <w:p>
            <w:pPr>
              <w:spacing w:after="0"/>
              <w:rPr>
                <w:sz w:val="16"/>
                <w:szCs w:val="16"/>
                <w:color w:val="auto"/>
              </w:rPr>
            </w:pPr>
          </w:p>
        </w:tc>
        <w:tc>
          <w:tcPr>
            <w:tcW w:w="4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180,206</w:t>
            </w:r>
          </w:p>
        </w:tc>
      </w:tr>
      <w:tr>
        <w:trPr>
          <w:trHeight w:val="26"/>
        </w:trPr>
        <w:tc>
          <w:tcPr>
            <w:tcW w:w="3140" w:type="dxa"/>
            <w:vAlign w:val="bottom"/>
            <w:tcBorders>
              <w:left w:val="single" w:sz="8" w:color="3F000B"/>
              <w:right w:val="single" w:sz="8" w:color="3F000B"/>
            </w:tcBorders>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Borders>
              <w:right w:val="single" w:sz="8" w:color="3F000B"/>
            </w:tcBorders>
          </w:tcPr>
          <w:p>
            <w:pPr>
              <w:spacing w:after="0"/>
              <w:rPr>
                <w:sz w:val="2"/>
                <w:szCs w:val="2"/>
                <w:color w:val="auto"/>
              </w:rPr>
            </w:pPr>
          </w:p>
        </w:tc>
        <w:tc>
          <w:tcPr>
            <w:tcW w:w="206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c>
          <w:tcPr>
            <w:tcW w:w="1740" w:type="dxa"/>
            <w:vAlign w:val="bottom"/>
            <w:tcBorders>
              <w:right w:val="single" w:sz="8" w:color="3F000B"/>
            </w:tcBorders>
          </w:tcPr>
          <w:p>
            <w:pPr>
              <w:spacing w:after="0"/>
              <w:rPr>
                <w:sz w:val="2"/>
                <w:szCs w:val="2"/>
                <w:color w:val="auto"/>
              </w:rPr>
            </w:pPr>
          </w:p>
        </w:tc>
      </w:tr>
      <w:tr>
        <w:trPr>
          <w:trHeight w:val="196"/>
        </w:trPr>
        <w:tc>
          <w:tcPr>
            <w:tcW w:w="314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Wendy L. Schoppert</w:t>
            </w:r>
          </w:p>
        </w:tc>
        <w:tc>
          <w:tcPr>
            <w:tcW w:w="1340" w:type="dxa"/>
            <w:vAlign w:val="bottom"/>
            <w:tcBorders>
              <w:bottom w:val="single" w:sz="8" w:color="DADADA"/>
            </w:tcBorders>
            <w:shd w:val="clear" w:color="auto" w:fill="DADADA"/>
          </w:tcPr>
          <w:p>
            <w:pPr>
              <w:spacing w:after="0"/>
              <w:rPr>
                <w:sz w:val="17"/>
                <w:szCs w:val="17"/>
                <w:color w:val="auto"/>
              </w:rPr>
            </w:pPr>
          </w:p>
        </w:tc>
        <w:tc>
          <w:tcPr>
            <w:tcW w:w="4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w w:val="85"/>
              </w:rPr>
              <w:t>3,023</w:t>
            </w:r>
          </w:p>
        </w:tc>
        <w:tc>
          <w:tcPr>
            <w:tcW w:w="20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460,494</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180,206</w:t>
            </w:r>
          </w:p>
        </w:tc>
      </w:tr>
      <w:tr>
        <w:trPr>
          <w:trHeight w:val="190"/>
        </w:trPr>
        <w:tc>
          <w:tcPr>
            <w:tcW w:w="31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David L. Shedlarz</w:t>
            </w:r>
          </w:p>
        </w:tc>
        <w:tc>
          <w:tcPr>
            <w:tcW w:w="1340" w:type="dxa"/>
            <w:vAlign w:val="bottom"/>
          </w:tcPr>
          <w:p>
            <w:pPr>
              <w:spacing w:after="0"/>
              <w:rPr>
                <w:sz w:val="16"/>
                <w:szCs w:val="16"/>
                <w:color w:val="auto"/>
              </w:rPr>
            </w:pPr>
          </w:p>
        </w:tc>
        <w:tc>
          <w:tcPr>
            <w:tcW w:w="4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20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1,183</w:t>
            </w:r>
          </w:p>
        </w:tc>
        <w:tc>
          <w:tcPr>
            <w:tcW w:w="17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180,206</w:t>
            </w:r>
          </w:p>
        </w:tc>
      </w:tr>
      <w:tr>
        <w:trPr>
          <w:trHeight w:val="26"/>
        </w:trPr>
        <w:tc>
          <w:tcPr>
            <w:tcW w:w="3140" w:type="dxa"/>
            <w:vAlign w:val="bottom"/>
            <w:tcBorders>
              <w:left w:val="single" w:sz="8" w:color="3F000B"/>
              <w:bottom w:val="single" w:sz="8" w:color="3F000B"/>
              <w:right w:val="single" w:sz="8" w:color="3F000B"/>
            </w:tcBorders>
          </w:tcPr>
          <w:p>
            <w:pPr>
              <w:spacing w:after="0"/>
              <w:rPr>
                <w:sz w:val="2"/>
                <w:szCs w:val="2"/>
                <w:color w:val="auto"/>
              </w:rPr>
            </w:pPr>
          </w:p>
        </w:tc>
        <w:tc>
          <w:tcPr>
            <w:tcW w:w="1340" w:type="dxa"/>
            <w:vAlign w:val="bottom"/>
            <w:tcBorders>
              <w:bottom w:val="single" w:sz="8" w:color="3F000B"/>
            </w:tcBorders>
          </w:tcPr>
          <w:p>
            <w:pPr>
              <w:spacing w:after="0"/>
              <w:rPr>
                <w:sz w:val="2"/>
                <w:szCs w:val="2"/>
                <w:color w:val="auto"/>
              </w:rPr>
            </w:pPr>
          </w:p>
        </w:tc>
        <w:tc>
          <w:tcPr>
            <w:tcW w:w="400" w:type="dxa"/>
            <w:vAlign w:val="bottom"/>
            <w:tcBorders>
              <w:bottom w:val="single" w:sz="8" w:color="3F000B"/>
              <w:right w:val="single" w:sz="8" w:color="3F000B"/>
            </w:tcBorders>
          </w:tcPr>
          <w:p>
            <w:pPr>
              <w:spacing w:after="0"/>
              <w:rPr>
                <w:sz w:val="2"/>
                <w:szCs w:val="2"/>
                <w:color w:val="auto"/>
              </w:rPr>
            </w:pPr>
          </w:p>
        </w:tc>
        <w:tc>
          <w:tcPr>
            <w:tcW w:w="2060" w:type="dxa"/>
            <w:vAlign w:val="bottom"/>
            <w:tcBorders>
              <w:bottom w:val="single" w:sz="8" w:color="3F000B"/>
              <w:right w:val="single" w:sz="8" w:color="3F000B"/>
            </w:tcBorders>
          </w:tcPr>
          <w:p>
            <w:pPr>
              <w:spacing w:after="0"/>
              <w:rPr>
                <w:sz w:val="2"/>
                <w:szCs w:val="2"/>
                <w:color w:val="auto"/>
              </w:rPr>
            </w:pPr>
          </w:p>
        </w:tc>
        <w:tc>
          <w:tcPr>
            <w:tcW w:w="1740" w:type="dxa"/>
            <w:vAlign w:val="bottom"/>
            <w:tcBorders>
              <w:bottom w:val="single" w:sz="8" w:color="3F000B"/>
              <w:right w:val="single" w:sz="8" w:color="3F000B"/>
            </w:tcBorders>
          </w:tcPr>
          <w:p>
            <w:pPr>
              <w:spacing w:after="0"/>
              <w:rPr>
                <w:sz w:val="2"/>
                <w:szCs w:val="2"/>
                <w:color w:val="auto"/>
              </w:rPr>
            </w:pPr>
          </w:p>
        </w:tc>
        <w:tc>
          <w:tcPr>
            <w:tcW w:w="1740" w:type="dxa"/>
            <w:vAlign w:val="bottom"/>
            <w:tcBorders>
              <w:bottom w:val="single" w:sz="8" w:color="3F000B"/>
              <w:right w:val="single" w:sz="8" w:color="3F000B"/>
            </w:tcBorders>
          </w:tcPr>
          <w:p>
            <w:pPr>
              <w:spacing w:after="0"/>
              <w:rPr>
                <w:sz w:val="2"/>
                <w:szCs w:val="2"/>
                <w:color w:val="auto"/>
              </w:rPr>
            </w:pPr>
          </w:p>
        </w:tc>
      </w:tr>
    </w:tbl>
    <w:p>
      <w:pPr>
        <w:spacing w:after="0" w:line="292" w:lineRule="exact"/>
        <w:rPr>
          <w:sz w:val="20"/>
          <w:szCs w:val="20"/>
          <w:color w:val="auto"/>
        </w:rPr>
      </w:pPr>
    </w:p>
    <w:p>
      <w:pPr>
        <w:ind w:left="312" w:hanging="312"/>
        <w:spacing w:after="0"/>
        <w:tabs>
          <w:tab w:leader="none" w:pos="31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Represents the Company match for contributions made by the director to one or more charitable organizations during 2020 under the Gift Matching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12"/>
          </w:cols>
          <w:pgMar w:left="328" w:top="890" w:right="4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5"/>
          <w:szCs w:val="25"/>
          <w:b w:val="1"/>
          <w:bCs w:val="1"/>
          <w:color w:val="3F000B"/>
        </w:rPr>
        <w:t>SHARE OWNERSHIP OF DIRECTORS, MANAGEMENT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3F000B"/>
        </w:rPr>
        <w:t>AND CERTAIN BENEFICIAL OWNERS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the beneficial ownership of our outstanding voting securities and exercisable stock options by:</w:t>
      </w:r>
    </w:p>
    <w:p>
      <w:pPr>
        <w:spacing w:after="0" w:line="140"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Stockholders who we believe owned more than 5% of our outstanding Common Stock or Class B Common Stock, as of March 18, 2021;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directors, director nominees, NEOs and all directors and executive officers as a group, as of March 18, 2021.</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3F000B"/>
              <w:left w:val="single" w:sz="8" w:color="3F000B"/>
              <w:right w:val="single" w:sz="8" w:color="DADADA"/>
            </w:tcBorders>
            <w:shd w:val="clear" w:color="auto" w:fill="3F000B"/>
          </w:tcPr>
          <w:p>
            <w:pPr>
              <w:spacing w:after="0"/>
              <w:rPr>
                <w:sz w:val="18"/>
                <w:szCs w:val="18"/>
                <w:color w:val="auto"/>
              </w:rPr>
            </w:pPr>
          </w:p>
        </w:tc>
        <w:tc>
          <w:tcPr>
            <w:tcW w:w="1440" w:type="dxa"/>
            <w:vAlign w:val="bottom"/>
            <w:tcBorders>
              <w:top w:val="single" w:sz="8" w:color="3F000B"/>
              <w:right w:val="single" w:sz="8" w:color="DADADA"/>
            </w:tcBorders>
            <w:shd w:val="clear" w:color="auto" w:fill="3F000B"/>
          </w:tcPr>
          <w:p>
            <w:pPr>
              <w:spacing w:after="0"/>
              <w:rPr>
                <w:sz w:val="18"/>
                <w:szCs w:val="18"/>
                <w:color w:val="auto"/>
              </w:rPr>
            </w:pPr>
          </w:p>
        </w:tc>
        <w:tc>
          <w:tcPr>
            <w:tcW w:w="1440" w:type="dxa"/>
            <w:vAlign w:val="bottom"/>
            <w:tcBorders>
              <w:top w:val="single" w:sz="8" w:color="3F000B"/>
              <w:right w:val="single" w:sz="8" w:color="DADADA"/>
            </w:tcBorders>
            <w:shd w:val="clear" w:color="auto" w:fill="3F000B"/>
          </w:tcPr>
          <w:p>
            <w:pPr>
              <w:spacing w:after="0"/>
              <w:rPr>
                <w:sz w:val="18"/>
                <w:szCs w:val="18"/>
                <w:color w:val="auto"/>
              </w:rPr>
            </w:pPr>
          </w:p>
        </w:tc>
        <w:tc>
          <w:tcPr>
            <w:tcW w:w="1440" w:type="dxa"/>
            <w:vAlign w:val="bottom"/>
            <w:tcBorders>
              <w:top w:val="single" w:sz="8" w:color="3F000B"/>
              <w:right w:val="single" w:sz="8" w:color="DADADA"/>
            </w:tcBorders>
            <w:shd w:val="clear" w:color="auto" w:fill="3F000B"/>
          </w:tcPr>
          <w:p>
            <w:pPr>
              <w:spacing w:after="0"/>
              <w:rPr>
                <w:sz w:val="18"/>
                <w:szCs w:val="18"/>
                <w:color w:val="auto"/>
              </w:rPr>
            </w:pPr>
          </w:p>
        </w:tc>
        <w:tc>
          <w:tcPr>
            <w:tcW w:w="1440" w:type="dxa"/>
            <w:vAlign w:val="bottom"/>
            <w:tcBorders>
              <w:top w:val="single" w:sz="8" w:color="3F000B"/>
              <w:right w:val="single" w:sz="8" w:color="DADADA"/>
            </w:tcBorders>
            <w:shd w:val="clear" w:color="auto" w:fill="3F000B"/>
          </w:tcPr>
          <w:p>
            <w:pPr>
              <w:spacing w:after="0"/>
              <w:rPr>
                <w:sz w:val="18"/>
                <w:szCs w:val="18"/>
                <w:color w:val="auto"/>
              </w:rPr>
            </w:pPr>
          </w:p>
        </w:tc>
        <w:tc>
          <w:tcPr>
            <w:tcW w:w="146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91"/>
              </w:rPr>
              <w:t>Percent of</w:t>
            </w:r>
          </w:p>
        </w:tc>
        <w:tc>
          <w:tcPr>
            <w:tcW w:w="0" w:type="dxa"/>
            <w:vAlign w:val="bottom"/>
          </w:tcPr>
          <w:p>
            <w:pPr>
              <w:spacing w:after="0"/>
              <w:rPr>
                <w:sz w:val="1"/>
                <w:szCs w:val="1"/>
                <w:color w:val="auto"/>
              </w:rPr>
            </w:pPr>
          </w:p>
        </w:tc>
      </w:tr>
      <w:tr>
        <w:trPr>
          <w:trHeight w:val="189"/>
        </w:trPr>
        <w:tc>
          <w:tcPr>
            <w:tcW w:w="4020" w:type="dxa"/>
            <w:vAlign w:val="bottom"/>
            <w:tcBorders>
              <w:left w:val="single" w:sz="8" w:color="3F000B"/>
              <w:right w:val="single" w:sz="8" w:color="DADADA"/>
            </w:tcBorders>
            <w:shd w:val="clear" w:color="auto" w:fill="3F000B"/>
          </w:tcPr>
          <w:p>
            <w:pPr>
              <w:spacing w:after="0"/>
              <w:rPr>
                <w:sz w:val="16"/>
                <w:szCs w:val="16"/>
                <w:color w:val="auto"/>
              </w:rPr>
            </w:pPr>
          </w:p>
        </w:tc>
        <w:tc>
          <w:tcPr>
            <w:tcW w:w="1440" w:type="dxa"/>
            <w:vAlign w:val="bottom"/>
            <w:tcBorders>
              <w:right w:val="single" w:sz="8" w:color="DADADA"/>
            </w:tcBorders>
            <w:shd w:val="clear" w:color="auto" w:fill="3F000B"/>
          </w:tcPr>
          <w:p>
            <w:pPr>
              <w:spacing w:after="0"/>
              <w:rPr>
                <w:sz w:val="16"/>
                <w:szCs w:val="16"/>
                <w:color w:val="auto"/>
              </w:rPr>
            </w:pP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9"/>
              </w:rPr>
              <w:t>Exercisable</w:t>
            </w: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9"/>
              </w:rPr>
              <w:t>Percent of</w:t>
            </w: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8"/>
              </w:rPr>
              <w:t>Class B</w:t>
            </w:r>
          </w:p>
        </w:tc>
        <w:tc>
          <w:tcPr>
            <w:tcW w:w="14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8"/>
              </w:rPr>
              <w:t>Class B</w:t>
            </w:r>
          </w:p>
        </w:tc>
        <w:tc>
          <w:tcPr>
            <w:tcW w:w="0" w:type="dxa"/>
            <w:vAlign w:val="bottom"/>
          </w:tcPr>
          <w:p>
            <w:pPr>
              <w:spacing w:after="0"/>
              <w:rPr>
                <w:sz w:val="1"/>
                <w:szCs w:val="1"/>
                <w:color w:val="auto"/>
              </w:rPr>
            </w:pPr>
          </w:p>
        </w:tc>
      </w:tr>
      <w:tr>
        <w:trPr>
          <w:trHeight w:val="178"/>
        </w:trPr>
        <w:tc>
          <w:tcPr>
            <w:tcW w:w="4020" w:type="dxa"/>
            <w:vAlign w:val="bottom"/>
            <w:tcBorders>
              <w:left w:val="single" w:sz="8" w:color="3F000B"/>
              <w:right w:val="single" w:sz="8" w:color="DADADA"/>
            </w:tcBorders>
            <w:shd w:val="clear" w:color="auto" w:fill="3F000B"/>
          </w:tcPr>
          <w:p>
            <w:pPr>
              <w:spacing w:after="0"/>
              <w:rPr>
                <w:sz w:val="15"/>
                <w:szCs w:val="15"/>
                <w:color w:val="auto"/>
              </w:rPr>
            </w:pPr>
          </w:p>
        </w:tc>
        <w:tc>
          <w:tcPr>
            <w:tcW w:w="1440" w:type="dxa"/>
            <w:vAlign w:val="bottom"/>
            <w:tcBorders>
              <w:right w:val="single" w:sz="8" w:color="DADADA"/>
            </w:tcBorders>
            <w:shd w:val="clear" w:color="auto" w:fill="3F000B"/>
          </w:tcPr>
          <w:p>
            <w:pPr>
              <w:jc w:val="right"/>
              <w:ind w:right="331"/>
              <w:spacing w:after="0" w:line="178" w:lineRule="exact"/>
              <w:rPr>
                <w:sz w:val="20"/>
                <w:szCs w:val="20"/>
                <w:color w:val="auto"/>
              </w:rPr>
            </w:pPr>
            <w:r>
              <w:rPr>
                <w:rFonts w:ascii="Arial" w:cs="Arial" w:eastAsia="Arial" w:hAnsi="Arial"/>
                <w:sz w:val="16"/>
                <w:szCs w:val="16"/>
                <w:b w:val="1"/>
                <w:bCs w:val="1"/>
                <w:color w:val="FFFFFF"/>
              </w:rPr>
              <w:t>Common</w:t>
            </w:r>
          </w:p>
        </w:tc>
        <w:tc>
          <w:tcPr>
            <w:tcW w:w="1440" w:type="dxa"/>
            <w:vAlign w:val="bottom"/>
            <w:tcBorders>
              <w:right w:val="single" w:sz="8" w:color="DADADA"/>
            </w:tcBorders>
            <w:shd w:val="clear" w:color="auto" w:fill="3F000B"/>
          </w:tcPr>
          <w:p>
            <w:pPr>
              <w:jc w:val="center"/>
              <w:spacing w:after="0" w:line="178" w:lineRule="exact"/>
              <w:rPr>
                <w:sz w:val="20"/>
                <w:szCs w:val="20"/>
                <w:color w:val="auto"/>
              </w:rPr>
            </w:pPr>
            <w:r>
              <w:rPr>
                <w:rFonts w:ascii="Arial" w:cs="Arial" w:eastAsia="Arial" w:hAnsi="Arial"/>
                <w:sz w:val="16"/>
                <w:szCs w:val="16"/>
                <w:b w:val="1"/>
                <w:bCs w:val="1"/>
                <w:color w:val="FFFFFF"/>
                <w:w w:val="87"/>
              </w:rPr>
              <w:t>Stock</w:t>
            </w:r>
          </w:p>
        </w:tc>
        <w:tc>
          <w:tcPr>
            <w:tcW w:w="1440" w:type="dxa"/>
            <w:vAlign w:val="bottom"/>
            <w:tcBorders>
              <w:right w:val="single" w:sz="8" w:color="DADADA"/>
            </w:tcBorders>
            <w:shd w:val="clear" w:color="auto" w:fill="3F000B"/>
          </w:tcPr>
          <w:p>
            <w:pPr>
              <w:jc w:val="center"/>
              <w:spacing w:after="0" w:line="178" w:lineRule="exact"/>
              <w:rPr>
                <w:sz w:val="20"/>
                <w:szCs w:val="20"/>
                <w:color w:val="auto"/>
              </w:rPr>
            </w:pPr>
            <w:r>
              <w:rPr>
                <w:rFonts w:ascii="Arial" w:cs="Arial" w:eastAsia="Arial" w:hAnsi="Arial"/>
                <w:sz w:val="16"/>
                <w:szCs w:val="16"/>
                <w:b w:val="1"/>
                <w:bCs w:val="1"/>
                <w:color w:val="FFFFFF"/>
                <w:w w:val="92"/>
              </w:rPr>
              <w:t>Common</w:t>
            </w:r>
          </w:p>
        </w:tc>
        <w:tc>
          <w:tcPr>
            <w:tcW w:w="1440" w:type="dxa"/>
            <w:vAlign w:val="bottom"/>
            <w:tcBorders>
              <w:right w:val="single" w:sz="8" w:color="DADADA"/>
            </w:tcBorders>
            <w:shd w:val="clear" w:color="auto" w:fill="3F000B"/>
          </w:tcPr>
          <w:p>
            <w:pPr>
              <w:jc w:val="center"/>
              <w:spacing w:after="0" w:line="178" w:lineRule="exact"/>
              <w:rPr>
                <w:sz w:val="20"/>
                <w:szCs w:val="20"/>
                <w:color w:val="auto"/>
              </w:rPr>
            </w:pPr>
            <w:r>
              <w:rPr>
                <w:rFonts w:ascii="Arial" w:cs="Arial" w:eastAsia="Arial" w:hAnsi="Arial"/>
                <w:sz w:val="16"/>
                <w:szCs w:val="16"/>
                <w:b w:val="1"/>
                <w:bCs w:val="1"/>
                <w:color w:val="FFFFFF"/>
                <w:w w:val="92"/>
              </w:rPr>
              <w:t>Common</w:t>
            </w:r>
          </w:p>
        </w:tc>
        <w:tc>
          <w:tcPr>
            <w:tcW w:w="1460" w:type="dxa"/>
            <w:vAlign w:val="bottom"/>
            <w:tcBorders>
              <w:right w:val="single" w:sz="8" w:color="3F000B"/>
            </w:tcBorders>
            <w:shd w:val="clear" w:color="auto" w:fill="3F000B"/>
          </w:tcPr>
          <w:p>
            <w:pPr>
              <w:jc w:val="center"/>
              <w:spacing w:after="0" w:line="178" w:lineRule="exact"/>
              <w:rPr>
                <w:sz w:val="20"/>
                <w:szCs w:val="20"/>
                <w:color w:val="auto"/>
              </w:rPr>
            </w:pPr>
            <w:r>
              <w:rPr>
                <w:rFonts w:ascii="Arial" w:cs="Arial" w:eastAsia="Arial" w:hAnsi="Arial"/>
                <w:sz w:val="16"/>
                <w:szCs w:val="16"/>
                <w:b w:val="1"/>
                <w:bCs w:val="1"/>
                <w:color w:val="FFFFFF"/>
                <w:w w:val="92"/>
              </w:rPr>
              <w:t>Common</w:t>
            </w:r>
          </w:p>
        </w:tc>
        <w:tc>
          <w:tcPr>
            <w:tcW w:w="0" w:type="dxa"/>
            <w:vAlign w:val="bottom"/>
          </w:tcPr>
          <w:p>
            <w:pPr>
              <w:spacing w:after="0"/>
              <w:rPr>
                <w:sz w:val="1"/>
                <w:szCs w:val="1"/>
                <w:color w:val="auto"/>
              </w:rPr>
            </w:pPr>
          </w:p>
        </w:tc>
      </w:tr>
      <w:tr>
        <w:trPr>
          <w:trHeight w:val="254"/>
        </w:trPr>
        <w:tc>
          <w:tcPr>
            <w:tcW w:w="4020" w:type="dxa"/>
            <w:vAlign w:val="bottom"/>
            <w:tcBorders>
              <w:left w:val="single" w:sz="8" w:color="3F000B"/>
              <w:right w:val="single" w:sz="8" w:color="DADADA"/>
            </w:tcBorders>
            <w:shd w:val="clear" w:color="auto" w:fill="3F000B"/>
          </w:tcPr>
          <w:p>
            <w:pPr>
              <w:ind w:left="1760"/>
              <w:spacing w:after="0"/>
              <w:rPr>
                <w:sz w:val="20"/>
                <w:szCs w:val="20"/>
                <w:color w:val="auto"/>
              </w:rPr>
            </w:pPr>
            <w:r>
              <w:rPr>
                <w:rFonts w:ascii="Arial" w:cs="Arial" w:eastAsia="Arial" w:hAnsi="Arial"/>
                <w:sz w:val="16"/>
                <w:szCs w:val="16"/>
                <w:b w:val="1"/>
                <w:bCs w:val="1"/>
                <w:color w:val="FFFFFF"/>
              </w:rPr>
              <w:t>Holder</w:t>
            </w:r>
          </w:p>
        </w:tc>
        <w:tc>
          <w:tcPr>
            <w:tcW w:w="1440" w:type="dxa"/>
            <w:vAlign w:val="bottom"/>
            <w:tcBorders>
              <w:right w:val="single" w:sz="8" w:color="DADADA"/>
            </w:tcBorders>
            <w:shd w:val="clear" w:color="auto" w:fill="3F000B"/>
          </w:tcPr>
          <w:p>
            <w:pPr>
              <w:jc w:val="right"/>
              <w:ind w:right="391"/>
              <w:spacing w:after="0"/>
              <w:rPr>
                <w:sz w:val="20"/>
                <w:szCs w:val="20"/>
                <w:color w:val="auto"/>
              </w:rPr>
            </w:pPr>
            <w:r>
              <w:rPr>
                <w:rFonts w:ascii="Arial" w:cs="Arial" w:eastAsia="Arial" w:hAnsi="Arial"/>
                <w:sz w:val="16"/>
                <w:szCs w:val="16"/>
                <w:b w:val="1"/>
                <w:bCs w:val="1"/>
                <w:color w:val="FFFFFF"/>
              </w:rPr>
              <w:t>Stock</w:t>
            </w:r>
            <w:r>
              <w:rPr>
                <w:rFonts w:ascii="Arial" w:cs="Arial" w:eastAsia="Arial" w:hAnsi="Arial"/>
                <w:sz w:val="21"/>
                <w:szCs w:val="21"/>
                <w:b w:val="1"/>
                <w:bCs w:val="1"/>
                <w:color w:val="FFFFFF"/>
                <w:vertAlign w:val="superscript"/>
              </w:rPr>
              <w:t>(1)</w:t>
            </w: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92"/>
              </w:rPr>
              <w:t>Options</w:t>
            </w: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2"/>
              </w:rPr>
              <w:t>Stock</w:t>
            </w:r>
            <w:r>
              <w:rPr>
                <w:rFonts w:ascii="Arial" w:cs="Arial" w:eastAsia="Arial" w:hAnsi="Arial"/>
                <w:sz w:val="21"/>
                <w:szCs w:val="21"/>
                <w:b w:val="1"/>
                <w:bCs w:val="1"/>
                <w:color w:val="FFFFFF"/>
                <w:w w:val="82"/>
                <w:vertAlign w:val="superscript"/>
              </w:rPr>
              <w:t>(2)</w:t>
            </w: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7"/>
              </w:rPr>
              <w:t>Stock</w:t>
            </w:r>
          </w:p>
        </w:tc>
        <w:tc>
          <w:tcPr>
            <w:tcW w:w="14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6"/>
                <w:szCs w:val="16"/>
                <w:b w:val="1"/>
                <w:bCs w:val="1"/>
                <w:color w:val="FFFFFF"/>
                <w:w w:val="85"/>
              </w:rPr>
              <w:t>Stock</w:t>
            </w:r>
            <w:r>
              <w:rPr>
                <w:rFonts w:ascii="Arial" w:cs="Arial" w:eastAsia="Arial" w:hAnsi="Arial"/>
                <w:sz w:val="21"/>
                <w:szCs w:val="21"/>
                <w:b w:val="1"/>
                <w:bCs w:val="1"/>
                <w:color w:val="FFFFFF"/>
                <w:w w:val="85"/>
                <w:vertAlign w:val="superscript"/>
              </w:rPr>
              <w:t>(3)</w:t>
            </w:r>
          </w:p>
        </w:tc>
        <w:tc>
          <w:tcPr>
            <w:tcW w:w="0" w:type="dxa"/>
            <w:vAlign w:val="bottom"/>
          </w:tcPr>
          <w:p>
            <w:pPr>
              <w:spacing w:after="0"/>
              <w:rPr>
                <w:sz w:val="1"/>
                <w:szCs w:val="1"/>
                <w:color w:val="auto"/>
              </w:rPr>
            </w:pPr>
          </w:p>
        </w:tc>
      </w:tr>
      <w:tr>
        <w:trPr>
          <w:trHeight w:val="22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Hershey Trust Company, as trustee for the</w:t>
            </w: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60" w:type="dxa"/>
            <w:vAlign w:val="bottom"/>
            <w:tcBorders>
              <w:right w:val="single" w:sz="8" w:color="3F000B"/>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20" w:type="dxa"/>
            <w:vAlign w:val="bottom"/>
            <w:tcBorders>
              <w:left w:val="single" w:sz="8" w:color="3F000B"/>
              <w:right w:val="single" w:sz="8" w:color="3F000B"/>
            </w:tcBorders>
          </w:tcPr>
          <w:p>
            <w:pPr>
              <w:ind w:left="40"/>
              <w:spacing w:after="0" w:line="221" w:lineRule="exact"/>
              <w:rPr>
                <w:sz w:val="20"/>
                <w:szCs w:val="20"/>
                <w:color w:val="auto"/>
              </w:rPr>
            </w:pPr>
            <w:r>
              <w:rPr>
                <w:rFonts w:ascii="Arial" w:cs="Arial" w:eastAsia="Arial" w:hAnsi="Arial"/>
                <w:sz w:val="18"/>
                <w:szCs w:val="18"/>
                <w:color w:val="auto"/>
              </w:rPr>
              <w:t>Milton Hershey School Trust</w:t>
            </w:r>
            <w:r>
              <w:rPr>
                <w:rFonts w:ascii="Arial" w:cs="Arial" w:eastAsia="Arial" w:hAnsi="Arial"/>
                <w:sz w:val="23"/>
                <w:szCs w:val="23"/>
                <w:color w:val="auto"/>
                <w:vertAlign w:val="superscript"/>
              </w:rPr>
              <w:t>(4)</w:t>
            </w: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60" w:type="dxa"/>
            <w:vAlign w:val="bottom"/>
            <w:tcBorders>
              <w:right w:val="single" w:sz="8" w:color="3F000B"/>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100 Mansion Road, Hershey, PA 17033</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47,170</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60,612,012</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1"/>
        </w:trPr>
        <w:tc>
          <w:tcPr>
            <w:tcW w:w="4020" w:type="dxa"/>
            <w:vAlign w:val="bottom"/>
            <w:tcBorders>
              <w:left w:val="single" w:sz="8" w:color="3F000B"/>
              <w:right w:val="single" w:sz="8" w:color="3F000B"/>
            </w:tcBorders>
          </w:tcPr>
          <w:p>
            <w:pPr>
              <w:ind w:left="40"/>
              <w:spacing w:after="0" w:line="221" w:lineRule="exact"/>
              <w:rPr>
                <w:sz w:val="20"/>
                <w:szCs w:val="20"/>
                <w:color w:val="auto"/>
              </w:rPr>
            </w:pPr>
            <w:r>
              <w:rPr>
                <w:rFonts w:ascii="Arial" w:cs="Arial" w:eastAsia="Arial" w:hAnsi="Arial"/>
                <w:sz w:val="18"/>
                <w:szCs w:val="18"/>
                <w:color w:val="auto"/>
              </w:rPr>
              <w:t>Milton Hershey School</w:t>
            </w:r>
            <w:r>
              <w:rPr>
                <w:rFonts w:ascii="Arial" w:cs="Arial" w:eastAsia="Arial" w:hAnsi="Arial"/>
                <w:sz w:val="23"/>
                <w:szCs w:val="23"/>
                <w:color w:val="auto"/>
                <w:vertAlign w:val="superscript"/>
              </w:rPr>
              <w:t>(4)</w:t>
            </w: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60" w:type="dxa"/>
            <w:vAlign w:val="bottom"/>
            <w:tcBorders>
              <w:right w:val="single" w:sz="8" w:color="3F000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left w:val="single" w:sz="8" w:color="3F000B"/>
              <w:right w:val="single" w:sz="8" w:color="3F000B"/>
            </w:tcBorders>
          </w:tcPr>
          <w:p>
            <w:pPr>
              <w:ind w:left="120"/>
              <w:spacing w:after="0"/>
              <w:rPr>
                <w:sz w:val="20"/>
                <w:szCs w:val="20"/>
                <w:color w:val="auto"/>
              </w:rPr>
            </w:pPr>
            <w:r>
              <w:rPr>
                <w:rFonts w:ascii="Arial" w:cs="Arial" w:eastAsia="Arial" w:hAnsi="Arial"/>
                <w:sz w:val="18"/>
                <w:szCs w:val="18"/>
                <w:color w:val="auto"/>
              </w:rPr>
              <w:t>Founders Hall, Hershey, PA 17033</w:t>
            </w:r>
          </w:p>
        </w:tc>
        <w:tc>
          <w:tcPr>
            <w:tcW w:w="1440" w:type="dxa"/>
            <w:vAlign w:val="bottom"/>
            <w:tcBorders>
              <w:right w:val="single" w:sz="8" w:color="3F000B"/>
            </w:tcBorders>
          </w:tcPr>
          <w:p>
            <w:pPr>
              <w:spacing w:after="0"/>
              <w:rPr>
                <w:sz w:val="20"/>
                <w:szCs w:val="20"/>
                <w:color w:val="auto"/>
              </w:rPr>
            </w:pPr>
          </w:p>
        </w:tc>
        <w:tc>
          <w:tcPr>
            <w:tcW w:w="1440" w:type="dxa"/>
            <w:vAlign w:val="bottom"/>
            <w:tcBorders>
              <w:right w:val="single" w:sz="8" w:color="3F000B"/>
            </w:tcBorders>
          </w:tcPr>
          <w:p>
            <w:pPr>
              <w:spacing w:after="0"/>
              <w:rPr>
                <w:sz w:val="20"/>
                <w:szCs w:val="20"/>
                <w:color w:val="auto"/>
              </w:rPr>
            </w:pPr>
          </w:p>
        </w:tc>
        <w:tc>
          <w:tcPr>
            <w:tcW w:w="1440" w:type="dxa"/>
            <w:vAlign w:val="bottom"/>
            <w:tcBorders>
              <w:right w:val="single" w:sz="8" w:color="3F000B"/>
            </w:tcBorders>
          </w:tcPr>
          <w:p>
            <w:pPr>
              <w:spacing w:after="0"/>
              <w:rPr>
                <w:sz w:val="20"/>
                <w:szCs w:val="20"/>
                <w:color w:val="auto"/>
              </w:rPr>
            </w:pPr>
          </w:p>
        </w:tc>
        <w:tc>
          <w:tcPr>
            <w:tcW w:w="1440" w:type="dxa"/>
            <w:vAlign w:val="bottom"/>
            <w:tcBorders>
              <w:right w:val="single" w:sz="8" w:color="3F000B"/>
            </w:tcBorders>
          </w:tcPr>
          <w:p>
            <w:pPr>
              <w:spacing w:after="0"/>
              <w:rPr>
                <w:sz w:val="20"/>
                <w:szCs w:val="20"/>
                <w:color w:val="auto"/>
              </w:rPr>
            </w:pPr>
          </w:p>
        </w:tc>
        <w:tc>
          <w:tcPr>
            <w:tcW w:w="1460" w:type="dxa"/>
            <w:vAlign w:val="bottom"/>
            <w:tcBorders>
              <w:right w:val="single" w:sz="8" w:color="3F000B"/>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Hershey Trust Company</w:t>
            </w:r>
            <w:r>
              <w:rPr>
                <w:rFonts w:ascii="Arial" w:cs="Arial" w:eastAsia="Arial" w:hAnsi="Arial"/>
                <w:sz w:val="21"/>
                <w:szCs w:val="21"/>
                <w:color w:val="auto"/>
                <w:vertAlign w:val="superscript"/>
              </w:rPr>
              <w:t>(5)</w:t>
            </w:r>
          </w:p>
        </w:tc>
        <w:tc>
          <w:tcPr>
            <w:tcW w:w="14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76,430</w:t>
            </w:r>
          </w:p>
        </w:tc>
        <w:tc>
          <w:tcPr>
            <w:tcW w:w="14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Borders>
              <w:left w:val="single" w:sz="8" w:color="3F000B"/>
              <w:right w:val="single" w:sz="8" w:color="3F000B"/>
            </w:tcBorders>
          </w:tcPr>
          <w:p>
            <w:pPr>
              <w:ind w:left="40"/>
              <w:spacing w:after="0" w:line="229" w:lineRule="exact"/>
              <w:rPr>
                <w:sz w:val="20"/>
                <w:szCs w:val="20"/>
                <w:color w:val="auto"/>
              </w:rPr>
            </w:pPr>
            <w:r>
              <w:rPr>
                <w:rFonts w:ascii="Arial" w:cs="Arial" w:eastAsia="Arial" w:hAnsi="Arial"/>
                <w:sz w:val="18"/>
                <w:szCs w:val="18"/>
                <w:color w:val="auto"/>
              </w:rPr>
              <w:t>BlackRock, Inc.</w:t>
            </w:r>
            <w:r>
              <w:rPr>
                <w:rFonts w:ascii="Arial" w:cs="Arial" w:eastAsia="Arial" w:hAnsi="Arial"/>
                <w:sz w:val="21"/>
                <w:szCs w:val="21"/>
                <w:color w:val="auto"/>
                <w:vertAlign w:val="superscript"/>
              </w:rPr>
              <w:t>(6)</w:t>
            </w:r>
          </w:p>
        </w:tc>
        <w:tc>
          <w:tcPr>
            <w:tcW w:w="14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8"/>
                <w:szCs w:val="18"/>
                <w:color w:val="auto"/>
              </w:rPr>
              <w:t>15,462,485</w:t>
            </w:r>
          </w:p>
        </w:tc>
        <w:tc>
          <w:tcPr>
            <w:tcW w:w="14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vMerge w:val="restart"/>
          </w:tcPr>
          <w:p>
            <w:pPr>
              <w:jc w:val="right"/>
              <w:spacing w:after="0"/>
              <w:rPr>
                <w:sz w:val="20"/>
                <w:szCs w:val="20"/>
                <w:color w:val="auto"/>
              </w:rPr>
            </w:pPr>
            <w:r>
              <w:rPr>
                <w:rFonts w:ascii="Arial" w:cs="Arial" w:eastAsia="Arial" w:hAnsi="Arial"/>
                <w:sz w:val="18"/>
                <w:szCs w:val="18"/>
                <w:color w:val="auto"/>
              </w:rPr>
              <w:t>10.5</w:t>
            </w:r>
          </w:p>
        </w:tc>
        <w:tc>
          <w:tcPr>
            <w:tcW w:w="1440" w:type="dxa"/>
            <w:vAlign w:val="bottom"/>
            <w:tcBorders>
              <w:right w:val="single" w:sz="8" w:color="3F000B"/>
            </w:tcBorders>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02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8"/>
                <w:szCs w:val="18"/>
                <w:color w:val="auto"/>
              </w:rPr>
              <w:t>55 East 52nd Street, New York, NY 10055</w:t>
            </w:r>
          </w:p>
        </w:tc>
        <w:tc>
          <w:tcPr>
            <w:tcW w:w="1440" w:type="dxa"/>
            <w:vAlign w:val="bottom"/>
            <w:tcBorders>
              <w:right w:val="single" w:sz="8" w:color="3F000B"/>
            </w:tcBorders>
            <w:vMerge w:val="continue"/>
          </w:tcPr>
          <w:p>
            <w:pPr>
              <w:spacing w:after="0"/>
              <w:rPr>
                <w:sz w:val="10"/>
                <w:szCs w:val="10"/>
                <w:color w:val="auto"/>
              </w:rPr>
            </w:pPr>
          </w:p>
        </w:tc>
        <w:tc>
          <w:tcPr>
            <w:tcW w:w="1440" w:type="dxa"/>
            <w:vAlign w:val="bottom"/>
            <w:tcBorders>
              <w:right w:val="single" w:sz="8" w:color="3F000B"/>
            </w:tcBorders>
            <w:vMerge w:val="continue"/>
          </w:tcPr>
          <w:p>
            <w:pPr>
              <w:spacing w:after="0"/>
              <w:rPr>
                <w:sz w:val="10"/>
                <w:szCs w:val="10"/>
                <w:color w:val="auto"/>
              </w:rPr>
            </w:pPr>
          </w:p>
        </w:tc>
        <w:tc>
          <w:tcPr>
            <w:tcW w:w="1440" w:type="dxa"/>
            <w:vAlign w:val="bottom"/>
            <w:tcBorders>
              <w:right w:val="single" w:sz="8" w:color="3F000B"/>
            </w:tcBorders>
            <w:vMerge w:val="continue"/>
          </w:tcPr>
          <w:p>
            <w:pPr>
              <w:spacing w:after="0"/>
              <w:rPr>
                <w:sz w:val="10"/>
                <w:szCs w:val="10"/>
                <w:color w:val="auto"/>
              </w:rPr>
            </w:pPr>
          </w:p>
        </w:tc>
        <w:tc>
          <w:tcPr>
            <w:tcW w:w="1440" w:type="dxa"/>
            <w:vAlign w:val="bottom"/>
            <w:tcBorders>
              <w:right w:val="single" w:sz="8" w:color="3F000B"/>
            </w:tcBorders>
            <w:vMerge w:val="continue"/>
          </w:tcPr>
          <w:p>
            <w:pPr>
              <w:spacing w:after="0"/>
              <w:rPr>
                <w:sz w:val="10"/>
                <w:szCs w:val="10"/>
                <w:color w:val="auto"/>
              </w:rPr>
            </w:pPr>
          </w:p>
        </w:tc>
        <w:tc>
          <w:tcPr>
            <w:tcW w:w="1460" w:type="dxa"/>
            <w:vAlign w:val="bottom"/>
            <w:tcBorders>
              <w:right w:val="single" w:sz="8" w:color="3F000B"/>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tcBorders>
              <w:left w:val="single" w:sz="8" w:color="3F000B"/>
              <w:right w:val="single" w:sz="8" w:color="3F000B"/>
            </w:tcBorders>
            <w:vMerge w:val="continue"/>
          </w:tcPr>
          <w:p>
            <w:pPr>
              <w:spacing w:after="0"/>
              <w:rPr>
                <w:sz w:val="9"/>
                <w:szCs w:val="9"/>
                <w:color w:val="auto"/>
              </w:rPr>
            </w:pPr>
          </w:p>
        </w:tc>
        <w:tc>
          <w:tcPr>
            <w:tcW w:w="1440" w:type="dxa"/>
            <w:vAlign w:val="bottom"/>
            <w:tcBorders>
              <w:right w:val="single" w:sz="8" w:color="3F000B"/>
            </w:tcBorders>
          </w:tcPr>
          <w:p>
            <w:pPr>
              <w:spacing w:after="0"/>
              <w:rPr>
                <w:sz w:val="9"/>
                <w:szCs w:val="9"/>
                <w:color w:val="auto"/>
              </w:rPr>
            </w:pPr>
          </w:p>
        </w:tc>
        <w:tc>
          <w:tcPr>
            <w:tcW w:w="1440" w:type="dxa"/>
            <w:vAlign w:val="bottom"/>
            <w:tcBorders>
              <w:right w:val="single" w:sz="8" w:color="3F000B"/>
            </w:tcBorders>
          </w:tcPr>
          <w:p>
            <w:pPr>
              <w:spacing w:after="0"/>
              <w:rPr>
                <w:sz w:val="9"/>
                <w:szCs w:val="9"/>
                <w:color w:val="auto"/>
              </w:rPr>
            </w:pPr>
          </w:p>
        </w:tc>
        <w:tc>
          <w:tcPr>
            <w:tcW w:w="1440" w:type="dxa"/>
            <w:vAlign w:val="bottom"/>
            <w:tcBorders>
              <w:right w:val="single" w:sz="8" w:color="3F000B"/>
            </w:tcBorders>
          </w:tcPr>
          <w:p>
            <w:pPr>
              <w:spacing w:after="0"/>
              <w:rPr>
                <w:sz w:val="9"/>
                <w:szCs w:val="9"/>
                <w:color w:val="auto"/>
              </w:rPr>
            </w:pPr>
          </w:p>
        </w:tc>
        <w:tc>
          <w:tcPr>
            <w:tcW w:w="1440" w:type="dxa"/>
            <w:vAlign w:val="bottom"/>
            <w:tcBorders>
              <w:right w:val="single" w:sz="8" w:color="3F000B"/>
            </w:tcBorders>
          </w:tcPr>
          <w:p>
            <w:pPr>
              <w:spacing w:after="0"/>
              <w:rPr>
                <w:sz w:val="9"/>
                <w:szCs w:val="9"/>
                <w:color w:val="auto"/>
              </w:rPr>
            </w:pPr>
          </w:p>
        </w:tc>
        <w:tc>
          <w:tcPr>
            <w:tcW w:w="1460" w:type="dxa"/>
            <w:vAlign w:val="bottom"/>
            <w:tcBorders>
              <w:right w:val="single" w:sz="8" w:color="3F000B"/>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tcBorders>
              <w:left w:val="single" w:sz="8" w:color="3F000B"/>
              <w:right w:val="single" w:sz="8" w:color="3F000B"/>
            </w:tcBorders>
            <w:shd w:val="clear" w:color="auto" w:fill="DADADA"/>
          </w:tcPr>
          <w:p>
            <w:pPr>
              <w:ind w:left="40"/>
              <w:spacing w:after="0" w:line="229" w:lineRule="exact"/>
              <w:rPr>
                <w:sz w:val="20"/>
                <w:szCs w:val="20"/>
                <w:color w:val="auto"/>
              </w:rPr>
            </w:pPr>
            <w:r>
              <w:rPr>
                <w:rFonts w:ascii="Arial" w:cs="Arial" w:eastAsia="Arial" w:hAnsi="Arial"/>
                <w:sz w:val="18"/>
                <w:szCs w:val="18"/>
                <w:color w:val="auto"/>
              </w:rPr>
              <w:t>Vanguard Group, Inc.</w:t>
            </w:r>
            <w:r>
              <w:rPr>
                <w:rFonts w:ascii="Arial" w:cs="Arial" w:eastAsia="Arial" w:hAnsi="Arial"/>
                <w:sz w:val="21"/>
                <w:szCs w:val="21"/>
                <w:color w:val="auto"/>
                <w:vertAlign w:val="superscript"/>
              </w:rPr>
              <w:t>(7)</w:t>
            </w:r>
          </w:p>
        </w:tc>
        <w:tc>
          <w:tcPr>
            <w:tcW w:w="1440" w:type="dxa"/>
            <w:vAlign w:val="bottom"/>
            <w:tcBorders>
              <w:right w:val="single" w:sz="8" w:color="3F000B"/>
            </w:tcBorders>
            <w:vMerge w:val="restart"/>
            <w:shd w:val="clear" w:color="auto" w:fill="DADADA"/>
          </w:tcPr>
          <w:p>
            <w:pPr>
              <w:jc w:val="right"/>
              <w:ind w:right="11"/>
              <w:spacing w:after="0"/>
              <w:rPr>
                <w:sz w:val="20"/>
                <w:szCs w:val="20"/>
                <w:color w:val="auto"/>
              </w:rPr>
            </w:pPr>
            <w:r>
              <w:rPr>
                <w:rFonts w:ascii="Arial" w:cs="Arial" w:eastAsia="Arial" w:hAnsi="Arial"/>
                <w:sz w:val="18"/>
                <w:szCs w:val="18"/>
                <w:color w:val="auto"/>
              </w:rPr>
              <w:t>13,477,131</w:t>
            </w:r>
          </w:p>
        </w:tc>
        <w:tc>
          <w:tcPr>
            <w:tcW w:w="1440" w:type="dxa"/>
            <w:vAlign w:val="bottom"/>
            <w:tcBorders>
              <w:right w:val="single" w:sz="8" w:color="3F000B"/>
            </w:tcBorders>
            <w:vMerge w:val="restart"/>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vMerge w:val="restart"/>
            <w:shd w:val="clear" w:color="auto" w:fill="DADADA"/>
          </w:tcPr>
          <w:p>
            <w:pPr>
              <w:jc w:val="right"/>
              <w:spacing w:after="0"/>
              <w:rPr>
                <w:sz w:val="20"/>
                <w:szCs w:val="20"/>
                <w:color w:val="auto"/>
              </w:rPr>
            </w:pPr>
            <w:r>
              <w:rPr>
                <w:rFonts w:ascii="Arial" w:cs="Arial" w:eastAsia="Arial" w:hAnsi="Arial"/>
                <w:sz w:val="18"/>
                <w:szCs w:val="18"/>
                <w:color w:val="auto"/>
              </w:rPr>
              <w:t>9.1</w:t>
            </w:r>
          </w:p>
        </w:tc>
        <w:tc>
          <w:tcPr>
            <w:tcW w:w="1440" w:type="dxa"/>
            <w:vAlign w:val="bottom"/>
            <w:tcBorders>
              <w:right w:val="single" w:sz="8" w:color="3F000B"/>
            </w:tcBorders>
            <w:vMerge w:val="restart"/>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vMerge w:val="restart"/>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020" w:type="dxa"/>
            <w:vAlign w:val="bottom"/>
            <w:tcBorders>
              <w:left w:val="single" w:sz="8" w:color="3F000B"/>
              <w:right w:val="single" w:sz="8" w:color="3F000B"/>
            </w:tcBorders>
            <w:vMerge w:val="restart"/>
            <w:shd w:val="clear" w:color="auto" w:fill="DADADA"/>
          </w:tcPr>
          <w:p>
            <w:pPr>
              <w:ind w:left="40"/>
              <w:spacing w:after="0"/>
              <w:rPr>
                <w:sz w:val="20"/>
                <w:szCs w:val="20"/>
                <w:color w:val="auto"/>
              </w:rPr>
            </w:pPr>
            <w:r>
              <w:rPr>
                <w:rFonts w:ascii="Arial" w:cs="Arial" w:eastAsia="Arial" w:hAnsi="Arial"/>
                <w:sz w:val="18"/>
                <w:szCs w:val="18"/>
                <w:color w:val="auto"/>
              </w:rPr>
              <w:t>100 Vanguard Blvd, Malvern, PA 19355</w:t>
            </w:r>
          </w:p>
        </w:tc>
        <w:tc>
          <w:tcPr>
            <w:tcW w:w="1440" w:type="dxa"/>
            <w:vAlign w:val="bottom"/>
            <w:tcBorders>
              <w:right w:val="single" w:sz="8" w:color="3F000B"/>
            </w:tcBorders>
            <w:vMerge w:val="continue"/>
            <w:shd w:val="clear" w:color="auto" w:fill="DADADA"/>
          </w:tcPr>
          <w:p>
            <w:pPr>
              <w:spacing w:after="0"/>
              <w:rPr>
                <w:sz w:val="10"/>
                <w:szCs w:val="10"/>
                <w:color w:val="auto"/>
              </w:rPr>
            </w:pPr>
          </w:p>
        </w:tc>
        <w:tc>
          <w:tcPr>
            <w:tcW w:w="1440" w:type="dxa"/>
            <w:vAlign w:val="bottom"/>
            <w:tcBorders>
              <w:right w:val="single" w:sz="8" w:color="3F000B"/>
            </w:tcBorders>
            <w:vMerge w:val="continue"/>
            <w:shd w:val="clear" w:color="auto" w:fill="DADADA"/>
          </w:tcPr>
          <w:p>
            <w:pPr>
              <w:spacing w:after="0"/>
              <w:rPr>
                <w:sz w:val="10"/>
                <w:szCs w:val="10"/>
                <w:color w:val="auto"/>
              </w:rPr>
            </w:pPr>
          </w:p>
        </w:tc>
        <w:tc>
          <w:tcPr>
            <w:tcW w:w="1440" w:type="dxa"/>
            <w:vAlign w:val="bottom"/>
            <w:tcBorders>
              <w:right w:val="single" w:sz="8" w:color="3F000B"/>
            </w:tcBorders>
            <w:vMerge w:val="continue"/>
            <w:shd w:val="clear" w:color="auto" w:fill="DADADA"/>
          </w:tcPr>
          <w:p>
            <w:pPr>
              <w:spacing w:after="0"/>
              <w:rPr>
                <w:sz w:val="10"/>
                <w:szCs w:val="10"/>
                <w:color w:val="auto"/>
              </w:rPr>
            </w:pPr>
          </w:p>
        </w:tc>
        <w:tc>
          <w:tcPr>
            <w:tcW w:w="1440" w:type="dxa"/>
            <w:vAlign w:val="bottom"/>
            <w:tcBorders>
              <w:right w:val="single" w:sz="8" w:color="3F000B"/>
            </w:tcBorders>
            <w:vMerge w:val="continue"/>
            <w:shd w:val="clear" w:color="auto" w:fill="DADADA"/>
          </w:tcPr>
          <w:p>
            <w:pPr>
              <w:spacing w:after="0"/>
              <w:rPr>
                <w:sz w:val="10"/>
                <w:szCs w:val="10"/>
                <w:color w:val="auto"/>
              </w:rPr>
            </w:pPr>
          </w:p>
        </w:tc>
        <w:tc>
          <w:tcPr>
            <w:tcW w:w="1460" w:type="dxa"/>
            <w:vAlign w:val="bottom"/>
            <w:tcBorders>
              <w:right w:val="single" w:sz="8" w:color="3F000B"/>
            </w:tcBorders>
            <w:vMerge w:val="continue"/>
            <w:shd w:val="clear" w:color="auto" w:fill="DADADA"/>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20" w:type="dxa"/>
            <w:vAlign w:val="bottom"/>
            <w:tcBorders>
              <w:left w:val="single" w:sz="8" w:color="3F000B"/>
              <w:bottom w:val="single" w:sz="8" w:color="DADADA"/>
              <w:right w:val="single" w:sz="8" w:color="3F000B"/>
            </w:tcBorders>
            <w:vMerge w:val="continue"/>
            <w:shd w:val="clear" w:color="auto" w:fill="DADADA"/>
          </w:tcPr>
          <w:p>
            <w:pPr>
              <w:spacing w:after="0"/>
              <w:rPr>
                <w:sz w:val="10"/>
                <w:szCs w:val="10"/>
                <w:color w:val="auto"/>
              </w:rPr>
            </w:pPr>
          </w:p>
        </w:tc>
        <w:tc>
          <w:tcPr>
            <w:tcW w:w="1440" w:type="dxa"/>
            <w:vAlign w:val="bottom"/>
            <w:tcBorders>
              <w:bottom w:val="single" w:sz="8" w:color="DADADA"/>
              <w:right w:val="single" w:sz="8" w:color="3F000B"/>
            </w:tcBorders>
            <w:shd w:val="clear" w:color="auto" w:fill="DADADA"/>
          </w:tcPr>
          <w:p>
            <w:pPr>
              <w:spacing w:after="0"/>
              <w:rPr>
                <w:sz w:val="10"/>
                <w:szCs w:val="10"/>
                <w:color w:val="auto"/>
              </w:rPr>
            </w:pPr>
          </w:p>
        </w:tc>
        <w:tc>
          <w:tcPr>
            <w:tcW w:w="1440" w:type="dxa"/>
            <w:vAlign w:val="bottom"/>
            <w:tcBorders>
              <w:bottom w:val="single" w:sz="8" w:color="DADADA"/>
              <w:right w:val="single" w:sz="8" w:color="3F000B"/>
            </w:tcBorders>
            <w:shd w:val="clear" w:color="auto" w:fill="DADADA"/>
          </w:tcPr>
          <w:p>
            <w:pPr>
              <w:spacing w:after="0"/>
              <w:rPr>
                <w:sz w:val="10"/>
                <w:szCs w:val="10"/>
                <w:color w:val="auto"/>
              </w:rPr>
            </w:pPr>
          </w:p>
        </w:tc>
        <w:tc>
          <w:tcPr>
            <w:tcW w:w="1440" w:type="dxa"/>
            <w:vAlign w:val="bottom"/>
            <w:tcBorders>
              <w:bottom w:val="single" w:sz="8" w:color="DADADA"/>
              <w:right w:val="single" w:sz="8" w:color="3F000B"/>
            </w:tcBorders>
            <w:shd w:val="clear" w:color="auto" w:fill="DADADA"/>
          </w:tcPr>
          <w:p>
            <w:pPr>
              <w:spacing w:after="0"/>
              <w:rPr>
                <w:sz w:val="10"/>
                <w:szCs w:val="10"/>
                <w:color w:val="auto"/>
              </w:rPr>
            </w:pPr>
          </w:p>
        </w:tc>
        <w:tc>
          <w:tcPr>
            <w:tcW w:w="1440" w:type="dxa"/>
            <w:vAlign w:val="bottom"/>
            <w:tcBorders>
              <w:bottom w:val="single" w:sz="8" w:color="DADADA"/>
              <w:right w:val="single" w:sz="8" w:color="3F000B"/>
            </w:tcBorders>
            <w:shd w:val="clear" w:color="auto" w:fill="DADADA"/>
          </w:tcPr>
          <w:p>
            <w:pPr>
              <w:spacing w:after="0"/>
              <w:rPr>
                <w:sz w:val="10"/>
                <w:szCs w:val="10"/>
                <w:color w:val="auto"/>
              </w:rPr>
            </w:pPr>
          </w:p>
        </w:tc>
        <w:tc>
          <w:tcPr>
            <w:tcW w:w="1460" w:type="dxa"/>
            <w:vAlign w:val="bottom"/>
            <w:tcBorders>
              <w:bottom w:val="single" w:sz="8" w:color="DADADA"/>
              <w:right w:val="single" w:sz="8" w:color="3F000B"/>
            </w:tcBorders>
            <w:shd w:val="clear" w:color="auto" w:fill="DADADA"/>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Pamela M. Arway</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15,129</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Damien Atkins</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James W. Brown</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Michele G. Buck</w:t>
            </w:r>
            <w:r>
              <w:rPr>
                <w:rFonts w:ascii="Arial" w:cs="Arial" w:eastAsia="Arial" w:hAnsi="Arial"/>
                <w:sz w:val="16"/>
                <w:szCs w:val="16"/>
                <w:color w:val="auto"/>
              </w:rPr>
              <w:t>*</w:t>
            </w:r>
          </w:p>
        </w:tc>
        <w:tc>
          <w:tcPr>
            <w:tcW w:w="14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83,015</w:t>
            </w:r>
          </w:p>
        </w:tc>
        <w:tc>
          <w:tcPr>
            <w:tcW w:w="14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258,803</w:t>
            </w:r>
          </w:p>
        </w:tc>
        <w:tc>
          <w:tcPr>
            <w:tcW w:w="144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Victor L. Crawford</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Charles A. Davis</w:t>
            </w:r>
            <w:r>
              <w:rPr>
                <w:rFonts w:ascii="Arial" w:cs="Arial" w:eastAsia="Arial" w:hAnsi="Arial"/>
                <w:sz w:val="16"/>
                <w:szCs w:val="16"/>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24,654</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Robert M. Dutkowsky</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Mary Kay Haben</w:t>
            </w:r>
            <w:r>
              <w:rPr>
                <w:rFonts w:ascii="Arial" w:cs="Arial" w:eastAsia="Arial" w:hAnsi="Arial"/>
                <w:sz w:val="16"/>
                <w:szCs w:val="16"/>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James C. Katzman</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 Diane Koken</w:t>
            </w:r>
            <w:r>
              <w:rPr>
                <w:rFonts w:ascii="Arial" w:cs="Arial" w:eastAsia="Arial" w:hAnsi="Arial"/>
                <w:sz w:val="16"/>
                <w:szCs w:val="16"/>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600</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Robert M. Malcolm</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12,612</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Anthony J. Palmer</w:t>
            </w:r>
            <w:r>
              <w:rPr>
                <w:rFonts w:ascii="Arial" w:cs="Arial" w:eastAsia="Arial" w:hAnsi="Arial"/>
                <w:sz w:val="16"/>
                <w:szCs w:val="16"/>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12,562</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Juan R. Perez</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1,491</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Charles R. Raup</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7,821</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4,523</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Jason R. Reiman</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7,215</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6,780</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Wendy L. Schoppert</w:t>
            </w:r>
            <w:r>
              <w:rPr>
                <w:rFonts w:ascii="Arial" w:cs="Arial" w:eastAsia="Arial" w:hAnsi="Arial"/>
                <w:sz w:val="16"/>
                <w:szCs w:val="16"/>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David L. Shedlarz</w:t>
            </w:r>
            <w:r>
              <w:rPr>
                <w:rFonts w:ascii="Arial" w:cs="Arial" w:eastAsia="Arial" w:hAnsi="Arial"/>
                <w:sz w:val="16"/>
                <w:szCs w:val="16"/>
                <w:color w:val="auto"/>
              </w:rPr>
              <w:t>*</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15,342</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Borders>
              <w:left w:val="single" w:sz="8" w:color="auto"/>
              <w:bottom w:val="single" w:sz="8" w:color="DADADA"/>
              <w:right w:val="single" w:sz="8" w:color="auto"/>
            </w:tcBorders>
            <w:shd w:val="clear" w:color="auto" w:fill="DADADA"/>
          </w:tcPr>
          <w:p>
            <w:pPr>
              <w:ind w:left="40"/>
              <w:spacing w:after="0"/>
              <w:rPr>
                <w:sz w:val="20"/>
                <w:szCs w:val="20"/>
                <w:color w:val="auto"/>
              </w:rPr>
            </w:pPr>
            <w:r>
              <w:rPr>
                <w:rFonts w:ascii="Arial" w:cs="Arial" w:eastAsia="Arial" w:hAnsi="Arial"/>
                <w:sz w:val="18"/>
                <w:szCs w:val="18"/>
                <w:color w:val="auto"/>
              </w:rPr>
              <w:t>Steven E. Voskuil</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6,216</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Kevin R. Walling</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31,563</w:t>
            </w:r>
          </w:p>
        </w:tc>
        <w:tc>
          <w:tcPr>
            <w:tcW w:w="144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4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Mary Beth West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w w:val="99"/>
              </w:rPr>
              <w:t>All directors and executive officers as a group (24</w:t>
            </w: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40" w:type="dxa"/>
            <w:vAlign w:val="bottom"/>
            <w:tcBorders>
              <w:right w:val="single" w:sz="8" w:color="3F000B"/>
            </w:tcBorders>
          </w:tcPr>
          <w:p>
            <w:pPr>
              <w:spacing w:after="0"/>
              <w:rPr>
                <w:sz w:val="19"/>
                <w:szCs w:val="19"/>
                <w:color w:val="auto"/>
              </w:rPr>
            </w:pPr>
          </w:p>
        </w:tc>
        <w:tc>
          <w:tcPr>
            <w:tcW w:w="1460" w:type="dxa"/>
            <w:vAlign w:val="bottom"/>
            <w:tcBorders>
              <w:right w:val="single" w:sz="8" w:color="3F000B"/>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2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persons)</w:t>
            </w:r>
          </w:p>
        </w:tc>
        <w:tc>
          <w:tcPr>
            <w:tcW w:w="1440" w:type="dxa"/>
            <w:vAlign w:val="bottom"/>
            <w:tcBorders>
              <w:bottom w:val="single" w:sz="8" w:color="3F000B"/>
              <w:right w:val="single" w:sz="8" w:color="3F000B"/>
            </w:tcBorders>
          </w:tcPr>
          <w:p>
            <w:pPr>
              <w:jc w:val="right"/>
              <w:ind w:right="11"/>
              <w:spacing w:after="0"/>
              <w:rPr>
                <w:sz w:val="20"/>
                <w:szCs w:val="20"/>
                <w:color w:val="auto"/>
              </w:rPr>
            </w:pPr>
            <w:r>
              <w:rPr>
                <w:rFonts w:ascii="Arial" w:cs="Arial" w:eastAsia="Arial" w:hAnsi="Arial"/>
                <w:sz w:val="18"/>
                <w:szCs w:val="18"/>
                <w:color w:val="auto"/>
              </w:rPr>
              <w:t>244,059</w:t>
            </w:r>
          </w:p>
        </w:tc>
        <w:tc>
          <w:tcPr>
            <w:tcW w:w="1440" w:type="dxa"/>
            <w:vAlign w:val="bottom"/>
            <w:tcBorders>
              <w:bottom w:val="single" w:sz="8" w:color="3F000B"/>
              <w:right w:val="single" w:sz="8" w:color="3F000B"/>
            </w:tcBorders>
          </w:tcPr>
          <w:p>
            <w:pPr>
              <w:jc w:val="right"/>
              <w:ind w:right="11"/>
              <w:spacing w:after="0"/>
              <w:rPr>
                <w:sz w:val="20"/>
                <w:szCs w:val="20"/>
                <w:color w:val="auto"/>
              </w:rPr>
            </w:pPr>
            <w:r>
              <w:rPr>
                <w:rFonts w:ascii="Arial" w:cs="Arial" w:eastAsia="Arial" w:hAnsi="Arial"/>
                <w:sz w:val="18"/>
                <w:szCs w:val="18"/>
                <w:color w:val="auto"/>
              </w:rPr>
              <w:t>427,311</w:t>
            </w:r>
          </w:p>
        </w:tc>
        <w:tc>
          <w:tcPr>
            <w:tcW w:w="144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3F000B"/>
              <w:right w:val="single" w:sz="8" w:color="3F000B"/>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44" w:lineRule="exact"/>
        <w:rPr>
          <w:sz w:val="20"/>
          <w:szCs w:val="20"/>
          <w:color w:val="auto"/>
        </w:rPr>
      </w:pPr>
    </w:p>
    <w:p>
      <w:pPr>
        <w:ind w:left="580" w:hanging="507"/>
        <w:spacing w:after="0"/>
        <w:tabs>
          <w:tab w:leader="none" w:pos="5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Director/Director nominee</w:t>
      </w:r>
    </w:p>
    <w:p>
      <w:pPr>
        <w:spacing w:after="0" w:line="28"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Less than 1%</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886" w:right="359" w:bottom="1440" w:gutter="0" w:footer="0" w:header="0"/>
          <w:type w:val="continuous"/>
        </w:sectPr>
      </w:pPr>
    </w:p>
    <w:bookmarkStart w:id="42" w:name="page43"/>
    <w:bookmarkEnd w:id="42"/>
    <w:p>
      <w:pPr>
        <w:ind w:left="320" w:hanging="312"/>
        <w:spacing w:after="0"/>
        <w:tabs>
          <w:tab w:leader="none" w:pos="3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Amounts listed also include the following RSUs that will vest and be paid to the following holders within 60 days of March 18, 2021:</w:t>
      </w:r>
    </w:p>
    <w:p>
      <w:pPr>
        <w:spacing w:after="0" w:line="121" w:lineRule="exact"/>
        <w:rPr>
          <w:sz w:val="20"/>
          <w:szCs w:val="20"/>
          <w:color w:val="auto"/>
        </w:rPr>
      </w:pPr>
    </w:p>
    <w:tbl>
      <w:tblPr>
        <w:tblLayout w:type="fixed"/>
        <w:tblInd w:w="350" w:type="dxa"/>
        <w:tblCellMar>
          <w:top w:w="0" w:type="dxa"/>
          <w:left w:w="0" w:type="dxa"/>
          <w:bottom w:w="0" w:type="dxa"/>
          <w:right w:w="0" w:type="dxa"/>
        </w:tblCellMar>
      </w:tblPr>
      <w:tr>
        <w:trPr>
          <w:trHeight w:val="220"/>
        </w:trPr>
        <w:tc>
          <w:tcPr>
            <w:tcW w:w="8880" w:type="dxa"/>
            <w:vAlign w:val="bottom"/>
            <w:tcBorders>
              <w:top w:val="single" w:sz="8" w:color="3F000B"/>
              <w:left w:val="single" w:sz="8" w:color="3F000B"/>
              <w:right w:val="single" w:sz="8" w:color="DADADA"/>
            </w:tcBorders>
            <w:shd w:val="clear" w:color="auto" w:fill="3F000B"/>
          </w:tcPr>
          <w:p>
            <w:pPr>
              <w:spacing w:after="0"/>
              <w:rPr>
                <w:sz w:val="19"/>
                <w:szCs w:val="19"/>
                <w:color w:val="auto"/>
              </w:rPr>
            </w:pPr>
          </w:p>
        </w:tc>
        <w:tc>
          <w:tcPr>
            <w:tcW w:w="1480" w:type="dxa"/>
            <w:vAlign w:val="bottom"/>
            <w:tcBorders>
              <w:top w:val="single" w:sz="8" w:color="3F000B"/>
              <w:right w:val="single" w:sz="8" w:color="3F000B"/>
            </w:tcBorders>
            <w:shd w:val="clear" w:color="auto" w:fill="3F000B"/>
          </w:tcPr>
          <w:p>
            <w:pPr>
              <w:jc w:val="right"/>
              <w:ind w:right="508"/>
              <w:spacing w:after="0"/>
              <w:rPr>
                <w:sz w:val="20"/>
                <w:szCs w:val="20"/>
                <w:color w:val="auto"/>
              </w:rPr>
            </w:pPr>
            <w:r>
              <w:rPr>
                <w:rFonts w:ascii="Arial" w:cs="Arial" w:eastAsia="Arial" w:hAnsi="Arial"/>
                <w:sz w:val="14"/>
                <w:szCs w:val="14"/>
                <w:b w:val="1"/>
                <w:bCs w:val="1"/>
                <w:color w:val="FFFFFF"/>
              </w:rPr>
              <w:t>RSUs</w:t>
            </w:r>
          </w:p>
        </w:tc>
      </w:tr>
      <w:tr>
        <w:trPr>
          <w:trHeight w:val="205"/>
        </w:trPr>
        <w:tc>
          <w:tcPr>
            <w:tcW w:w="8880" w:type="dxa"/>
            <w:vAlign w:val="bottom"/>
            <w:tcBorders>
              <w:left w:val="single" w:sz="8" w:color="3F000B"/>
              <w:bottom w:val="single" w:sz="8" w:color="3F000B"/>
              <w:right w:val="single" w:sz="8" w:color="DADADA"/>
            </w:tcBorders>
            <w:shd w:val="clear" w:color="auto" w:fill="3F000B"/>
          </w:tcPr>
          <w:p>
            <w:pPr>
              <w:ind w:left="4240"/>
              <w:spacing w:after="0"/>
              <w:rPr>
                <w:sz w:val="20"/>
                <w:szCs w:val="20"/>
                <w:color w:val="auto"/>
              </w:rPr>
            </w:pPr>
            <w:r>
              <w:rPr>
                <w:rFonts w:ascii="Arial" w:cs="Arial" w:eastAsia="Arial" w:hAnsi="Arial"/>
                <w:sz w:val="14"/>
                <w:szCs w:val="14"/>
                <w:b w:val="1"/>
                <w:bCs w:val="1"/>
                <w:color w:val="FFFFFF"/>
              </w:rPr>
              <w:t>Name</w:t>
            </w:r>
          </w:p>
        </w:tc>
        <w:tc>
          <w:tcPr>
            <w:tcW w:w="1480" w:type="dxa"/>
            <w:vAlign w:val="bottom"/>
            <w:tcBorders>
              <w:bottom w:val="single" w:sz="8" w:color="3F000B"/>
              <w:right w:val="single" w:sz="8" w:color="3F000B"/>
            </w:tcBorders>
            <w:shd w:val="clear" w:color="auto" w:fill="3F000B"/>
          </w:tcPr>
          <w:p>
            <w:pPr>
              <w:jc w:val="right"/>
              <w:ind w:right="588"/>
              <w:spacing w:after="0"/>
              <w:rPr>
                <w:sz w:val="20"/>
                <w:szCs w:val="20"/>
                <w:color w:val="auto"/>
              </w:rPr>
            </w:pPr>
            <w:r>
              <w:rPr>
                <w:rFonts w:ascii="Arial" w:cs="Arial" w:eastAsia="Arial" w:hAnsi="Arial"/>
                <w:sz w:val="14"/>
                <w:szCs w:val="14"/>
                <w:b w:val="1"/>
                <w:bCs w:val="1"/>
                <w:color w:val="FFFFFF"/>
              </w:rPr>
              <w:t>(#)</w:t>
            </w:r>
          </w:p>
        </w:tc>
      </w:tr>
      <w:tr>
        <w:trPr>
          <w:trHeight w:val="191"/>
        </w:trPr>
        <w:tc>
          <w:tcPr>
            <w:tcW w:w="88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Pamela M. Arway</w:t>
            </w:r>
          </w:p>
        </w:tc>
        <w:tc>
          <w:tcPr>
            <w:tcW w:w="148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304</w:t>
            </w:r>
          </w:p>
        </w:tc>
      </w:tr>
      <w:tr>
        <w:trPr>
          <w:trHeight w:val="26"/>
        </w:trPr>
        <w:tc>
          <w:tcPr>
            <w:tcW w:w="8880" w:type="dxa"/>
            <w:vAlign w:val="bottom"/>
            <w:tcBorders>
              <w:left w:val="single" w:sz="8" w:color="3F000B"/>
              <w:right w:val="single" w:sz="8" w:color="3F000B"/>
            </w:tcBorders>
          </w:tcPr>
          <w:p>
            <w:pPr>
              <w:spacing w:after="0"/>
              <w:rPr>
                <w:sz w:val="2"/>
                <w:szCs w:val="2"/>
                <w:color w:val="auto"/>
              </w:rPr>
            </w:pPr>
          </w:p>
        </w:tc>
        <w:tc>
          <w:tcPr>
            <w:tcW w:w="1480" w:type="dxa"/>
            <w:vAlign w:val="bottom"/>
            <w:tcBorders>
              <w:right w:val="single" w:sz="8" w:color="3F000B"/>
            </w:tcBorders>
          </w:tcPr>
          <w:p>
            <w:pPr>
              <w:spacing w:after="0"/>
              <w:rPr>
                <w:sz w:val="2"/>
                <w:szCs w:val="2"/>
                <w:color w:val="auto"/>
              </w:rPr>
            </w:pPr>
          </w:p>
        </w:tc>
      </w:tr>
      <w:tr>
        <w:trPr>
          <w:trHeight w:val="196"/>
        </w:trPr>
        <w:tc>
          <w:tcPr>
            <w:tcW w:w="88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Michele G. Buck</w:t>
            </w:r>
          </w:p>
        </w:tc>
        <w:tc>
          <w:tcPr>
            <w:tcW w:w="148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4,457</w:t>
            </w:r>
          </w:p>
        </w:tc>
      </w:tr>
      <w:tr>
        <w:trPr>
          <w:trHeight w:val="190"/>
        </w:trPr>
        <w:tc>
          <w:tcPr>
            <w:tcW w:w="88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Charles A. Davis</w:t>
            </w:r>
          </w:p>
        </w:tc>
        <w:tc>
          <w:tcPr>
            <w:tcW w:w="148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304</w:t>
            </w:r>
          </w:p>
        </w:tc>
      </w:tr>
      <w:tr>
        <w:trPr>
          <w:trHeight w:val="26"/>
        </w:trPr>
        <w:tc>
          <w:tcPr>
            <w:tcW w:w="8880" w:type="dxa"/>
            <w:vAlign w:val="bottom"/>
            <w:tcBorders>
              <w:left w:val="single" w:sz="8" w:color="3F000B"/>
              <w:right w:val="single" w:sz="8" w:color="3F000B"/>
            </w:tcBorders>
          </w:tcPr>
          <w:p>
            <w:pPr>
              <w:spacing w:after="0"/>
              <w:rPr>
                <w:sz w:val="2"/>
                <w:szCs w:val="2"/>
                <w:color w:val="auto"/>
              </w:rPr>
            </w:pPr>
          </w:p>
        </w:tc>
        <w:tc>
          <w:tcPr>
            <w:tcW w:w="1480" w:type="dxa"/>
            <w:vAlign w:val="bottom"/>
            <w:tcBorders>
              <w:right w:val="single" w:sz="8" w:color="3F000B"/>
            </w:tcBorders>
          </w:tcPr>
          <w:p>
            <w:pPr>
              <w:spacing w:after="0"/>
              <w:rPr>
                <w:sz w:val="2"/>
                <w:szCs w:val="2"/>
                <w:color w:val="auto"/>
              </w:rPr>
            </w:pPr>
          </w:p>
        </w:tc>
      </w:tr>
      <w:tr>
        <w:trPr>
          <w:trHeight w:val="196"/>
        </w:trPr>
        <w:tc>
          <w:tcPr>
            <w:tcW w:w="88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Robert M. Malcolm</w:t>
            </w:r>
          </w:p>
        </w:tc>
        <w:tc>
          <w:tcPr>
            <w:tcW w:w="148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304</w:t>
            </w:r>
          </w:p>
        </w:tc>
      </w:tr>
      <w:tr>
        <w:trPr>
          <w:trHeight w:val="190"/>
        </w:trPr>
        <w:tc>
          <w:tcPr>
            <w:tcW w:w="88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Anthony J. Palmer</w:t>
            </w:r>
          </w:p>
        </w:tc>
        <w:tc>
          <w:tcPr>
            <w:tcW w:w="148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304</w:t>
            </w:r>
          </w:p>
        </w:tc>
      </w:tr>
      <w:tr>
        <w:trPr>
          <w:trHeight w:val="26"/>
        </w:trPr>
        <w:tc>
          <w:tcPr>
            <w:tcW w:w="8880" w:type="dxa"/>
            <w:vAlign w:val="bottom"/>
            <w:tcBorders>
              <w:left w:val="single" w:sz="8" w:color="3F000B"/>
              <w:right w:val="single" w:sz="8" w:color="3F000B"/>
            </w:tcBorders>
          </w:tcPr>
          <w:p>
            <w:pPr>
              <w:spacing w:after="0"/>
              <w:rPr>
                <w:sz w:val="2"/>
                <w:szCs w:val="2"/>
                <w:color w:val="auto"/>
              </w:rPr>
            </w:pPr>
          </w:p>
        </w:tc>
        <w:tc>
          <w:tcPr>
            <w:tcW w:w="1480" w:type="dxa"/>
            <w:vAlign w:val="bottom"/>
            <w:tcBorders>
              <w:right w:val="single" w:sz="8" w:color="3F000B"/>
            </w:tcBorders>
          </w:tcPr>
          <w:p>
            <w:pPr>
              <w:spacing w:after="0"/>
              <w:rPr>
                <w:sz w:val="2"/>
                <w:szCs w:val="2"/>
                <w:color w:val="auto"/>
              </w:rPr>
            </w:pPr>
          </w:p>
        </w:tc>
      </w:tr>
      <w:tr>
        <w:trPr>
          <w:trHeight w:val="196"/>
        </w:trPr>
        <w:tc>
          <w:tcPr>
            <w:tcW w:w="88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Juan R. Perez</w:t>
            </w:r>
          </w:p>
        </w:tc>
        <w:tc>
          <w:tcPr>
            <w:tcW w:w="148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304</w:t>
            </w:r>
          </w:p>
        </w:tc>
      </w:tr>
      <w:tr>
        <w:trPr>
          <w:trHeight w:val="190"/>
        </w:trPr>
        <w:tc>
          <w:tcPr>
            <w:tcW w:w="8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Charles R. Raup</w:t>
            </w:r>
          </w:p>
        </w:tc>
        <w:tc>
          <w:tcPr>
            <w:tcW w:w="14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556</w:t>
            </w:r>
          </w:p>
        </w:tc>
      </w:tr>
      <w:tr>
        <w:trPr>
          <w:trHeight w:val="26"/>
        </w:trPr>
        <w:tc>
          <w:tcPr>
            <w:tcW w:w="8880" w:type="dxa"/>
            <w:vAlign w:val="bottom"/>
            <w:tcBorders>
              <w:left w:val="single" w:sz="8" w:color="auto"/>
              <w:right w:val="single" w:sz="8" w:color="auto"/>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r>
      <w:tr>
        <w:trPr>
          <w:trHeight w:val="196"/>
        </w:trPr>
        <w:tc>
          <w:tcPr>
            <w:tcW w:w="8880" w:type="dxa"/>
            <w:vAlign w:val="bottom"/>
            <w:tcBorders>
              <w:left w:val="single" w:sz="8" w:color="auto"/>
              <w:bottom w:val="single" w:sz="8" w:color="DADADA"/>
              <w:right w:val="single" w:sz="8" w:color="auto"/>
            </w:tcBorders>
            <w:shd w:val="clear" w:color="auto" w:fill="DADADA"/>
          </w:tcPr>
          <w:p>
            <w:pPr>
              <w:ind w:left="20"/>
              <w:spacing w:after="0"/>
              <w:rPr>
                <w:sz w:val="20"/>
                <w:szCs w:val="20"/>
                <w:color w:val="auto"/>
              </w:rPr>
            </w:pPr>
            <w:r>
              <w:rPr>
                <w:rFonts w:ascii="Arial" w:cs="Arial" w:eastAsia="Arial" w:hAnsi="Arial"/>
                <w:sz w:val="14"/>
                <w:szCs w:val="14"/>
                <w:color w:val="auto"/>
              </w:rPr>
              <w:t>Jason R. Reiman</w:t>
            </w:r>
          </w:p>
        </w:tc>
        <w:tc>
          <w:tcPr>
            <w:tcW w:w="1480" w:type="dxa"/>
            <w:vAlign w:val="bottom"/>
            <w:tcBorders>
              <w:bottom w:val="single" w:sz="8" w:color="DADADA"/>
              <w:right w:val="single" w:sz="8" w:color="auto"/>
            </w:tcBorders>
            <w:shd w:val="clear" w:color="auto" w:fill="DADADA"/>
          </w:tcPr>
          <w:p>
            <w:pPr>
              <w:jc w:val="right"/>
              <w:ind w:right="8"/>
              <w:spacing w:after="0"/>
              <w:rPr>
                <w:sz w:val="20"/>
                <w:szCs w:val="20"/>
                <w:color w:val="auto"/>
              </w:rPr>
            </w:pPr>
            <w:r>
              <w:rPr>
                <w:rFonts w:ascii="Arial" w:cs="Arial" w:eastAsia="Arial" w:hAnsi="Arial"/>
                <w:sz w:val="14"/>
                <w:szCs w:val="14"/>
                <w:color w:val="auto"/>
              </w:rPr>
              <w:t>570</w:t>
            </w:r>
          </w:p>
        </w:tc>
      </w:tr>
      <w:tr>
        <w:trPr>
          <w:trHeight w:val="190"/>
        </w:trPr>
        <w:tc>
          <w:tcPr>
            <w:tcW w:w="888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David L. Shedlarz</w:t>
            </w:r>
          </w:p>
        </w:tc>
        <w:tc>
          <w:tcPr>
            <w:tcW w:w="148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304</w:t>
            </w:r>
          </w:p>
        </w:tc>
      </w:tr>
      <w:tr>
        <w:trPr>
          <w:trHeight w:val="26"/>
        </w:trPr>
        <w:tc>
          <w:tcPr>
            <w:tcW w:w="8880" w:type="dxa"/>
            <w:vAlign w:val="bottom"/>
            <w:tcBorders>
              <w:left w:val="single" w:sz="8" w:color="3F000B"/>
              <w:right w:val="single" w:sz="8" w:color="3F000B"/>
            </w:tcBorders>
          </w:tcPr>
          <w:p>
            <w:pPr>
              <w:spacing w:after="0"/>
              <w:rPr>
                <w:sz w:val="2"/>
                <w:szCs w:val="2"/>
                <w:color w:val="auto"/>
              </w:rPr>
            </w:pPr>
          </w:p>
        </w:tc>
        <w:tc>
          <w:tcPr>
            <w:tcW w:w="1480" w:type="dxa"/>
            <w:vAlign w:val="bottom"/>
            <w:tcBorders>
              <w:right w:val="single" w:sz="8" w:color="3F000B"/>
            </w:tcBorders>
          </w:tcPr>
          <w:p>
            <w:pPr>
              <w:spacing w:after="0"/>
              <w:rPr>
                <w:sz w:val="2"/>
                <w:szCs w:val="2"/>
                <w:color w:val="auto"/>
              </w:rPr>
            </w:pPr>
          </w:p>
        </w:tc>
      </w:tr>
      <w:tr>
        <w:trPr>
          <w:trHeight w:val="196"/>
        </w:trPr>
        <w:tc>
          <w:tcPr>
            <w:tcW w:w="888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Steven E. Voskuil</w:t>
            </w:r>
          </w:p>
        </w:tc>
        <w:tc>
          <w:tcPr>
            <w:tcW w:w="148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1,727</w:t>
            </w:r>
          </w:p>
        </w:tc>
      </w:tr>
      <w:tr>
        <w:trPr>
          <w:trHeight w:val="20"/>
        </w:trPr>
        <w:tc>
          <w:tcPr>
            <w:tcW w:w="8880" w:type="dxa"/>
            <w:vAlign w:val="bottom"/>
            <w:tcBorders>
              <w:left w:val="single" w:sz="8" w:color="3F000B"/>
              <w:right w:val="single" w:sz="8" w:color="3F000B"/>
            </w:tcBorders>
            <w:shd w:val="clear" w:color="auto" w:fill="3F000B"/>
          </w:tcPr>
          <w:p>
            <w:pPr>
              <w:spacing w:after="0" w:line="20" w:lineRule="exact"/>
              <w:rPr>
                <w:sz w:val="1"/>
                <w:szCs w:val="1"/>
                <w:color w:val="auto"/>
              </w:rPr>
            </w:pPr>
          </w:p>
        </w:tc>
        <w:tc>
          <w:tcPr>
            <w:tcW w:w="1480" w:type="dxa"/>
            <w:vAlign w:val="bottom"/>
            <w:tcBorders>
              <w:right w:val="single" w:sz="8" w:color="3F000B"/>
            </w:tcBorders>
            <w:shd w:val="clear" w:color="auto" w:fill="3F000B"/>
          </w:tcPr>
          <w:p>
            <w:pPr>
              <w:spacing w:after="0" w:line="20" w:lineRule="exact"/>
              <w:rPr>
                <w:sz w:val="1"/>
                <w:szCs w:val="1"/>
                <w:color w:val="auto"/>
              </w:rPr>
            </w:pPr>
          </w:p>
        </w:tc>
      </w:tr>
    </w:tbl>
    <w:p>
      <w:pPr>
        <w:spacing w:after="0" w:line="305" w:lineRule="exact"/>
        <w:rPr>
          <w:sz w:val="20"/>
          <w:szCs w:val="20"/>
          <w:color w:val="auto"/>
        </w:rPr>
      </w:pPr>
    </w:p>
    <w:p>
      <w:pPr>
        <w:ind w:left="340" w:right="40"/>
        <w:spacing w:after="0" w:line="273" w:lineRule="auto"/>
        <w:rPr>
          <w:sz w:val="20"/>
          <w:szCs w:val="20"/>
          <w:color w:val="auto"/>
        </w:rPr>
      </w:pPr>
      <w:r>
        <w:rPr>
          <w:rFonts w:ascii="Arial" w:cs="Arial" w:eastAsia="Arial" w:hAnsi="Arial"/>
          <w:sz w:val="14"/>
          <w:szCs w:val="14"/>
          <w:color w:val="auto"/>
        </w:rPr>
        <w:t>For all directors and executive officers as a group, the amount listed also includes 1,187 RSUs that will vest and be paid within 60 days of March 18, 2021 to executive officers who are not a NEO.</w:t>
      </w:r>
    </w:p>
    <w:p>
      <w:pPr>
        <w:spacing w:after="0" w:line="201" w:lineRule="exact"/>
        <w:rPr>
          <w:sz w:val="20"/>
          <w:szCs w:val="20"/>
          <w:color w:val="auto"/>
        </w:rPr>
      </w:pPr>
    </w:p>
    <w:p>
      <w:pPr>
        <w:ind w:left="340"/>
        <w:spacing w:after="0" w:line="257" w:lineRule="auto"/>
        <w:rPr>
          <w:sz w:val="20"/>
          <w:szCs w:val="20"/>
          <w:color w:val="auto"/>
        </w:rPr>
      </w:pPr>
      <w:r>
        <w:rPr>
          <w:rFonts w:ascii="Arial" w:cs="Arial" w:eastAsia="Arial" w:hAnsi="Arial"/>
          <w:sz w:val="14"/>
          <w:szCs w:val="14"/>
          <w:color w:val="auto"/>
        </w:rPr>
        <w:t>Amounts listed also include shares for which certain of the directors share voting and/or investment power with one or more other persons as follows: Ms. Arway, 14,825 shares owned jointly with her spouse; Ms. Koken, 600 shares held at Glenmede Trust Company; Mr. Malcolm, 12,308 shares owned jointly with his spouse; Mr. Palmer, 12,258 shares owned jointly with his spouse and Mr. Walling, 27,128 shares owned jointly with his spouse.</w:t>
      </w:r>
    </w:p>
    <w:p>
      <w:pPr>
        <w:spacing w:after="0" w:line="212"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upon 146,302,245 shares of Common Stock outstanding on March 18, 2021.</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Based upon 60,613,777 shares of Class B Common Stock outstanding on March 18, 2021.</w:t>
      </w:r>
    </w:p>
    <w:p>
      <w:pPr>
        <w:spacing w:after="0" w:line="109" w:lineRule="exact"/>
        <w:rPr>
          <w:rFonts w:ascii="Arial" w:cs="Arial" w:eastAsia="Arial" w:hAnsi="Arial"/>
          <w:sz w:val="14"/>
          <w:szCs w:val="14"/>
          <w:color w:val="auto"/>
        </w:rPr>
      </w:pPr>
    </w:p>
    <w:p>
      <w:pPr>
        <w:ind w:left="340" w:hanging="332"/>
        <w:spacing w:after="0" w:line="270" w:lineRule="auto"/>
        <w:tabs>
          <w:tab w:leader="none" w:pos="332" w:val="left"/>
        </w:tabs>
        <w:numPr>
          <w:ilvl w:val="0"/>
          <w:numId w:val="117"/>
        </w:numPr>
        <w:rPr>
          <w:rFonts w:ascii="Arial" w:cs="Arial" w:eastAsia="Arial" w:hAnsi="Arial"/>
          <w:sz w:val="13"/>
          <w:szCs w:val="13"/>
          <w:color w:val="auto"/>
        </w:rPr>
      </w:pPr>
      <w:r>
        <w:rPr>
          <w:rFonts w:ascii="Arial" w:cs="Arial" w:eastAsia="Arial" w:hAnsi="Arial"/>
          <w:sz w:val="13"/>
          <w:szCs w:val="13"/>
          <w:color w:val="auto"/>
        </w:rPr>
        <w:t>Hershey Trust Company, as trustee for the Milton Hershey School Trust, has the right at any time to convert its Class B Common Stock into Common Stock on a share-for-share basis. If on March 18, 2021, Hershey Trust Company, as trustee for the Milton Hershey School Trust, converted all of its Class B Common Stock into Common Stock, Hershey Trust Company, as trustee for the Milton Hershey School Trust, would own beneficially 60,659,182 shares of our Common Stock (47,170 Common Stock shares plus 60,612,012 converted Class B Common Stock shares), or 29.3% of the 206,914,257 shares of Common Stock outstanding following the conversion (calculated as 146,302,245 Common Stock shares outstanding prior to the conversion plus 60,612,012 converted Class B Common Stock shares). For more information about the Milton Hershey School Trust, Hershey Trust Company, Milton Hershey School and the ownership and voting of these securities, please see the section entitled “Information Regarding Our Controlling Stockholder.”</w:t>
      </w:r>
    </w:p>
    <w:p>
      <w:pPr>
        <w:spacing w:after="0" w:line="70" w:lineRule="exact"/>
        <w:rPr>
          <w:rFonts w:ascii="Arial" w:cs="Arial" w:eastAsia="Arial" w:hAnsi="Arial"/>
          <w:sz w:val="13"/>
          <w:szCs w:val="13"/>
          <w:color w:val="auto"/>
        </w:rPr>
      </w:pPr>
    </w:p>
    <w:p>
      <w:pPr>
        <w:ind w:left="320" w:hanging="312"/>
        <w:spacing w:after="0"/>
        <w:tabs>
          <w:tab w:leader="none" w:pos="3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Please see the section entitled “Information Regarding Our Controlling Stockholder” for more information about shares of Common Stock held by Hershey Trust Company as investments.</w:t>
      </w:r>
    </w:p>
    <w:p>
      <w:pPr>
        <w:spacing w:after="0" w:line="120" w:lineRule="exact"/>
        <w:rPr>
          <w:rFonts w:ascii="Arial" w:cs="Arial" w:eastAsia="Arial" w:hAnsi="Arial"/>
          <w:sz w:val="13"/>
          <w:szCs w:val="13"/>
          <w:color w:val="auto"/>
        </w:rPr>
      </w:pPr>
    </w:p>
    <w:p>
      <w:pPr>
        <w:ind w:left="340" w:right="520" w:hanging="332"/>
        <w:spacing w:after="0" w:line="286" w:lineRule="auto"/>
        <w:tabs>
          <w:tab w:leader="none" w:pos="332"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Information regarding BlackRock, Inc. and its beneficial holdings was obtained from a Schedule 13G/A filed with the SEC on January 27, 2021. The filing indicated that, as of December 31, 2020, BlackRock, Inc. had sole voting power over 13,499,651 shares, shared voting power over no shares, sole investment power over 15,462,485 shares and shared investment power over no shares. The filing indicated that BlackRock, Inc. is a parent holding company or control person in accordance with Rule 13d-1(b)(1)(ii)(G).</w:t>
      </w:r>
    </w:p>
    <w:p>
      <w:pPr>
        <w:spacing w:after="0" w:line="59" w:lineRule="exact"/>
        <w:rPr>
          <w:rFonts w:ascii="Arial" w:cs="Arial" w:eastAsia="Arial" w:hAnsi="Arial"/>
          <w:sz w:val="13"/>
          <w:szCs w:val="13"/>
          <w:color w:val="auto"/>
        </w:rPr>
      </w:pPr>
    </w:p>
    <w:p>
      <w:pPr>
        <w:jc w:val="both"/>
        <w:ind w:left="340" w:right="360" w:hanging="332"/>
        <w:spacing w:after="0" w:line="286" w:lineRule="auto"/>
        <w:tabs>
          <w:tab w:leader="none" w:pos="332"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Information regarding Vanguard Group, Inc. and its beneficial holdings was obtained from a Schedule 13G/A filed with the SEC on February 10, 2021. The filing indicated that, as of December 31, 2020, Vanguard Group, Inc. had sole voting power over no shares, shared voting power over 289,333 shares, sole investment power over 12,783,950 shares and shared investment power over 693,181 shares. The filing indicated that Vanguard Group, Inc. is an investment advisor in accordance with Rule 13d-1(b)(1)(ii)(E).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Ownership of Other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642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64280" cy="8255"/>
                    </a:xfrm>
                    <a:prstGeom prst="rect">
                      <a:avLst/>
                    </a:prstGeom>
                    <a:noFill/>
                  </pic:spPr>
                </pic:pic>
              </a:graphicData>
            </a:graphic>
          </wp:anchor>
        </w:drawing>
      </w:r>
    </w:p>
    <w:p>
      <w:pPr>
        <w:spacing w:after="0" w:line="9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Certain directors and NEOs hold Company securities not reflected in the beneficial ownership table above because they will not convert, or cannot be converted, to shares of Common Stock within 60 days of our March 18, 2021 Record Date. These securities include:</w:t>
      </w:r>
    </w:p>
    <w:p>
      <w:pPr>
        <w:spacing w:after="0" w:line="38"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Certain unvested RSUs or deferred common stock units held by our directors and NEOs;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Certain unvested stock options held by our NEOs.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890" w:right="399" w:bottom="1440" w:gutter="0" w:footer="0" w:header="0"/>
        </w:sectPr>
      </w:pPr>
    </w:p>
    <w:bookmarkStart w:id="43" w:name="page44"/>
    <w:bookmarkEnd w:id="43"/>
    <w:p>
      <w:pPr>
        <w:jc w:val="both"/>
        <w:ind w:right="300"/>
        <w:spacing w:after="0" w:line="263" w:lineRule="auto"/>
        <w:rPr>
          <w:sz w:val="20"/>
          <w:szCs w:val="20"/>
          <w:color w:val="auto"/>
        </w:rPr>
      </w:pPr>
      <w:r>
        <w:rPr>
          <w:rFonts w:ascii="Arial" w:cs="Arial" w:eastAsia="Arial" w:hAnsi="Arial"/>
          <w:sz w:val="18"/>
          <w:szCs w:val="18"/>
          <w:color w:val="auto"/>
        </w:rPr>
        <w:t>The table below shows these holdings as of March 18, 2021. You can find additional information about RSUs and deferred common stock units held by directors in the section entitled “Non-Employee Director Compensation.” You can find additional information about stock options, RSUs and deferred common stock units held by the NEOs in the section entitled “Executive Compensation.”</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5160" w:type="dxa"/>
            <w:vAlign w:val="bottom"/>
            <w:tcBorders>
              <w:top w:val="single" w:sz="8" w:color="3F000B"/>
              <w:left w:val="single" w:sz="8" w:color="3F000B"/>
              <w:right w:val="single" w:sz="8" w:color="DADADA"/>
            </w:tcBorders>
            <w:shd w:val="clear" w:color="auto" w:fill="3F000B"/>
          </w:tcPr>
          <w:p>
            <w:pPr>
              <w:spacing w:after="0"/>
              <w:rPr>
                <w:sz w:val="24"/>
                <w:szCs w:val="24"/>
                <w:color w:val="auto"/>
              </w:rPr>
            </w:pPr>
          </w:p>
        </w:tc>
        <w:tc>
          <w:tcPr>
            <w:tcW w:w="304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9"/>
              </w:rPr>
              <w:t>Shares Underlying RSUs and</w:t>
            </w:r>
          </w:p>
        </w:tc>
        <w:tc>
          <w:tcPr>
            <w:tcW w:w="302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Shares Underlying</w:t>
            </w:r>
          </w:p>
        </w:tc>
      </w:tr>
      <w:tr>
        <w:trPr>
          <w:trHeight w:val="216"/>
        </w:trPr>
        <w:tc>
          <w:tcPr>
            <w:tcW w:w="5160" w:type="dxa"/>
            <w:vAlign w:val="bottom"/>
            <w:tcBorders>
              <w:left w:val="single" w:sz="8" w:color="3F000B"/>
              <w:right w:val="single" w:sz="8" w:color="DADADA"/>
            </w:tcBorders>
            <w:shd w:val="clear" w:color="auto" w:fill="3F000B"/>
          </w:tcPr>
          <w:p>
            <w:pPr>
              <w:spacing w:after="0"/>
              <w:rPr>
                <w:sz w:val="18"/>
                <w:szCs w:val="18"/>
                <w:color w:val="auto"/>
              </w:rPr>
            </w:pPr>
          </w:p>
        </w:tc>
        <w:tc>
          <w:tcPr>
            <w:tcW w:w="3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Common Stock Units Not</w:t>
            </w:r>
          </w:p>
        </w:tc>
        <w:tc>
          <w:tcPr>
            <w:tcW w:w="30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Stock Options Not</w:t>
            </w:r>
          </w:p>
        </w:tc>
      </w:tr>
      <w:tr>
        <w:trPr>
          <w:trHeight w:val="255"/>
        </w:trPr>
        <w:tc>
          <w:tcPr>
            <w:tcW w:w="5160" w:type="dxa"/>
            <w:vAlign w:val="bottom"/>
            <w:tcBorders>
              <w:left w:val="single" w:sz="8" w:color="3F000B"/>
              <w:bottom w:val="single" w:sz="8" w:color="3F000B"/>
              <w:right w:val="single" w:sz="8" w:color="DADADA"/>
            </w:tcBorders>
            <w:shd w:val="clear" w:color="auto" w:fill="3F000B"/>
          </w:tcPr>
          <w:p>
            <w:pPr>
              <w:ind w:left="2300"/>
              <w:spacing w:after="0"/>
              <w:rPr>
                <w:sz w:val="20"/>
                <w:szCs w:val="20"/>
                <w:color w:val="auto"/>
              </w:rPr>
            </w:pPr>
            <w:r>
              <w:rPr>
                <w:rFonts w:ascii="Arial" w:cs="Arial" w:eastAsia="Arial" w:hAnsi="Arial"/>
                <w:sz w:val="18"/>
                <w:szCs w:val="18"/>
                <w:b w:val="1"/>
                <w:bCs w:val="1"/>
                <w:color w:val="FFFFFF"/>
              </w:rPr>
              <w:t>Holder</w:t>
            </w:r>
          </w:p>
        </w:tc>
        <w:tc>
          <w:tcPr>
            <w:tcW w:w="30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9"/>
              </w:rPr>
              <w:t>Beneficially Owned</w:t>
            </w:r>
          </w:p>
        </w:tc>
        <w:tc>
          <w:tcPr>
            <w:tcW w:w="302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Beneficially Owned</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Pamela M. Arway</w:t>
            </w:r>
            <w:r>
              <w:rPr>
                <w:rFonts w:ascii="Arial" w:cs="Arial" w:eastAsia="Arial" w:hAnsi="Arial"/>
                <w:sz w:val="16"/>
                <w:szCs w:val="16"/>
                <w:color w:val="auto"/>
              </w:rPr>
              <w:t>*</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871</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Damien Atkins</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3,186</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James W. Brown</w:t>
            </w:r>
            <w:r>
              <w:rPr>
                <w:rFonts w:ascii="Arial" w:cs="Arial" w:eastAsia="Arial" w:hAnsi="Arial"/>
                <w:sz w:val="16"/>
                <w:szCs w:val="16"/>
                <w:color w:val="auto"/>
              </w:rPr>
              <w:t>*</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5,386</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Michele G. Buck</w:t>
            </w:r>
            <w:r>
              <w:rPr>
                <w:rFonts w:ascii="Arial" w:cs="Arial" w:eastAsia="Arial" w:hAnsi="Arial"/>
                <w:sz w:val="16"/>
                <w:szCs w:val="16"/>
                <w:color w:val="auto"/>
              </w:rPr>
              <w:t>*</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109,316</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22,727</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Victor L. Crawford*</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1,036</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Charles A. Davis</w:t>
            </w:r>
            <w:r>
              <w:rPr>
                <w:rFonts w:ascii="Arial" w:cs="Arial" w:eastAsia="Arial" w:hAnsi="Arial"/>
                <w:sz w:val="16"/>
                <w:szCs w:val="16"/>
                <w:color w:val="auto"/>
              </w:rPr>
              <w:t>*</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871</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Robert M. Dutkowsky</w:t>
            </w:r>
            <w:r>
              <w:rPr>
                <w:rFonts w:ascii="Arial" w:cs="Arial" w:eastAsia="Arial" w:hAnsi="Arial"/>
                <w:sz w:val="16"/>
                <w:szCs w:val="16"/>
                <w:color w:val="auto"/>
              </w:rPr>
              <w:t>*</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664</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Mary Kay Haben</w:t>
            </w:r>
            <w:r>
              <w:rPr>
                <w:rFonts w:ascii="Arial" w:cs="Arial" w:eastAsia="Arial" w:hAnsi="Arial"/>
                <w:sz w:val="16"/>
                <w:szCs w:val="16"/>
                <w:color w:val="auto"/>
              </w:rPr>
              <w:t>*</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11,371</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James C. Katzman</w:t>
            </w:r>
            <w:r>
              <w:rPr>
                <w:rFonts w:ascii="Arial" w:cs="Arial" w:eastAsia="Arial" w:hAnsi="Arial"/>
                <w:sz w:val="16"/>
                <w:szCs w:val="16"/>
                <w:color w:val="auto"/>
              </w:rPr>
              <w:t>*</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6,308</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 Diane Koken</w:t>
            </w:r>
            <w:r>
              <w:rPr>
                <w:rFonts w:ascii="Arial" w:cs="Arial" w:eastAsia="Arial" w:hAnsi="Arial"/>
                <w:sz w:val="16"/>
                <w:szCs w:val="16"/>
                <w:color w:val="auto"/>
              </w:rPr>
              <w:t>*</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5,386</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Robert M. Malcolm</w:t>
            </w:r>
            <w:r>
              <w:rPr>
                <w:rFonts w:ascii="Arial" w:cs="Arial" w:eastAsia="Arial" w:hAnsi="Arial"/>
                <w:sz w:val="16"/>
                <w:szCs w:val="16"/>
                <w:color w:val="auto"/>
              </w:rPr>
              <w:t>*</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871</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Anthony J. Palmer</w:t>
            </w:r>
            <w:r>
              <w:rPr>
                <w:rFonts w:ascii="Arial" w:cs="Arial" w:eastAsia="Arial" w:hAnsi="Arial"/>
                <w:sz w:val="16"/>
                <w:szCs w:val="16"/>
                <w:color w:val="auto"/>
              </w:rPr>
              <w:t>*</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1,097</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Juan R. Perez</w:t>
            </w:r>
            <w:r>
              <w:rPr>
                <w:rFonts w:ascii="Arial" w:cs="Arial" w:eastAsia="Arial" w:hAnsi="Arial"/>
                <w:sz w:val="16"/>
                <w:szCs w:val="16"/>
                <w:color w:val="auto"/>
              </w:rPr>
              <w:t>*</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871</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left w:val="single" w:sz="8" w:color="auto"/>
              <w:right w:val="single" w:sz="8" w:color="3F000B"/>
            </w:tcBorders>
          </w:tcPr>
          <w:p>
            <w:pPr>
              <w:spacing w:after="0"/>
              <w:rPr>
                <w:sz w:val="2"/>
                <w:szCs w:val="2"/>
                <w:color w:val="auto"/>
              </w:rPr>
            </w:pPr>
          </w:p>
        </w:tc>
        <w:tc>
          <w:tcPr>
            <w:tcW w:w="3040" w:type="dxa"/>
            <w:vAlign w:val="bottom"/>
            <w:tcBorders>
              <w:right w:val="single" w:sz="8" w:color="3F000B"/>
            </w:tcBorders>
          </w:tcPr>
          <w:p>
            <w:pPr>
              <w:spacing w:after="0"/>
              <w:rPr>
                <w:sz w:val="2"/>
                <w:szCs w:val="2"/>
                <w:color w:val="auto"/>
              </w:rPr>
            </w:pPr>
          </w:p>
        </w:tc>
        <w:tc>
          <w:tcPr>
            <w:tcW w:w="3020" w:type="dxa"/>
            <w:vAlign w:val="bottom"/>
            <w:tcBorders>
              <w:right w:val="single" w:sz="8" w:color="3F000B"/>
            </w:tcBorders>
          </w:tcPr>
          <w:p>
            <w:pPr>
              <w:spacing w:after="0"/>
              <w:rPr>
                <w:sz w:val="2"/>
                <w:szCs w:val="2"/>
                <w:color w:val="auto"/>
              </w:rPr>
            </w:pP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Charles R. Raup</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5,547</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1,025</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Jason R. Reiman</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6,438</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872</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Wendy L. Schoppert</w:t>
            </w:r>
            <w:r>
              <w:rPr>
                <w:rFonts w:ascii="Arial" w:cs="Arial" w:eastAsia="Arial" w:hAnsi="Arial"/>
                <w:sz w:val="16"/>
                <w:szCs w:val="16"/>
                <w:color w:val="auto"/>
              </w:rPr>
              <w:t>*</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4,494</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David L. Shedlarz</w:t>
            </w:r>
            <w:r>
              <w:rPr>
                <w:rFonts w:ascii="Arial" w:cs="Arial" w:eastAsia="Arial" w:hAnsi="Arial"/>
                <w:sz w:val="16"/>
                <w:szCs w:val="16"/>
                <w:color w:val="auto"/>
              </w:rPr>
              <w:t>*</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871</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tcBorders>
              <w:left w:val="single" w:sz="8" w:color="auto"/>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Steven E. Voskuil</w:t>
            </w:r>
          </w:p>
        </w:tc>
        <w:tc>
          <w:tcPr>
            <w:tcW w:w="3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13,776</w:t>
            </w:r>
          </w:p>
        </w:tc>
        <w:tc>
          <w:tcPr>
            <w:tcW w:w="302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left w:val="single" w:sz="8" w:color="auto"/>
              <w:right w:val="single" w:sz="8" w:color="3F000B"/>
            </w:tcBorders>
          </w:tcPr>
          <w:p>
            <w:pPr>
              <w:ind w:left="40"/>
              <w:spacing w:after="0"/>
              <w:rPr>
                <w:sz w:val="20"/>
                <w:szCs w:val="20"/>
                <w:color w:val="auto"/>
              </w:rPr>
            </w:pPr>
            <w:r>
              <w:rPr>
                <w:rFonts w:ascii="Arial" w:cs="Arial" w:eastAsia="Arial" w:hAnsi="Arial"/>
                <w:sz w:val="18"/>
                <w:szCs w:val="18"/>
                <w:color w:val="auto"/>
              </w:rPr>
              <w:t>Kevin R. Walling</w:t>
            </w:r>
          </w:p>
        </w:tc>
        <w:tc>
          <w:tcPr>
            <w:tcW w:w="30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30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left w:val="single" w:sz="8" w:color="auto"/>
              <w:right w:val="single" w:sz="8" w:color="3F000B"/>
            </w:tcBorders>
          </w:tcPr>
          <w:p>
            <w:pPr>
              <w:spacing w:after="0"/>
              <w:rPr>
                <w:sz w:val="2"/>
                <w:szCs w:val="2"/>
                <w:color w:val="auto"/>
              </w:rPr>
            </w:pPr>
          </w:p>
        </w:tc>
        <w:tc>
          <w:tcPr>
            <w:tcW w:w="3040" w:type="dxa"/>
            <w:vAlign w:val="bottom"/>
            <w:tcBorders>
              <w:right w:val="single" w:sz="8" w:color="3F000B"/>
            </w:tcBorders>
          </w:tcPr>
          <w:p>
            <w:pPr>
              <w:spacing w:after="0"/>
              <w:rPr>
                <w:sz w:val="2"/>
                <w:szCs w:val="2"/>
                <w:color w:val="auto"/>
              </w:rPr>
            </w:pPr>
          </w:p>
        </w:tc>
        <w:tc>
          <w:tcPr>
            <w:tcW w:w="3020" w:type="dxa"/>
            <w:vAlign w:val="bottom"/>
            <w:tcBorders>
              <w:right w:val="single" w:sz="8" w:color="3F000B"/>
            </w:tcBorders>
          </w:tcPr>
          <w:p>
            <w:pPr>
              <w:spacing w:after="0"/>
              <w:rPr>
                <w:sz w:val="2"/>
                <w:szCs w:val="2"/>
                <w:color w:val="auto"/>
              </w:rPr>
            </w:pPr>
          </w:p>
        </w:tc>
      </w:tr>
      <w:tr>
        <w:trPr>
          <w:trHeight w:val="250"/>
        </w:trPr>
        <w:tc>
          <w:tcPr>
            <w:tcW w:w="5160" w:type="dxa"/>
            <w:vAlign w:val="bottom"/>
            <w:tcBorders>
              <w:left w:val="single" w:sz="8" w:color="auto"/>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Mary Beth West</w:t>
            </w:r>
          </w:p>
        </w:tc>
        <w:tc>
          <w:tcPr>
            <w:tcW w:w="304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left w:val="single" w:sz="8" w:color="auto"/>
              <w:right w:val="single" w:sz="8" w:color="3F000B"/>
            </w:tcBorders>
            <w:shd w:val="clear" w:color="auto" w:fill="3F000B"/>
          </w:tcPr>
          <w:p>
            <w:pPr>
              <w:spacing w:after="0" w:line="20" w:lineRule="exact"/>
              <w:rPr>
                <w:sz w:val="1"/>
                <w:szCs w:val="1"/>
                <w:color w:val="auto"/>
              </w:rPr>
            </w:pPr>
          </w:p>
        </w:tc>
        <w:tc>
          <w:tcPr>
            <w:tcW w:w="3040" w:type="dxa"/>
            <w:vAlign w:val="bottom"/>
            <w:tcBorders>
              <w:right w:val="single" w:sz="8" w:color="3F000B"/>
            </w:tcBorders>
            <w:shd w:val="clear" w:color="auto" w:fill="3F000B"/>
          </w:tcPr>
          <w:p>
            <w:pPr>
              <w:spacing w:after="0" w:line="20" w:lineRule="exact"/>
              <w:rPr>
                <w:sz w:val="1"/>
                <w:szCs w:val="1"/>
                <w:color w:val="auto"/>
              </w:rPr>
            </w:pPr>
          </w:p>
        </w:tc>
        <w:tc>
          <w:tcPr>
            <w:tcW w:w="3020" w:type="dxa"/>
            <w:vAlign w:val="bottom"/>
            <w:tcBorders>
              <w:right w:val="single" w:sz="8" w:color="3F000B"/>
            </w:tcBorders>
            <w:shd w:val="clear" w:color="auto" w:fill="3F000B"/>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w:t>
      </w:r>
    </w:p>
    <w:p>
      <w:pPr>
        <w:spacing w:after="0" w:line="130" w:lineRule="exact"/>
        <w:rPr>
          <w:sz w:val="20"/>
          <w:szCs w:val="20"/>
          <w:color w:val="auto"/>
        </w:rPr>
      </w:pPr>
    </w:p>
    <w:p>
      <w:pPr>
        <w:ind w:left="680" w:hanging="654"/>
        <w:spacing w:after="0"/>
        <w:tabs>
          <w:tab w:leader="none" w:pos="6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Director</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Information Regarding Our Controlling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1935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14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1909, Milton S. and Catherine S. Hershey established a trust having as its sole beneficiary Milton Hershey School, a non-profit school for the full-time care and education of disadvantaged children located in Hershey, Pennsylvania. Hershey Trust Company, a state-chartered trust company, is trustee of the Milton Hershey School Trust.</w:t>
      </w:r>
    </w:p>
    <w:p>
      <w:pPr>
        <w:spacing w:after="0" w:line="7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its capacity as trustee for the Milton Hershey School Trust, Hershey Trust Company is our controlling stockholder. In this capacity, it will have the right to cast .032% of all of the votes entitled to be cast on matters requiring the vote of the Common Stock voting separately and 80.6% of all of the votes entitled to be cast on matters requiring the vote of the Common Stock and Class B Common Stock voting together. The board of directors of Hershey Trust Company, with the approval of the board of managers (governing body) of Milton Hershey School (which authorizes the investment policy for the Milton Hershey School Trust), decides how funds held by Hershey Trust Company, as trustee for the Milton Hershey School Trust, will be invested and how its shares of The Hershey Company will be voted.</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the Record Date, Hershey Trust Company also held 76,430 shares of our Common Stock as investments. The board of directors or management of Hershey Trust Company decides how these shares will be voted.</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all, Hershey Trust Company, as trustee for the Milton Hershey School Trust and as direct owner of investment shares, will be entitled to vote 123,600 shares of our Common Stock and 60,612,012 shares of our Class B Common Stock at the Annual Meeting. Stated in terms of voting power, Hershey Trust Company will have the right to cast .084% of all of the votes entitled to be cast on matters requiring the vote of the Common Stock voting separately and 80.6% of all of the votes entitled to be cast on matters requiring the vote of the Common Stock and Class B Common Stock voting together at the Annual Meeting.</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1057" w:right="359" w:bottom="1440" w:gutter="0" w:footer="0" w:header="0"/>
          <w:type w:val="continuous"/>
        </w:sectPr>
      </w:pPr>
    </w:p>
    <w:bookmarkStart w:id="44" w:name="page45"/>
    <w:bookmarkEnd w:id="44"/>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contains the following important provisions regarding our Class B Common Stock:</w:t>
      </w:r>
    </w:p>
    <w:p>
      <w:pPr>
        <w:spacing w:after="0" w:line="117" w:lineRule="exact"/>
        <w:rPr>
          <w:sz w:val="20"/>
          <w:szCs w:val="20"/>
          <w:color w:val="auto"/>
        </w:rPr>
      </w:pPr>
    </w:p>
    <w:p>
      <w:pPr>
        <w:ind w:left="660" w:right="10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holders of Class B Common Stock, including Hershey Trust Company, as trustee for Milton Hershey School Trust, may convert any of their Class B Common Stock shares into shares of our Common Stock at any time on a share-for-share basis.</w:t>
      </w:r>
    </w:p>
    <w:p>
      <w:pPr>
        <w:spacing w:after="0" w:line="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shares of Class B Common Stock will automatically be converted to shares of Common Stock on a share-for-share basis if Hershey Trust Company, as trustee for Milton Hershey School Trust, or any successor trustee, or Milton Hershey School, as appropriate, ceases to hold more than 50% of the total Class B Common Stock shares outstanding and at least 15% of the total Common Stock and Class B Common Stock shares outstanding.</w:t>
      </w:r>
    </w:p>
    <w:p>
      <w:pPr>
        <w:spacing w:after="0" w:line="24" w:lineRule="exact"/>
        <w:rPr>
          <w:rFonts w:ascii="Arial" w:cs="Arial" w:eastAsia="Arial" w:hAnsi="Arial"/>
          <w:sz w:val="18"/>
          <w:szCs w:val="18"/>
          <w:color w:val="auto"/>
        </w:rPr>
      </w:pPr>
    </w:p>
    <w:p>
      <w:pPr>
        <w:ind w:left="660" w:hanging="328"/>
        <w:spacing w:after="0" w:line="301"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must obtain the approval of Hershey Trust Company, as trustee for Milton Hershey School Trust, or any successor trustee, or Milton Hershey School, as appropriate, before we issue any Common Stock or take any other action that would deprive Hershey Trust Company, as trustee for Milton Hershey School Trust, or any successor trustee, or Milton Hershey School, as appropriate, of the ability to cast a majority of the votes on any matter where the Class B Common Stock is entitled to vote, either separately as a class or together with any other class.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1440" w:right="47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25"/>
          <w:szCs w:val="25"/>
          <w:b w:val="1"/>
          <w:bCs w:val="1"/>
          <w:color w:val="3F000B"/>
        </w:rPr>
        <w:t>AUDIT COMMITTEE REPORT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To Our Stockholders:</w:t>
      </w:r>
    </w:p>
    <w:p>
      <w:pPr>
        <w:spacing w:after="0" w:line="21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Audit Committee is currently comprised of six directors, each of whom is considered independent under the NYSE Rules and the rules and regulations of the SEC. The Board has determined that each member of the Audit Committee is financially literate and that each of Ms. Schoppert and Messrs. Crawford and Shedlarz qualifies as an “audit committee financial expert,” as that term is defined under the rules promulgated by the SEC.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role as the Audit Committee is to assist the Board in its oversight of:</w:t>
      </w:r>
    </w:p>
    <w:p>
      <w:pPr>
        <w:spacing w:after="0" w:line="117"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performance of the independent auditors and the Company’s internal audit function.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operates under a written charter that was last reviewed by the Audit Committee on December 3, 2020.</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duties as an Audit Committee include overseeing the Company’s management, internal auditors and independent auditors in their performance of the following functions, for which they are responsible: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Management</w:t>
      </w:r>
    </w:p>
    <w:p>
      <w:pPr>
        <w:spacing w:after="0" w:line="117"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Preparing the Company’s financial statements;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Establishing effective financial reporting systems and internal controls and procedures;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Reporting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Internal Audit Department</w:t>
      </w:r>
    </w:p>
    <w:p>
      <w:pPr>
        <w:spacing w:after="0" w:line="117"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Independently assessing management’s system of internal controls and procedures;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Reporting on the effectiveness of that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Independent Auditors</w:t>
      </w:r>
    </w:p>
    <w:p>
      <w:pPr>
        <w:spacing w:after="0" w:line="117"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Auditing the Company’s financial statements;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Expressing an opinion about the financial statements’ conformity with U.S. generally accepted accounting principles;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Annually auditing the effectiveness of the Company’s internal control over financial reporting.</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We meet periodically with management, the internal auditors and independent auditors, independently and collectively, to discuss the quality of the Company’s financial reporting process and the adequacy and effectiveness of the Company’s internal controls. Prior to the Company filing its Annual Report on Form 10-K for the year ended December 31, 2020 with the SEC, we also:</w:t>
      </w:r>
    </w:p>
    <w:p>
      <w:pPr>
        <w:spacing w:after="0" w:line="76"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the independent auditors;</w:t>
      </w:r>
    </w:p>
    <w:p>
      <w:pPr>
        <w:spacing w:after="0" w:line="63"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required to be discussed by applicable requirements of the Public Company Accounting Oversight Board;</w:t>
      </w:r>
    </w:p>
    <w:p>
      <w:pPr>
        <w:spacing w:after="0" w:line="8" w:lineRule="exact"/>
        <w:rPr>
          <w:rFonts w:ascii="Arial" w:cs="Arial" w:eastAsia="Arial" w:hAnsi="Arial"/>
          <w:sz w:val="18"/>
          <w:szCs w:val="18"/>
          <w:color w:val="auto"/>
        </w:rPr>
      </w:pPr>
    </w:p>
    <w:p>
      <w:pPr>
        <w:ind w:left="660" w:right="160" w:hanging="328"/>
        <w:spacing w:after="0" w:line="316" w:lineRule="auto"/>
        <w:tabs>
          <w:tab w:leader="none" w:pos="65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the independent auditors in accordance with applicable requirements of the Public Company Accounting Oversight Board regarding the independent auditors’ communications with the Audit Committee concerning independence;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Discussed with the independent auditors their independence from the Company.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not employees of the Company and are not performing the functions of auditors or accountants. We are not responsible as an Audit Committee or individually to conduct “field work” or other types of auditing or accounting reviews or procedures or to set auditor independence standards. In carrying out our duties as Audit Committee members, we have relied on the information provided to us by management and the independent auditors. Consequently, we do not assure that the audit of the Company’s financial statements has been carried out in accordance with generally accepted auditing standards, that the financial statements are presented in accordance with U.S. generally accepted accounting principles or that the Company’s auditors are in fact “independent.”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886" w:right="35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Based on the reports and discussions described in this report, and subject to the limitations on our role and responsibilities as an Audit Committee referred to above and in our charter, we recommended to the Board that the audited financial statements be included in the Company’s Annual Report on Form 10-K for the year ended December 31, 2020, filed with the SEC on February 17, 2021.</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Submitted by the Audit Committee:</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L. Shedlarz, Chair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W. Brown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L. Crawford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Diane Koken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M. Malcolm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Wendy L. Schoppert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1057" w:right="45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25"/>
          <w:szCs w:val="25"/>
          <w:b w:val="1"/>
          <w:bCs w:val="1"/>
          <w:color w:val="3F000B"/>
        </w:rPr>
        <w:t>INFORMATION ABOUT OUR INDEPENDENT AUDITORS</w:t>
      </w:r>
    </w:p>
    <w:p>
      <w:pPr>
        <w:spacing w:after="0" w:line="3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the amount of audit fees, audit-related fees, tax fees and all other fees billed or expected to be billed by Ernst &amp; Young LLP, our independent auditors for the fiscal years ended December 31, 2020 and December 31, 2019:</w:t>
      </w:r>
    </w:p>
    <w:p>
      <w:pPr>
        <w:spacing w:after="0" w:line="84" w:lineRule="exact"/>
        <w:rPr>
          <w:sz w:val="20"/>
          <w:szCs w:val="20"/>
          <w:color w:val="auto"/>
        </w:rPr>
      </w:pPr>
    </w:p>
    <w:tbl>
      <w:tblPr>
        <w:tblLayout w:type="fixed"/>
        <w:tblInd w:w="670" w:type="dxa"/>
        <w:tblCellMar>
          <w:top w:w="0" w:type="dxa"/>
          <w:left w:w="0" w:type="dxa"/>
          <w:bottom w:w="0" w:type="dxa"/>
          <w:right w:w="0" w:type="dxa"/>
        </w:tblCellMar>
      </w:tblPr>
      <w:tr>
        <w:trPr>
          <w:trHeight w:val="189"/>
        </w:trPr>
        <w:tc>
          <w:tcPr>
            <w:tcW w:w="5400" w:type="dxa"/>
            <w:vAlign w:val="bottom"/>
            <w:tcBorders>
              <w:top w:val="single" w:sz="8" w:color="3F000B"/>
              <w:left w:val="single" w:sz="8" w:color="3F000B"/>
              <w:right w:val="single" w:sz="8" w:color="DADADA"/>
            </w:tcBorders>
            <w:vMerge w:val="restart"/>
            <w:shd w:val="clear" w:color="auto" w:fill="3F000B"/>
          </w:tcPr>
          <w:p>
            <w:pPr>
              <w:ind w:left="2140"/>
              <w:spacing w:after="0"/>
              <w:rPr>
                <w:sz w:val="20"/>
                <w:szCs w:val="20"/>
                <w:color w:val="auto"/>
              </w:rPr>
            </w:pPr>
            <w:r>
              <w:rPr>
                <w:rFonts w:ascii="Arial" w:cs="Arial" w:eastAsia="Arial" w:hAnsi="Arial"/>
                <w:sz w:val="18"/>
                <w:szCs w:val="18"/>
                <w:b w:val="1"/>
                <w:bCs w:val="1"/>
                <w:color w:val="FFFFFF"/>
              </w:rPr>
              <w:t>Nature of Fees</w:t>
            </w:r>
          </w:p>
        </w:tc>
        <w:tc>
          <w:tcPr>
            <w:tcW w:w="1680" w:type="dxa"/>
            <w:vAlign w:val="bottom"/>
            <w:tcBorders>
              <w:top w:val="single" w:sz="8" w:color="3F000B"/>
              <w:right w:val="single" w:sz="8" w:color="3F000B"/>
            </w:tcBorders>
            <w:shd w:val="clear" w:color="auto" w:fill="3F000B"/>
          </w:tcPr>
          <w:p>
            <w:pPr>
              <w:jc w:val="right"/>
              <w:ind w:right="590"/>
              <w:spacing w:after="0" w:line="189" w:lineRule="exact"/>
              <w:rPr>
                <w:sz w:val="20"/>
                <w:szCs w:val="20"/>
                <w:color w:val="auto"/>
              </w:rPr>
            </w:pPr>
            <w:r>
              <w:rPr>
                <w:rFonts w:ascii="Arial" w:cs="Arial" w:eastAsia="Arial" w:hAnsi="Arial"/>
                <w:sz w:val="18"/>
                <w:szCs w:val="18"/>
                <w:b w:val="1"/>
                <w:bCs w:val="1"/>
                <w:color w:val="FFFFFF"/>
              </w:rPr>
              <w:t>2020</w:t>
            </w:r>
          </w:p>
        </w:tc>
        <w:tc>
          <w:tcPr>
            <w:tcW w:w="1560" w:type="dxa"/>
            <w:vAlign w:val="bottom"/>
            <w:tcBorders>
              <w:top w:val="single" w:sz="8" w:color="3F000B"/>
              <w:right w:val="single" w:sz="8" w:color="3F000B"/>
            </w:tcBorders>
            <w:shd w:val="clear" w:color="auto" w:fill="3F000B"/>
          </w:tcPr>
          <w:p>
            <w:pPr>
              <w:jc w:val="right"/>
              <w:ind w:right="530"/>
              <w:spacing w:after="0" w:line="189" w:lineRule="exact"/>
              <w:rPr>
                <w:sz w:val="20"/>
                <w:szCs w:val="20"/>
                <w:color w:val="auto"/>
              </w:rPr>
            </w:pPr>
            <w:r>
              <w:rPr>
                <w:rFonts w:ascii="Arial" w:cs="Arial" w:eastAsia="Arial" w:hAnsi="Arial"/>
                <w:sz w:val="18"/>
                <w:szCs w:val="18"/>
                <w:b w:val="1"/>
                <w:bCs w:val="1"/>
                <w:color w:val="FFFFFF"/>
              </w:rPr>
              <w:t>2019</w:t>
            </w:r>
          </w:p>
        </w:tc>
        <w:tc>
          <w:tcPr>
            <w:tcW w:w="0" w:type="dxa"/>
            <w:vAlign w:val="bottom"/>
          </w:tcPr>
          <w:p>
            <w:pPr>
              <w:spacing w:after="0"/>
              <w:rPr>
                <w:sz w:val="1"/>
                <w:szCs w:val="1"/>
                <w:color w:val="auto"/>
              </w:rPr>
            </w:pPr>
          </w:p>
        </w:tc>
      </w:tr>
      <w:tr>
        <w:trPr>
          <w:trHeight w:val="230"/>
        </w:trPr>
        <w:tc>
          <w:tcPr>
            <w:tcW w:w="5400" w:type="dxa"/>
            <w:vAlign w:val="bottom"/>
            <w:tcBorders>
              <w:left w:val="single" w:sz="8" w:color="3F000B"/>
              <w:right w:val="single" w:sz="8" w:color="DADADA"/>
            </w:tcBorders>
            <w:vMerge w:val="continue"/>
            <w:shd w:val="clear" w:color="auto" w:fill="3F000B"/>
          </w:tcPr>
          <w:p>
            <w:pPr>
              <w:spacing w:after="0"/>
              <w:rPr>
                <w:sz w:val="19"/>
                <w:szCs w:val="19"/>
                <w:color w:val="auto"/>
              </w:rPr>
            </w:pPr>
          </w:p>
        </w:tc>
        <w:tc>
          <w:tcPr>
            <w:tcW w:w="1680" w:type="dxa"/>
            <w:vAlign w:val="bottom"/>
            <w:tcBorders>
              <w:right w:val="single" w:sz="8" w:color="3F000B"/>
            </w:tcBorders>
            <w:shd w:val="clear" w:color="auto" w:fill="3F000B"/>
          </w:tcPr>
          <w:p>
            <w:pPr>
              <w:jc w:val="right"/>
              <w:ind w:right="650"/>
              <w:spacing w:after="0"/>
              <w:rPr>
                <w:sz w:val="20"/>
                <w:szCs w:val="20"/>
                <w:color w:val="auto"/>
              </w:rPr>
            </w:pPr>
            <w:r>
              <w:rPr>
                <w:rFonts w:ascii="Arial" w:cs="Arial" w:eastAsia="Arial" w:hAnsi="Arial"/>
                <w:sz w:val="18"/>
                <w:szCs w:val="18"/>
                <w:b w:val="1"/>
                <w:bCs w:val="1"/>
                <w:color w:val="FFFFFF"/>
              </w:rPr>
              <w:t>($)</w:t>
            </w:r>
          </w:p>
        </w:tc>
        <w:tc>
          <w:tcPr>
            <w:tcW w:w="1560" w:type="dxa"/>
            <w:vAlign w:val="bottom"/>
            <w:tcBorders>
              <w:right w:val="single" w:sz="8" w:color="3F000B"/>
            </w:tcBorders>
            <w:shd w:val="clear" w:color="auto" w:fill="3F000B"/>
          </w:tcPr>
          <w:p>
            <w:pPr>
              <w:jc w:val="right"/>
              <w:ind w:right="59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3F000B"/>
              <w:left w:val="single" w:sz="8" w:color="3F000B"/>
              <w:right w:val="single" w:sz="8" w:color="3F000B"/>
            </w:tcBorders>
          </w:tcPr>
          <w:p>
            <w:pPr>
              <w:ind w:left="20"/>
              <w:spacing w:after="0"/>
              <w:rPr>
                <w:sz w:val="20"/>
                <w:szCs w:val="20"/>
                <w:color w:val="auto"/>
              </w:rPr>
            </w:pPr>
            <w:r>
              <w:rPr>
                <w:rFonts w:ascii="Arial" w:cs="Arial" w:eastAsia="Arial" w:hAnsi="Arial"/>
                <w:sz w:val="18"/>
                <w:szCs w:val="18"/>
                <w:color w:val="auto"/>
              </w:rPr>
              <w:t>Audit Fees</w:t>
            </w:r>
          </w:p>
        </w:tc>
        <w:tc>
          <w:tcPr>
            <w:tcW w:w="1680" w:type="dxa"/>
            <w:vAlign w:val="bottom"/>
            <w:tcBorders>
              <w:right w:val="single" w:sz="8" w:color="3F000B"/>
            </w:tcBorders>
          </w:tcPr>
          <w:p>
            <w:pPr>
              <w:jc w:val="right"/>
              <w:ind w:right="30"/>
              <w:spacing w:after="0"/>
              <w:rPr>
                <w:sz w:val="20"/>
                <w:szCs w:val="20"/>
                <w:color w:val="auto"/>
              </w:rPr>
            </w:pPr>
            <w:r>
              <w:rPr>
                <w:rFonts w:ascii="Arial" w:cs="Arial" w:eastAsia="Arial" w:hAnsi="Arial"/>
                <w:sz w:val="18"/>
                <w:szCs w:val="18"/>
                <w:color w:val="auto"/>
              </w:rPr>
              <w:t>4,967,785</w:t>
            </w:r>
          </w:p>
        </w:tc>
        <w:tc>
          <w:tcPr>
            <w:tcW w:w="1560" w:type="dxa"/>
            <w:vAlign w:val="bottom"/>
            <w:tcBorders>
              <w:right w:val="single" w:sz="8" w:color="3F000B"/>
            </w:tcBorders>
          </w:tcPr>
          <w:p>
            <w:pPr>
              <w:jc w:val="right"/>
              <w:ind w:right="30"/>
              <w:spacing w:after="0"/>
              <w:rPr>
                <w:sz w:val="20"/>
                <w:szCs w:val="20"/>
                <w:color w:val="auto"/>
              </w:rPr>
            </w:pPr>
            <w:r>
              <w:rPr>
                <w:rFonts w:ascii="Arial" w:cs="Arial" w:eastAsia="Arial" w:hAnsi="Arial"/>
                <w:sz w:val="18"/>
                <w:szCs w:val="18"/>
                <w:color w:val="auto"/>
              </w:rPr>
              <w:t>4,505,851</w:t>
            </w:r>
          </w:p>
        </w:tc>
        <w:tc>
          <w:tcPr>
            <w:tcW w:w="0" w:type="dxa"/>
            <w:vAlign w:val="bottom"/>
          </w:tcPr>
          <w:p>
            <w:pPr>
              <w:spacing w:after="0"/>
              <w:rPr>
                <w:sz w:val="1"/>
                <w:szCs w:val="1"/>
                <w:color w:val="auto"/>
              </w:rPr>
            </w:pPr>
          </w:p>
        </w:tc>
      </w:tr>
      <w:tr>
        <w:trPr>
          <w:trHeight w:val="243"/>
        </w:trPr>
        <w:tc>
          <w:tcPr>
            <w:tcW w:w="5400" w:type="dxa"/>
            <w:vAlign w:val="bottom"/>
            <w:tcBorders>
              <w:left w:val="single" w:sz="8" w:color="3F000B"/>
              <w:right w:val="single" w:sz="8" w:color="3F000B"/>
            </w:tcBorders>
            <w:shd w:val="clear" w:color="auto" w:fill="DADADA"/>
          </w:tcPr>
          <w:p>
            <w:pPr>
              <w:ind w:left="2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0"/>
                <w:szCs w:val="10"/>
                <w:color w:val="auto"/>
              </w:rPr>
              <w:t>(1)</w:t>
            </w:r>
          </w:p>
        </w:tc>
        <w:tc>
          <w:tcPr>
            <w:tcW w:w="1680" w:type="dxa"/>
            <w:vAlign w:val="bottom"/>
            <w:tcBorders>
              <w:right w:val="single" w:sz="8" w:color="3F000B"/>
            </w:tcBorders>
            <w:shd w:val="clear" w:color="auto" w:fill="DADADA"/>
          </w:tcPr>
          <w:p>
            <w:pPr>
              <w:jc w:val="right"/>
              <w:ind w:right="30"/>
              <w:spacing w:after="0"/>
              <w:rPr>
                <w:sz w:val="20"/>
                <w:szCs w:val="20"/>
                <w:color w:val="auto"/>
              </w:rPr>
            </w:pPr>
            <w:r>
              <w:rPr>
                <w:rFonts w:ascii="Arial" w:cs="Arial" w:eastAsia="Arial" w:hAnsi="Arial"/>
                <w:sz w:val="18"/>
                <w:szCs w:val="18"/>
                <w:color w:val="auto"/>
              </w:rPr>
              <w:t>4,502</w:t>
            </w:r>
          </w:p>
        </w:tc>
        <w:tc>
          <w:tcPr>
            <w:tcW w:w="1560" w:type="dxa"/>
            <w:vAlign w:val="bottom"/>
            <w:tcBorders>
              <w:right w:val="single" w:sz="8" w:color="3F000B"/>
            </w:tcBorders>
            <w:shd w:val="clear" w:color="auto" w:fill="DADADA"/>
          </w:tcPr>
          <w:p>
            <w:pPr>
              <w:jc w:val="right"/>
              <w:ind w:right="30"/>
              <w:spacing w:after="0"/>
              <w:rPr>
                <w:sz w:val="20"/>
                <w:szCs w:val="20"/>
                <w:color w:val="auto"/>
              </w:rPr>
            </w:pPr>
            <w:r>
              <w:rPr>
                <w:rFonts w:ascii="Arial" w:cs="Arial" w:eastAsia="Arial" w:hAnsi="Arial"/>
                <w:sz w:val="18"/>
                <w:szCs w:val="18"/>
                <w:color w:val="auto"/>
              </w:rPr>
              <w:t>288,646</w:t>
            </w:r>
          </w:p>
        </w:tc>
        <w:tc>
          <w:tcPr>
            <w:tcW w:w="0" w:type="dxa"/>
            <w:vAlign w:val="bottom"/>
          </w:tcPr>
          <w:p>
            <w:pPr>
              <w:spacing w:after="0"/>
              <w:rPr>
                <w:sz w:val="1"/>
                <w:szCs w:val="1"/>
                <w:color w:val="auto"/>
              </w:rPr>
            </w:pPr>
          </w:p>
        </w:tc>
      </w:tr>
      <w:tr>
        <w:trPr>
          <w:trHeight w:val="243"/>
        </w:trPr>
        <w:tc>
          <w:tcPr>
            <w:tcW w:w="540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10"/>
                <w:szCs w:val="10"/>
                <w:color w:val="auto"/>
              </w:rPr>
              <w:t>(2)</w:t>
            </w:r>
          </w:p>
        </w:tc>
        <w:tc>
          <w:tcPr>
            <w:tcW w:w="1680" w:type="dxa"/>
            <w:vAlign w:val="bottom"/>
            <w:tcBorders>
              <w:right w:val="single" w:sz="8" w:color="3F000B"/>
            </w:tcBorders>
          </w:tcPr>
          <w:p>
            <w:pPr>
              <w:jc w:val="right"/>
              <w:ind w:right="30"/>
              <w:spacing w:after="0"/>
              <w:rPr>
                <w:sz w:val="20"/>
                <w:szCs w:val="20"/>
                <w:color w:val="auto"/>
              </w:rPr>
            </w:pPr>
            <w:r>
              <w:rPr>
                <w:rFonts w:ascii="Arial" w:cs="Arial" w:eastAsia="Arial" w:hAnsi="Arial"/>
                <w:sz w:val="18"/>
                <w:szCs w:val="18"/>
                <w:color w:val="auto"/>
              </w:rPr>
              <w:t>246,336</w:t>
            </w:r>
          </w:p>
        </w:tc>
        <w:tc>
          <w:tcPr>
            <w:tcW w:w="1560" w:type="dxa"/>
            <w:vAlign w:val="bottom"/>
            <w:tcBorders>
              <w:right w:val="single" w:sz="8" w:color="3F000B"/>
            </w:tcBorders>
          </w:tcPr>
          <w:p>
            <w:pPr>
              <w:jc w:val="right"/>
              <w:ind w:right="30"/>
              <w:spacing w:after="0"/>
              <w:rPr>
                <w:sz w:val="20"/>
                <w:szCs w:val="20"/>
                <w:color w:val="auto"/>
              </w:rPr>
            </w:pPr>
            <w:r>
              <w:rPr>
                <w:rFonts w:ascii="Arial" w:cs="Arial" w:eastAsia="Arial" w:hAnsi="Arial"/>
                <w:sz w:val="18"/>
                <w:szCs w:val="18"/>
                <w:color w:val="auto"/>
              </w:rPr>
              <w:t>399,462</w:t>
            </w:r>
          </w:p>
        </w:tc>
        <w:tc>
          <w:tcPr>
            <w:tcW w:w="0" w:type="dxa"/>
            <w:vAlign w:val="bottom"/>
          </w:tcPr>
          <w:p>
            <w:pPr>
              <w:spacing w:after="0"/>
              <w:rPr>
                <w:sz w:val="1"/>
                <w:szCs w:val="1"/>
                <w:color w:val="auto"/>
              </w:rPr>
            </w:pPr>
          </w:p>
        </w:tc>
      </w:tr>
      <w:tr>
        <w:trPr>
          <w:trHeight w:val="243"/>
        </w:trPr>
        <w:tc>
          <w:tcPr>
            <w:tcW w:w="5400" w:type="dxa"/>
            <w:vAlign w:val="bottom"/>
            <w:tcBorders>
              <w:left w:val="single" w:sz="8" w:color="3F000B"/>
              <w:bottom w:val="single" w:sz="8" w:color="3F000B"/>
              <w:right w:val="single" w:sz="8" w:color="3F000B"/>
            </w:tcBorders>
            <w:shd w:val="clear" w:color="auto" w:fill="DADADA"/>
          </w:tcPr>
          <w:p>
            <w:pPr>
              <w:ind w:left="20"/>
              <w:spacing w:after="0"/>
              <w:rPr>
                <w:sz w:val="20"/>
                <w:szCs w:val="20"/>
                <w:color w:val="auto"/>
              </w:rPr>
            </w:pPr>
            <w:r>
              <w:rPr>
                <w:rFonts w:ascii="Arial" w:cs="Arial" w:eastAsia="Arial" w:hAnsi="Arial"/>
                <w:sz w:val="18"/>
                <w:szCs w:val="18"/>
                <w:color w:val="auto"/>
              </w:rPr>
              <w:t>All Other Fees</w:t>
            </w:r>
            <w:r>
              <w:rPr>
                <w:rFonts w:ascii="Arial" w:cs="Arial" w:eastAsia="Arial" w:hAnsi="Arial"/>
                <w:sz w:val="10"/>
                <w:szCs w:val="10"/>
                <w:color w:val="auto"/>
              </w:rPr>
              <w:t>(3)</w:t>
            </w:r>
          </w:p>
        </w:tc>
        <w:tc>
          <w:tcPr>
            <w:tcW w:w="1680" w:type="dxa"/>
            <w:vAlign w:val="bottom"/>
            <w:tcBorders>
              <w:bottom w:val="single" w:sz="8" w:color="3F000B"/>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3F000B"/>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left w:val="single" w:sz="8" w:color="3F000B"/>
              <w:bottom w:val="single" w:sz="8" w:color="3F000B"/>
              <w:right w:val="single" w:sz="8" w:color="3F000B"/>
            </w:tcBorders>
          </w:tcPr>
          <w:p>
            <w:pPr>
              <w:ind w:left="20"/>
              <w:spacing w:after="0"/>
              <w:rPr>
                <w:sz w:val="20"/>
                <w:szCs w:val="20"/>
                <w:color w:val="auto"/>
              </w:rPr>
            </w:pPr>
            <w:r>
              <w:rPr>
                <w:rFonts w:ascii="Arial" w:cs="Arial" w:eastAsia="Arial" w:hAnsi="Arial"/>
                <w:sz w:val="18"/>
                <w:szCs w:val="18"/>
                <w:b w:val="1"/>
                <w:bCs w:val="1"/>
                <w:color w:val="auto"/>
              </w:rPr>
              <w:t>Total Fees</w:t>
            </w:r>
          </w:p>
        </w:tc>
        <w:tc>
          <w:tcPr>
            <w:tcW w:w="1680" w:type="dxa"/>
            <w:vAlign w:val="bottom"/>
            <w:tcBorders>
              <w:bottom w:val="single" w:sz="8" w:color="3F000B"/>
              <w:right w:val="single" w:sz="8" w:color="3F000B"/>
            </w:tcBorders>
          </w:tcPr>
          <w:p>
            <w:pPr>
              <w:jc w:val="right"/>
              <w:ind w:right="30"/>
              <w:spacing w:after="0"/>
              <w:rPr>
                <w:sz w:val="20"/>
                <w:szCs w:val="20"/>
                <w:color w:val="auto"/>
              </w:rPr>
            </w:pPr>
            <w:r>
              <w:rPr>
                <w:rFonts w:ascii="Arial" w:cs="Arial" w:eastAsia="Arial" w:hAnsi="Arial"/>
                <w:sz w:val="18"/>
                <w:szCs w:val="18"/>
                <w:b w:val="1"/>
                <w:bCs w:val="1"/>
                <w:color w:val="auto"/>
              </w:rPr>
              <w:t>5,218,623</w:t>
            </w:r>
          </w:p>
        </w:tc>
        <w:tc>
          <w:tcPr>
            <w:tcW w:w="1560" w:type="dxa"/>
            <w:vAlign w:val="bottom"/>
            <w:tcBorders>
              <w:bottom w:val="single" w:sz="8" w:color="3F000B"/>
              <w:right w:val="single" w:sz="8" w:color="3F000B"/>
            </w:tcBorders>
          </w:tcPr>
          <w:p>
            <w:pPr>
              <w:jc w:val="right"/>
              <w:ind w:right="30"/>
              <w:spacing w:after="0"/>
              <w:rPr>
                <w:sz w:val="20"/>
                <w:szCs w:val="20"/>
                <w:color w:val="auto"/>
              </w:rPr>
            </w:pPr>
            <w:r>
              <w:rPr>
                <w:rFonts w:ascii="Arial" w:cs="Arial" w:eastAsia="Arial" w:hAnsi="Arial"/>
                <w:sz w:val="18"/>
                <w:szCs w:val="18"/>
                <w:b w:val="1"/>
                <w:bCs w:val="1"/>
                <w:color w:val="auto"/>
              </w:rPr>
              <w:t>5,193,959</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3F000B"/>
        </w:rPr>
        <w:t>____________________</w:t>
      </w:r>
    </w:p>
    <w:p>
      <w:pPr>
        <w:spacing w:after="0" w:line="130" w:lineRule="exact"/>
        <w:rPr>
          <w:sz w:val="20"/>
          <w:szCs w:val="20"/>
          <w:color w:val="auto"/>
        </w:rPr>
      </w:pPr>
    </w:p>
    <w:p>
      <w:pPr>
        <w:ind w:left="940" w:hanging="325"/>
        <w:spacing w:after="0"/>
        <w:tabs>
          <w:tab w:leader="none" w:pos="9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Fees associated primarily with services related to due diligence for potential business acquisitions.</w:t>
      </w:r>
    </w:p>
    <w:p>
      <w:pPr>
        <w:spacing w:after="0" w:line="109" w:lineRule="exact"/>
        <w:rPr>
          <w:rFonts w:ascii="Arial" w:cs="Arial" w:eastAsia="Arial" w:hAnsi="Arial"/>
          <w:sz w:val="14"/>
          <w:szCs w:val="14"/>
          <w:color w:val="auto"/>
        </w:rPr>
      </w:pPr>
    </w:p>
    <w:p>
      <w:pPr>
        <w:ind w:left="940" w:hanging="325"/>
        <w:spacing w:after="0"/>
        <w:tabs>
          <w:tab w:leader="none" w:pos="9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Fees pertaining primarily to tax consultation and tax compliance services.</w:t>
      </w:r>
    </w:p>
    <w:p>
      <w:pPr>
        <w:spacing w:after="0" w:line="109" w:lineRule="exact"/>
        <w:rPr>
          <w:rFonts w:ascii="Arial" w:cs="Arial" w:eastAsia="Arial" w:hAnsi="Arial"/>
          <w:sz w:val="14"/>
          <w:szCs w:val="14"/>
          <w:color w:val="auto"/>
        </w:rPr>
      </w:pPr>
    </w:p>
    <w:p>
      <w:pPr>
        <w:ind w:left="940" w:hanging="325"/>
        <w:spacing w:after="0"/>
        <w:tabs>
          <w:tab w:leader="none" w:pos="9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Fees for other permissible services that do not meet the above category descriptions, including subscription programs.</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Audit Committee pre-approves all audit, audit-related and non-audit services performed by the independent auditors. The Audit Committee is authorized by its charter to delegate to one or more of its members the authority to pre-approve any audit, audit-related or non-audit services, provided that the approval is presented to the Audit Committee at its next scheduled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pre-approved all services provided by Ernst &amp; Young LLP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320" w:top="886" w:right="41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97"/>
        </w:trPr>
        <w:tc>
          <w:tcPr>
            <w:tcW w:w="1420" w:type="dxa"/>
            <w:vAlign w:val="bottom"/>
          </w:tcPr>
          <w:p>
            <w:pPr>
              <w:spacing w:after="0"/>
              <w:rPr>
                <w:sz w:val="24"/>
                <w:szCs w:val="24"/>
                <w:color w:val="auto"/>
              </w:rPr>
            </w:pPr>
          </w:p>
        </w:tc>
        <w:tc>
          <w:tcPr>
            <w:tcW w:w="9640" w:type="dxa"/>
            <w:vAlign w:val="bottom"/>
          </w:tcPr>
          <w:p>
            <w:pPr>
              <w:jc w:val="center"/>
              <w:ind w:right="1094"/>
              <w:spacing w:after="0"/>
              <w:rPr>
                <w:sz w:val="20"/>
                <w:szCs w:val="20"/>
                <w:color w:val="auto"/>
              </w:rPr>
            </w:pPr>
            <w:r>
              <w:rPr>
                <w:rFonts w:ascii="Arial" w:cs="Arial" w:eastAsia="Arial" w:hAnsi="Arial"/>
                <w:sz w:val="25"/>
                <w:szCs w:val="25"/>
                <w:b w:val="1"/>
                <w:bCs w:val="1"/>
                <w:color w:val="3F000B"/>
              </w:rPr>
              <w:t>PROPOSAL NO. 2 – RATIFICATION OF APPOINTMENT</w:t>
            </w:r>
          </w:p>
        </w:tc>
        <w:tc>
          <w:tcPr>
            <w:tcW w:w="0" w:type="dxa"/>
            <w:vAlign w:val="bottom"/>
          </w:tcPr>
          <w:p>
            <w:pPr>
              <w:spacing w:after="0"/>
              <w:rPr>
                <w:sz w:val="1"/>
                <w:szCs w:val="1"/>
                <w:color w:val="auto"/>
              </w:rPr>
            </w:pPr>
          </w:p>
        </w:tc>
      </w:tr>
      <w:tr>
        <w:trPr>
          <w:trHeight w:val="328"/>
        </w:trPr>
        <w:tc>
          <w:tcPr>
            <w:tcW w:w="1420" w:type="dxa"/>
            <w:vAlign w:val="bottom"/>
          </w:tcPr>
          <w:p>
            <w:pPr>
              <w:spacing w:after="0"/>
              <w:rPr>
                <w:sz w:val="24"/>
                <w:szCs w:val="24"/>
                <w:color w:val="auto"/>
              </w:rPr>
            </w:pPr>
          </w:p>
        </w:tc>
        <w:tc>
          <w:tcPr>
            <w:tcW w:w="9640" w:type="dxa"/>
            <w:vAlign w:val="bottom"/>
          </w:tcPr>
          <w:p>
            <w:pPr>
              <w:jc w:val="center"/>
              <w:ind w:right="1114"/>
              <w:spacing w:after="0"/>
              <w:rPr>
                <w:sz w:val="20"/>
                <w:szCs w:val="20"/>
                <w:color w:val="auto"/>
              </w:rPr>
            </w:pPr>
            <w:r>
              <w:rPr>
                <w:rFonts w:ascii="Arial" w:cs="Arial" w:eastAsia="Arial" w:hAnsi="Arial"/>
                <w:sz w:val="25"/>
                <w:szCs w:val="25"/>
                <w:b w:val="1"/>
                <w:bCs w:val="1"/>
                <w:color w:val="3F000B"/>
              </w:rPr>
              <w:t>OF INDEPENDENT AUDITORS</w:t>
            </w:r>
          </w:p>
        </w:tc>
        <w:tc>
          <w:tcPr>
            <w:tcW w:w="0" w:type="dxa"/>
            <w:vAlign w:val="bottom"/>
          </w:tcPr>
          <w:p>
            <w:pPr>
              <w:spacing w:after="0"/>
              <w:rPr>
                <w:sz w:val="1"/>
                <w:szCs w:val="1"/>
                <w:color w:val="auto"/>
              </w:rPr>
            </w:pPr>
          </w:p>
        </w:tc>
      </w:tr>
      <w:tr>
        <w:trPr>
          <w:trHeight w:val="491"/>
        </w:trPr>
        <w:tc>
          <w:tcPr>
            <w:tcW w:w="1420" w:type="dxa"/>
            <w:vAlign w:val="bottom"/>
            <w:tcBorders>
              <w:bottom w:val="single" w:sz="8" w:color="542121"/>
            </w:tcBorders>
          </w:tcPr>
          <w:p>
            <w:pPr>
              <w:spacing w:after="0"/>
              <w:rPr>
                <w:sz w:val="24"/>
                <w:szCs w:val="24"/>
                <w:color w:val="auto"/>
              </w:rPr>
            </w:pPr>
          </w:p>
        </w:tc>
        <w:tc>
          <w:tcPr>
            <w:tcW w:w="9640" w:type="dxa"/>
            <w:vAlign w:val="bottom"/>
            <w:tcBorders>
              <w:bottom w:val="single" w:sz="8" w:color="542121"/>
            </w:tcBorders>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20" w:type="dxa"/>
            <w:vAlign w:val="bottom"/>
            <w:tcBorders>
              <w:left w:val="single" w:sz="8" w:color="542121"/>
              <w:right w:val="single" w:sz="8" w:color="542121"/>
            </w:tcBorders>
            <w:vMerge w:val="restart"/>
          </w:tcPr>
          <w:p>
            <w:pPr>
              <w:ind w:left="260"/>
              <w:spacing w:after="0"/>
              <w:rPr>
                <w:sz w:val="20"/>
                <w:szCs w:val="20"/>
                <w:color w:val="auto"/>
              </w:rPr>
            </w:pPr>
            <w:r>
              <w:rPr>
                <w:rFonts w:ascii="Arial" w:cs="Arial" w:eastAsia="Arial" w:hAnsi="Arial"/>
                <w:sz w:val="86"/>
                <w:szCs w:val="86"/>
                <w:color w:val="542121"/>
              </w:rPr>
              <w:t>ü</w:t>
            </w:r>
          </w:p>
        </w:tc>
        <w:tc>
          <w:tcPr>
            <w:tcW w:w="964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25"/>
                <w:szCs w:val="25"/>
                <w:color w:val="FFFFFF"/>
                <w:w w:val="91"/>
              </w:rPr>
              <w:t>The Board of Directors unanimously recommends that stockholders</w:t>
            </w:r>
          </w:p>
        </w:tc>
        <w:tc>
          <w:tcPr>
            <w:tcW w:w="0" w:type="dxa"/>
            <w:vAlign w:val="bottom"/>
          </w:tcPr>
          <w:p>
            <w:pPr>
              <w:spacing w:after="0"/>
              <w:rPr>
                <w:sz w:val="1"/>
                <w:szCs w:val="1"/>
                <w:color w:val="auto"/>
              </w:rPr>
            </w:pPr>
          </w:p>
        </w:tc>
      </w:tr>
      <w:tr>
        <w:trPr>
          <w:trHeight w:val="303"/>
        </w:trPr>
        <w:tc>
          <w:tcPr>
            <w:tcW w:w="1420" w:type="dxa"/>
            <w:vAlign w:val="bottom"/>
            <w:tcBorders>
              <w:left w:val="single" w:sz="8" w:color="542121"/>
              <w:right w:val="single" w:sz="8" w:color="542121"/>
            </w:tcBorders>
            <w:vMerge w:val="continue"/>
          </w:tcPr>
          <w:p>
            <w:pPr>
              <w:spacing w:after="0"/>
              <w:rPr>
                <w:sz w:val="24"/>
                <w:szCs w:val="24"/>
                <w:color w:val="auto"/>
              </w:rPr>
            </w:pPr>
          </w:p>
        </w:tc>
        <w:tc>
          <w:tcPr>
            <w:tcW w:w="964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25"/>
                <w:szCs w:val="25"/>
                <w:color w:val="FFFFFF"/>
                <w:w w:val="94"/>
              </w:rPr>
              <w:t xml:space="preserve">vote </w:t>
            </w:r>
            <w:r>
              <w:rPr>
                <w:rFonts w:ascii="Arial" w:cs="Arial" w:eastAsia="Arial" w:hAnsi="Arial"/>
                <w:sz w:val="25"/>
                <w:szCs w:val="25"/>
                <w:b w:val="1"/>
                <w:bCs w:val="1"/>
                <w:color w:val="FFFFFF"/>
                <w:w w:val="94"/>
              </w:rPr>
              <w:t>FOR</w:t>
            </w:r>
            <w:r>
              <w:rPr>
                <w:rFonts w:ascii="Arial" w:cs="Arial" w:eastAsia="Arial" w:hAnsi="Arial"/>
                <w:sz w:val="25"/>
                <w:szCs w:val="25"/>
                <w:color w:val="FFFFFF"/>
                <w:w w:val="94"/>
              </w:rPr>
              <w:t xml:space="preserve"> ratification of the Audit Committee’s appointment of</w:t>
            </w:r>
          </w:p>
        </w:tc>
        <w:tc>
          <w:tcPr>
            <w:tcW w:w="0" w:type="dxa"/>
            <w:vAlign w:val="bottom"/>
          </w:tcPr>
          <w:p>
            <w:pPr>
              <w:spacing w:after="0"/>
              <w:rPr>
                <w:sz w:val="1"/>
                <w:szCs w:val="1"/>
                <w:color w:val="auto"/>
              </w:rPr>
            </w:pPr>
          </w:p>
        </w:tc>
      </w:tr>
      <w:tr>
        <w:trPr>
          <w:trHeight w:val="422"/>
        </w:trPr>
        <w:tc>
          <w:tcPr>
            <w:tcW w:w="1420" w:type="dxa"/>
            <w:vAlign w:val="bottom"/>
            <w:tcBorders>
              <w:left w:val="single" w:sz="8" w:color="542121"/>
              <w:bottom w:val="single" w:sz="8" w:color="542121"/>
              <w:right w:val="single" w:sz="8" w:color="542121"/>
            </w:tcBorders>
            <w:vMerge w:val="continue"/>
          </w:tcPr>
          <w:p>
            <w:pPr>
              <w:spacing w:after="0"/>
              <w:rPr>
                <w:sz w:val="24"/>
                <w:szCs w:val="24"/>
                <w:color w:val="auto"/>
              </w:rPr>
            </w:pPr>
          </w:p>
        </w:tc>
        <w:tc>
          <w:tcPr>
            <w:tcW w:w="9640" w:type="dxa"/>
            <w:vAlign w:val="bottom"/>
            <w:tcBorders>
              <w:bottom w:val="single" w:sz="8" w:color="542121"/>
              <w:right w:val="single" w:sz="8" w:color="542121"/>
            </w:tcBorders>
            <w:shd w:val="clear" w:color="auto" w:fill="3F000B"/>
          </w:tcPr>
          <w:p>
            <w:pPr>
              <w:jc w:val="center"/>
              <w:spacing w:after="0"/>
              <w:rPr>
                <w:sz w:val="20"/>
                <w:szCs w:val="20"/>
                <w:color w:val="auto"/>
              </w:rPr>
            </w:pPr>
            <w:r>
              <w:rPr>
                <w:rFonts w:ascii="Arial" w:cs="Arial" w:eastAsia="Arial" w:hAnsi="Arial"/>
                <w:sz w:val="25"/>
                <w:szCs w:val="25"/>
                <w:color w:val="FFFFFF"/>
                <w:w w:val="91"/>
              </w:rPr>
              <w:t>Ernst &amp; Young LLP as the Company’s independent auditors for 2021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has appointed Ernst &amp; Young LLP as the Company’s independent auditors for 2021. Although not required to do so, the Board, upon the Audit Committee’s recommendation, has determined to submit the Audit Committee’s appointment of Ernst &amp; Young LLP as our independent auditors to stockholders for ratification as a matter of good corporate governance.</w:t>
      </w:r>
    </w:p>
    <w:p>
      <w:pPr>
        <w:spacing w:after="0" w:line="13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Audit Committee’s appointment of Ernst &amp; Young LLP as the Company’s independent auditors for 2021 will be considered ratified if at least a majority of the votes of the Common Stock and Class B Common Stock (voting together without regard to class) represented at the Annual Meeting are voted for the proposal. If stockholders do not ratify the appointment of Ernst &amp; Young LLP as the Company’s independent auditors for 2021, the Audit Committee will reconsider its appointment.</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Representatives of Ernst &amp; Young LLP will attend the Annual Meeting, will have the opportunity to make a statement, if they so desire, and will be available to respond to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886" w:right="379" w:bottom="1440" w:gutter="0" w:footer="0" w:header="0"/>
        </w:sectPr>
      </w:pPr>
    </w:p>
    <w:bookmarkStart w:id="49" w:name="page50"/>
    <w:bookmarkEnd w:id="49"/>
    <w:p>
      <w:pPr>
        <w:jc w:val="center"/>
        <w:ind w:right="-139"/>
        <w:spacing w:after="0"/>
        <w:rPr>
          <w:sz w:val="20"/>
          <w:szCs w:val="20"/>
          <w:color w:val="auto"/>
        </w:rPr>
      </w:pPr>
      <w:r>
        <w:rPr>
          <w:rFonts w:ascii="Arial" w:cs="Arial" w:eastAsia="Arial" w:hAnsi="Arial"/>
          <w:sz w:val="25"/>
          <w:szCs w:val="25"/>
          <w:b w:val="1"/>
          <w:bCs w:val="1"/>
          <w:color w:val="3F000B"/>
        </w:rPr>
        <w:t>COMPENSATION DISCUSSION &amp; ANALYSIS</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3F000B"/>
        </w:rPr>
        <w:t>EXECUTIVE COMPENSATION</w:t>
      </w:r>
    </w:p>
    <w:p>
      <w:pPr>
        <w:spacing w:after="0" w:line="34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This section discusses and analyzes the decisions we made concerning the compensation of our named executive officers (“NEOs”) for 2020. It also describes the process for determining executive compensation and the factors considered in determining the amount of compensation awarded to our NEOs. Our NEOs for 2020 are:</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2980" w:type="dxa"/>
            <w:vAlign w:val="bottom"/>
            <w:tcBorders>
              <w:top w:val="single" w:sz="8" w:color="3F000B"/>
              <w:left w:val="single" w:sz="8" w:color="3F000B"/>
              <w:bottom w:val="single" w:sz="8" w:color="3F000B"/>
              <w:right w:val="single" w:sz="8" w:color="DADADA"/>
            </w:tcBorders>
            <w:shd w:val="clear" w:color="auto" w:fill="3F000B"/>
          </w:tcPr>
          <w:p>
            <w:pPr>
              <w:ind w:left="1260"/>
              <w:spacing w:after="0"/>
              <w:rPr>
                <w:sz w:val="20"/>
                <w:szCs w:val="20"/>
                <w:color w:val="auto"/>
              </w:rPr>
            </w:pPr>
            <w:r>
              <w:rPr>
                <w:rFonts w:ascii="Arial" w:cs="Arial" w:eastAsia="Arial" w:hAnsi="Arial"/>
                <w:sz w:val="18"/>
                <w:szCs w:val="18"/>
                <w:b w:val="1"/>
                <w:bCs w:val="1"/>
                <w:color w:val="FFFFFF"/>
              </w:rPr>
              <w:t>Name</w:t>
            </w:r>
          </w:p>
        </w:tc>
        <w:tc>
          <w:tcPr>
            <w:tcW w:w="7720" w:type="dxa"/>
            <w:vAlign w:val="bottom"/>
            <w:tcBorders>
              <w:top w:val="single" w:sz="8" w:color="3F000B"/>
              <w:bottom w:val="single" w:sz="8" w:color="3F000B"/>
              <w:right w:val="single" w:sz="8" w:color="3F000B"/>
            </w:tcBorders>
            <w:shd w:val="clear" w:color="auto" w:fill="3F000B"/>
          </w:tcPr>
          <w:p>
            <w:pPr>
              <w:ind w:left="3680"/>
              <w:spacing w:after="0"/>
              <w:rPr>
                <w:sz w:val="20"/>
                <w:szCs w:val="20"/>
                <w:color w:val="auto"/>
              </w:rPr>
            </w:pPr>
            <w:r>
              <w:rPr>
                <w:rFonts w:ascii="Arial" w:cs="Arial" w:eastAsia="Arial" w:hAnsi="Arial"/>
                <w:sz w:val="18"/>
                <w:szCs w:val="18"/>
                <w:b w:val="1"/>
                <w:bCs w:val="1"/>
                <w:color w:val="FFFFFF"/>
              </w:rPr>
              <w:t>Title</w:t>
            </w:r>
          </w:p>
        </w:tc>
      </w:tr>
      <w:tr>
        <w:trPr>
          <w:trHeight w:val="243"/>
        </w:trPr>
        <w:tc>
          <w:tcPr>
            <w:tcW w:w="29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Michele G. Buck</w:t>
            </w:r>
          </w:p>
        </w:tc>
        <w:tc>
          <w:tcPr>
            <w:tcW w:w="7720" w:type="dxa"/>
            <w:vAlign w:val="bottom"/>
            <w:tcBorders>
              <w:right w:val="single" w:sz="8" w:color="3F000B"/>
            </w:tcBorders>
          </w:tcPr>
          <w:p>
            <w:pPr>
              <w:ind w:left="20"/>
              <w:spacing w:after="0"/>
              <w:rPr>
                <w:sz w:val="20"/>
                <w:szCs w:val="20"/>
                <w:color w:val="auto"/>
              </w:rPr>
            </w:pPr>
            <w:r>
              <w:rPr>
                <w:rFonts w:ascii="Arial" w:cs="Arial" w:eastAsia="Arial" w:hAnsi="Arial"/>
                <w:sz w:val="18"/>
                <w:szCs w:val="18"/>
                <w:color w:val="auto"/>
              </w:rPr>
              <w:t>Chairman of the Board, President and Chief Executive Officer (“CEO”)</w:t>
            </w:r>
          </w:p>
        </w:tc>
      </w:tr>
      <w:tr>
        <w:trPr>
          <w:trHeight w:val="243"/>
        </w:trPr>
        <w:tc>
          <w:tcPr>
            <w:tcW w:w="298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Steven E. Voskuil</w:t>
            </w:r>
          </w:p>
        </w:tc>
        <w:tc>
          <w:tcPr>
            <w:tcW w:w="7720" w:type="dxa"/>
            <w:vAlign w:val="bottom"/>
            <w:tcBorders>
              <w:right w:val="single" w:sz="8" w:color="3F000B"/>
            </w:tcBorders>
            <w:shd w:val="clear" w:color="auto" w:fill="DADADA"/>
          </w:tcPr>
          <w:p>
            <w:pPr>
              <w:ind w:left="20"/>
              <w:spacing w:after="0"/>
              <w:rPr>
                <w:sz w:val="20"/>
                <w:szCs w:val="20"/>
                <w:color w:val="auto"/>
              </w:rPr>
            </w:pPr>
            <w:r>
              <w:rPr>
                <w:rFonts w:ascii="Arial" w:cs="Arial" w:eastAsia="Arial" w:hAnsi="Arial"/>
                <w:sz w:val="18"/>
                <w:szCs w:val="18"/>
                <w:color w:val="auto"/>
              </w:rPr>
              <w:t>Senior Vice President, Chief Financial Officer (“CFO”)</w:t>
            </w:r>
          </w:p>
        </w:tc>
      </w:tr>
      <w:tr>
        <w:trPr>
          <w:trHeight w:val="243"/>
        </w:trPr>
        <w:tc>
          <w:tcPr>
            <w:tcW w:w="29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Charles R. Raup</w:t>
            </w:r>
          </w:p>
        </w:tc>
        <w:tc>
          <w:tcPr>
            <w:tcW w:w="7720" w:type="dxa"/>
            <w:vAlign w:val="bottom"/>
            <w:tcBorders>
              <w:right w:val="single" w:sz="8" w:color="3F000B"/>
            </w:tcBorders>
          </w:tcPr>
          <w:p>
            <w:pPr>
              <w:ind w:left="20"/>
              <w:spacing w:after="0"/>
              <w:rPr>
                <w:sz w:val="20"/>
                <w:szCs w:val="20"/>
                <w:color w:val="auto"/>
              </w:rPr>
            </w:pPr>
            <w:r>
              <w:rPr>
                <w:rFonts w:ascii="Arial" w:cs="Arial" w:eastAsia="Arial" w:hAnsi="Arial"/>
                <w:sz w:val="18"/>
                <w:szCs w:val="18"/>
                <w:color w:val="auto"/>
              </w:rPr>
              <w:t>President, U.S.</w:t>
            </w:r>
          </w:p>
        </w:tc>
      </w:tr>
      <w:tr>
        <w:trPr>
          <w:trHeight w:val="229"/>
        </w:trPr>
        <w:tc>
          <w:tcPr>
            <w:tcW w:w="298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Jason R. Reiman</w:t>
            </w:r>
          </w:p>
        </w:tc>
        <w:tc>
          <w:tcPr>
            <w:tcW w:w="7720" w:type="dxa"/>
            <w:vAlign w:val="bottom"/>
            <w:tcBorders>
              <w:right w:val="single" w:sz="8" w:color="3F000B"/>
            </w:tcBorders>
            <w:shd w:val="clear" w:color="auto" w:fill="DADADA"/>
          </w:tcPr>
          <w:p>
            <w:pPr>
              <w:ind w:left="20"/>
              <w:spacing w:after="0"/>
              <w:rPr>
                <w:sz w:val="20"/>
                <w:szCs w:val="20"/>
                <w:color w:val="auto"/>
              </w:rPr>
            </w:pPr>
            <w:r>
              <w:rPr>
                <w:rFonts w:ascii="Arial" w:cs="Arial" w:eastAsia="Arial" w:hAnsi="Arial"/>
                <w:sz w:val="18"/>
                <w:szCs w:val="18"/>
                <w:color w:val="auto"/>
              </w:rPr>
              <w:t>Senior Vice President, Chief Supply Chain Officer</w:t>
            </w:r>
          </w:p>
        </w:tc>
      </w:tr>
      <w:tr>
        <w:trPr>
          <w:trHeight w:val="229"/>
        </w:trPr>
        <w:tc>
          <w:tcPr>
            <w:tcW w:w="2980" w:type="dxa"/>
            <w:vAlign w:val="bottom"/>
            <w:tcBorders>
              <w:left w:val="single" w:sz="8" w:color="3F000B"/>
              <w:right w:val="single" w:sz="8" w:color="3F000B"/>
            </w:tcBorders>
          </w:tcPr>
          <w:p>
            <w:pPr>
              <w:ind w:left="40"/>
              <w:spacing w:after="0" w:line="230" w:lineRule="exact"/>
              <w:rPr>
                <w:sz w:val="20"/>
                <w:szCs w:val="20"/>
                <w:color w:val="auto"/>
              </w:rPr>
            </w:pPr>
            <w:r>
              <w:rPr>
                <w:rFonts w:ascii="Arial" w:cs="Arial" w:eastAsia="Arial" w:hAnsi="Arial"/>
                <w:sz w:val="18"/>
                <w:szCs w:val="18"/>
                <w:color w:val="auto"/>
              </w:rPr>
              <w:t>Damien Atkins</w:t>
            </w:r>
            <w:r>
              <w:rPr>
                <w:rFonts w:ascii="Arial" w:cs="Arial" w:eastAsia="Arial" w:hAnsi="Arial"/>
                <w:sz w:val="23"/>
                <w:szCs w:val="23"/>
                <w:color w:val="auto"/>
                <w:vertAlign w:val="superscript"/>
              </w:rPr>
              <w:t>(1)</w:t>
            </w:r>
          </w:p>
        </w:tc>
        <w:tc>
          <w:tcPr>
            <w:tcW w:w="7720" w:type="dxa"/>
            <w:vAlign w:val="bottom"/>
            <w:tcBorders>
              <w:right w:val="single" w:sz="8" w:color="3F000B"/>
            </w:tcBorders>
          </w:tcPr>
          <w:p>
            <w:pPr>
              <w:ind w:left="20"/>
              <w:spacing w:after="0"/>
              <w:rPr>
                <w:sz w:val="20"/>
                <w:szCs w:val="20"/>
                <w:color w:val="auto"/>
              </w:rPr>
            </w:pPr>
            <w:r>
              <w:rPr>
                <w:rFonts w:ascii="Arial" w:cs="Arial" w:eastAsia="Arial" w:hAnsi="Arial"/>
                <w:sz w:val="18"/>
                <w:szCs w:val="18"/>
                <w:color w:val="auto"/>
              </w:rPr>
              <w:t>Former Senior Vice President, General Counsel and Secretary</w:t>
            </w:r>
          </w:p>
        </w:tc>
      </w:tr>
      <w:tr>
        <w:trPr>
          <w:trHeight w:val="230"/>
        </w:trPr>
        <w:tc>
          <w:tcPr>
            <w:tcW w:w="2980" w:type="dxa"/>
            <w:vAlign w:val="bottom"/>
            <w:tcBorders>
              <w:left w:val="single" w:sz="8" w:color="3F000B"/>
              <w:right w:val="single" w:sz="8" w:color="3F000B"/>
            </w:tcBorders>
            <w:shd w:val="clear" w:color="auto" w:fill="DADADA"/>
          </w:tcPr>
          <w:p>
            <w:pPr>
              <w:ind w:left="40"/>
              <w:spacing w:after="0" w:line="230" w:lineRule="exact"/>
              <w:rPr>
                <w:sz w:val="20"/>
                <w:szCs w:val="20"/>
                <w:color w:val="auto"/>
              </w:rPr>
            </w:pPr>
            <w:r>
              <w:rPr>
                <w:rFonts w:ascii="Arial" w:cs="Arial" w:eastAsia="Arial" w:hAnsi="Arial"/>
                <w:sz w:val="18"/>
                <w:szCs w:val="18"/>
                <w:color w:val="auto"/>
              </w:rPr>
              <w:t>Kevin R. Walling</w:t>
            </w:r>
            <w:r>
              <w:rPr>
                <w:rFonts w:ascii="Arial" w:cs="Arial" w:eastAsia="Arial" w:hAnsi="Arial"/>
                <w:sz w:val="23"/>
                <w:szCs w:val="23"/>
                <w:color w:val="auto"/>
                <w:vertAlign w:val="superscript"/>
              </w:rPr>
              <w:t>(2)</w:t>
            </w:r>
          </w:p>
        </w:tc>
        <w:tc>
          <w:tcPr>
            <w:tcW w:w="7720" w:type="dxa"/>
            <w:vAlign w:val="bottom"/>
            <w:tcBorders>
              <w:right w:val="single" w:sz="8" w:color="3F000B"/>
            </w:tcBorders>
            <w:shd w:val="clear" w:color="auto" w:fill="DADADA"/>
          </w:tcPr>
          <w:p>
            <w:pPr>
              <w:ind w:left="20"/>
              <w:spacing w:after="0"/>
              <w:rPr>
                <w:sz w:val="20"/>
                <w:szCs w:val="20"/>
                <w:color w:val="auto"/>
              </w:rPr>
            </w:pPr>
            <w:r>
              <w:rPr>
                <w:rFonts w:ascii="Arial" w:cs="Arial" w:eastAsia="Arial" w:hAnsi="Arial"/>
                <w:sz w:val="18"/>
                <w:szCs w:val="18"/>
                <w:color w:val="auto"/>
              </w:rPr>
              <w:t>Former Senior Vice President, Chief Human Resources Officer</w:t>
            </w:r>
          </w:p>
        </w:tc>
      </w:tr>
      <w:tr>
        <w:trPr>
          <w:trHeight w:val="229"/>
        </w:trPr>
        <w:tc>
          <w:tcPr>
            <w:tcW w:w="2980" w:type="dxa"/>
            <w:vAlign w:val="bottom"/>
            <w:tcBorders>
              <w:left w:val="single" w:sz="8" w:color="3F000B"/>
              <w:bottom w:val="single" w:sz="8" w:color="3F000B"/>
              <w:right w:val="single" w:sz="8" w:color="3F000B"/>
            </w:tcBorders>
          </w:tcPr>
          <w:p>
            <w:pPr>
              <w:ind w:left="40"/>
              <w:spacing w:after="0" w:line="230" w:lineRule="exact"/>
              <w:rPr>
                <w:sz w:val="20"/>
                <w:szCs w:val="20"/>
                <w:color w:val="auto"/>
              </w:rPr>
            </w:pPr>
            <w:r>
              <w:rPr>
                <w:rFonts w:ascii="Arial" w:cs="Arial" w:eastAsia="Arial" w:hAnsi="Arial"/>
                <w:sz w:val="18"/>
                <w:szCs w:val="18"/>
                <w:color w:val="auto"/>
              </w:rPr>
              <w:t>Mary Beth West</w:t>
            </w:r>
            <w:r>
              <w:rPr>
                <w:rFonts w:ascii="Arial" w:cs="Arial" w:eastAsia="Arial" w:hAnsi="Arial"/>
                <w:sz w:val="23"/>
                <w:szCs w:val="23"/>
                <w:color w:val="auto"/>
                <w:vertAlign w:val="superscript"/>
              </w:rPr>
              <w:t>(3)</w:t>
            </w:r>
          </w:p>
        </w:tc>
        <w:tc>
          <w:tcPr>
            <w:tcW w:w="7720" w:type="dxa"/>
            <w:vAlign w:val="bottom"/>
            <w:tcBorders>
              <w:bottom w:val="single" w:sz="8" w:color="3F000B"/>
              <w:right w:val="single" w:sz="8" w:color="3F000B"/>
            </w:tcBorders>
          </w:tcPr>
          <w:p>
            <w:pPr>
              <w:ind w:left="20"/>
              <w:spacing w:after="0"/>
              <w:rPr>
                <w:sz w:val="20"/>
                <w:szCs w:val="20"/>
                <w:color w:val="auto"/>
              </w:rPr>
            </w:pPr>
            <w:r>
              <w:rPr>
                <w:rFonts w:ascii="Arial" w:cs="Arial" w:eastAsia="Arial" w:hAnsi="Arial"/>
                <w:sz w:val="18"/>
                <w:szCs w:val="18"/>
                <w:color w:val="auto"/>
              </w:rPr>
              <w:t>Former Senior Vice President, Chief Growth Officer</w:t>
            </w:r>
          </w:p>
        </w:tc>
      </w:tr>
      <w:tr>
        <w:trPr>
          <w:trHeight w:val="291"/>
        </w:trPr>
        <w:tc>
          <w:tcPr>
            <w:tcW w:w="2980" w:type="dxa"/>
            <w:vAlign w:val="bottom"/>
          </w:tcPr>
          <w:p>
            <w:pPr>
              <w:spacing w:after="0"/>
              <w:rPr>
                <w:sz w:val="20"/>
                <w:szCs w:val="20"/>
                <w:color w:val="auto"/>
              </w:rPr>
            </w:pPr>
            <w:r>
              <w:rPr>
                <w:rFonts w:ascii="Arial" w:cs="Arial" w:eastAsia="Arial" w:hAnsi="Arial"/>
                <w:sz w:val="18"/>
                <w:szCs w:val="18"/>
                <w:b w:val="1"/>
                <w:bCs w:val="1"/>
                <w:color w:val="3F000B"/>
              </w:rPr>
              <w:t>____________________</w:t>
            </w:r>
          </w:p>
        </w:tc>
        <w:tc>
          <w:tcPr>
            <w:tcW w:w="7720" w:type="dxa"/>
            <w:vAlign w:val="bottom"/>
          </w:tcPr>
          <w:p>
            <w:pPr>
              <w:spacing w:after="0"/>
              <w:rPr>
                <w:sz w:val="24"/>
                <w:szCs w:val="24"/>
                <w:color w:val="auto"/>
              </w:rPr>
            </w:pPr>
          </w:p>
        </w:tc>
      </w:tr>
    </w:tbl>
    <w:p>
      <w:pPr>
        <w:spacing w:after="0" w:line="224"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Mr. Atkins separated from the Company on January 31, 2021.</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Mr. Walling retired on February 29,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Ms. West retired on February 29, 2020.</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679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Strategic Plan</w:t>
      </w:r>
    </w:p>
    <w:p>
      <w:pPr>
        <w:spacing w:after="0" w:line="1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Hershey Company (the “Company”), headquartered in Hershey, Pa., is a global confectionery leader known for making more moments of goodness through its chocolate, sweets, mints, gum and other great-tasting snacks. We have approximately 16,880 employees around the world who work every day to deliver delicious, quality products. We have more than 90 brands that drive approximately $8.1 billion in annual revenues.</w:t>
      </w:r>
    </w:p>
    <w:p>
      <w:pPr>
        <w:spacing w:after="0" w:line="1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vision is to be an innovative snacking powerhouse. We are currently the number two snacking manufacturer in the United States. We aspire to be a leader in meeting consumers’ evolving snacking needs while strengthening the capabilities that drive our growth. We are focused on four strategic imperatives to ensure the Company’s success now and in the future:</w:t>
      </w:r>
    </w:p>
    <w:p>
      <w:pPr>
        <w:spacing w:after="0" w:line="76"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Drive core confection business and broaden participation in snacking;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Deliver profitable international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Expand competitive advantage through differentiated capabilities;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Responsibly manage our operations to ensure the long-term sustainability of our business, our planet and 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886" w:right="459" w:bottom="1440" w:gutter="0" w:footer="0" w:header="0"/>
        </w:sectPr>
      </w:pPr>
    </w:p>
    <w:bookmarkStart w:id="50" w:name="page51"/>
    <w:bookmarkEnd w:id="50"/>
    <w:p>
      <w:pPr>
        <w:ind w:right="300"/>
        <w:spacing w:after="0" w:line="277" w:lineRule="auto"/>
        <w:rPr>
          <w:sz w:val="20"/>
          <w:szCs w:val="20"/>
          <w:color w:val="auto"/>
        </w:rPr>
      </w:pPr>
      <w:r>
        <w:rPr>
          <w:rFonts w:ascii="Arial" w:cs="Arial" w:eastAsia="Arial" w:hAnsi="Arial"/>
          <w:sz w:val="18"/>
          <w:szCs w:val="18"/>
          <w:color w:val="auto"/>
        </w:rPr>
        <w:t>Our strategic plan, and the financial metrics we establish to help achieve and measure success against our plan, serve as the foundation of our executive compensation program. In January 2020, we announced the following Company financial expectations:</w:t>
      </w:r>
    </w:p>
    <w:p>
      <w:pPr>
        <w:spacing w:after="0" w:line="62"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Increase net sales between 2% and 4% from 2019; and</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Increase adjusted earnings per share-diluted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between 6% and 8% from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entitled “Annual Incentives” for more information regarding our 2020 annual incentive targets and related results.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2020, COVID-19 had a positive impact on certain parts of our business while having a negative impact on others. Despite changes to what and where consumers were eating, our categories and our trusted brands remained important, particularly when celebrating seasons and spending time at home with family. With the onset of the pandemic, we immediately enhanced our people safety protocols to support our employees’ physical, emotional and economic well-being and maintain our ability to make and sell these trusted brands.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delivered the low end of our 2020 net sales guidance despite a one-and-one-half-point headwind on businesses hardest hit by COVID-19, and exceeded the high end of our 2020 adjusted earnings per share-diluted guidance. Over the last three years, we also delivered advantaged shareholder returns versus our 2018 peer group. Our 2018 peer group is described in more detail in the section entitled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68975" cy="2066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8975" cy="206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2"/>
        <w:spacing w:after="0" w:line="268" w:lineRule="auto"/>
        <w:tabs>
          <w:tab w:leader="none" w:pos="33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While we report our financial results in accordance with U.S. generally accepted accounting principles (“GAAP”), we also use non-GAAP financial measures in order to provide additional information to investors to facilitate the comparison of past and present performance. Some of the financial targets under our short- and long-term incentive programs are also based on non-GAAP financial measures. Non-GAAP financial measures are used by management in evaluating results of operations internally and in assessing the impact of known trends and uncertainties on our business, but they are not intended to replace the presentation of financial results in accordance with GAAP. Adjusted earnings per share-diluted is a non-GAAP financial measure. We define adjusted earnings per share-diluted as diluted earnings per share of the Company’s common stock (“Common Stock”), excluding costs associated with business realignment activities, acquisition-related costs and benefits, long-lived and intangible asset impairment charges, gains and losses associated with mark-to-market commodity derivatives, pension settlement charges relating to Company-directed initiatives and an adjustment to a reserve associated with a prior year facility closure.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057" w:right="359" w:bottom="1440" w:gutter="0" w:footer="0" w:header="0"/>
        </w:sectPr>
      </w:pPr>
    </w:p>
    <w:bookmarkStart w:id="51" w:name="page52"/>
    <w:bookmarkEnd w:id="51"/>
    <w:p>
      <w:pPr>
        <w:spacing w:after="0"/>
        <w:rPr>
          <w:sz w:val="20"/>
          <w:szCs w:val="20"/>
          <w:color w:val="auto"/>
        </w:rPr>
      </w:pPr>
      <w:r>
        <w:rPr>
          <w:rFonts w:ascii="Arial" w:cs="Arial" w:eastAsia="Arial" w:hAnsi="Arial"/>
          <w:sz w:val="22"/>
          <w:szCs w:val="22"/>
          <w:i w:val="1"/>
          <w:iCs w:val="1"/>
          <w:color w:val="3F000B"/>
        </w:rPr>
        <w:t>Executive Compensation Philosophy</w:t>
      </w:r>
    </w:p>
    <w:p>
      <w:pPr>
        <w:spacing w:after="0" w:line="10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executive compensation philosophy is to provide compelling, dynamic, market-based total compensation tied to performance and aligned with our stockholders’ interests. Our goal is to ensure the Company has the talent it needs to maintain sustained long-term performance for our stockholders, employees and communities. The guiding principles that help us achieve this goal are compensation programs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45085</wp:posOffset>
            </wp:positionV>
            <wp:extent cx="4629150" cy="4114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2915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Hershey Has Strong Pay-for-Performance Alignment</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and Executive Organization Committee (the “Compensation Committee”) of our Board of Directors (the “Board”) has oversight responsibility for our executive compensation framework and for aligning our executives’ pay with the Company’s performance. We believe we have strong pay-for-performance alignment because a significant portion of each NEO’s target total direct compensation is tied to the financial performance of the Company as well as stockholder returns.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2020, approximately 87% of our CEO’s and 71% of our other NEOs’ target total direct compensation, excluding Ms. West’s and Mr. Walling’s, was at-risk, including a substantial portion tied to stockholder value. Specifically, 34% of our Performance Stock Units (“PSUs”) were tied to Total Shareholder Return (“TSR”). Combined with the other financial and strategic metrics that determine our NEOs’ compensation, we have aligned our executive compensation program with the long-term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901" w:right="499" w:bottom="1440" w:gutter="0" w:footer="0" w:header="0"/>
        </w:sectPr>
      </w:pPr>
    </w:p>
    <w:bookmarkStart w:id="52" w:name="page53"/>
    <w:bookmarkEnd w:id="52"/>
    <w:p>
      <w:pPr>
        <w:spacing w:after="0"/>
        <w:rPr>
          <w:sz w:val="20"/>
          <w:szCs w:val="20"/>
          <w:color w:val="auto"/>
        </w:rPr>
      </w:pPr>
      <w:r>
        <w:rPr>
          <w:rFonts w:ascii="Arial" w:cs="Arial" w:eastAsia="Arial" w:hAnsi="Arial"/>
          <w:sz w:val="22"/>
          <w:szCs w:val="22"/>
          <w:i w:val="1"/>
          <w:iCs w:val="1"/>
          <w:color w:val="3F000B"/>
        </w:rPr>
        <w:t>Our Stockholders Strongly Approve of Our Pay Practices</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Last year, our stockholders overwhelmingly approved our “say-on-pay” resolution, with more than 93% of the votes cast by the holders of Common Stock and more than 99% of the combined votes cast by the holders of the Common Stock and Class B Common Stock voting in favor. Our Compensation Committee believes the results of last year’s “say-on-pay” vote affirmed our stockholders’ support of our Company’s executive compensation program. Consequentially, our approach to executive compensation in 2020 was substantially the same as the approach stockholders approved in 2019. At the 2017 Annual Meeting of Stockholders, our stockholders voted to continue having an annual “say-on-pay” vote as described in Proposal No. 3 –Advise on Named Executive Officer Compensation. We plan to ask stockholders to express a preference for the frequency of the “say-on-pay” vote at our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1117" w:right="4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We believe our compensation and governance policies and practices are significant drivers of our stockholder support. These policies and practices include: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80" w:type="dxa"/>
            <w:vAlign w:val="bottom"/>
            <w:tcBorders>
              <w:top w:val="single" w:sz="8" w:color="3F000B"/>
            </w:tcBorders>
            <w:shd w:val="clear" w:color="auto" w:fill="3F000B"/>
          </w:tcPr>
          <w:p>
            <w:pPr>
              <w:spacing w:after="0"/>
              <w:rPr>
                <w:sz w:val="21"/>
                <w:szCs w:val="21"/>
                <w:color w:val="auto"/>
              </w:rPr>
            </w:pPr>
          </w:p>
        </w:tc>
        <w:tc>
          <w:tcPr>
            <w:tcW w:w="9360" w:type="dxa"/>
            <w:vAlign w:val="bottom"/>
            <w:tcBorders>
              <w:top w:val="single" w:sz="8" w:color="3F000B"/>
              <w:right w:val="single" w:sz="8" w:color="3F000B"/>
            </w:tcBorders>
          </w:tcPr>
          <w:p>
            <w:pPr>
              <w:spacing w:after="0"/>
              <w:rPr>
                <w:sz w:val="20"/>
                <w:szCs w:val="20"/>
                <w:color w:val="auto"/>
              </w:rPr>
            </w:pPr>
            <w:r>
              <w:rPr>
                <w:rFonts w:ascii="Arial" w:cs="Arial" w:eastAsia="Arial" w:hAnsi="Arial"/>
                <w:sz w:val="18"/>
                <w:szCs w:val="18"/>
                <w:b w:val="1"/>
                <w:bCs w:val="1"/>
                <w:color w:val="3F000B"/>
              </w:rPr>
              <w:t xml:space="preserve">Pay for performance: </w:t>
            </w:r>
            <w:r>
              <w:rPr>
                <w:rFonts w:ascii="Arial" w:cs="Arial" w:eastAsia="Arial" w:hAnsi="Arial"/>
                <w:sz w:val="18"/>
                <w:szCs w:val="18"/>
                <w:color w:val="000000"/>
              </w:rPr>
              <w:t>A substantial percentage of each NEO’s target total direct compensation is</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at-risk.</w:t>
            </w:r>
          </w:p>
        </w:tc>
      </w:tr>
      <w:tr>
        <w:trPr>
          <w:trHeight w:val="364"/>
        </w:trPr>
        <w:tc>
          <w:tcPr>
            <w:tcW w:w="1880" w:type="dxa"/>
            <w:vAlign w:val="bottom"/>
            <w:shd w:val="clear" w:color="auto" w:fill="3F000B"/>
          </w:tcPr>
          <w:p>
            <w:pPr>
              <w:spacing w:after="0"/>
              <w:rPr>
                <w:sz w:val="24"/>
                <w:szCs w:val="24"/>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b w:val="1"/>
                <w:bCs w:val="1"/>
                <w:color w:val="3F000B"/>
                <w:w w:val="89"/>
              </w:rPr>
              <w:t xml:space="preserve">Performance measures support strategic objectives: </w:t>
            </w:r>
            <w:r>
              <w:rPr>
                <w:rFonts w:ascii="Arial" w:cs="Arial" w:eastAsia="Arial" w:hAnsi="Arial"/>
                <w:sz w:val="18"/>
                <w:szCs w:val="18"/>
                <w:color w:val="000000"/>
                <w:w w:val="89"/>
              </w:rPr>
              <w:t>The performance measures we use in our compensation programs reflect</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strategic and operating objectives, creating long-term value for our stockholders.</w:t>
            </w:r>
          </w:p>
        </w:tc>
      </w:tr>
      <w:tr>
        <w:trPr>
          <w:trHeight w:val="364"/>
        </w:trPr>
        <w:tc>
          <w:tcPr>
            <w:tcW w:w="1880" w:type="dxa"/>
            <w:vAlign w:val="bottom"/>
            <w:shd w:val="clear" w:color="auto" w:fill="3F000B"/>
          </w:tcPr>
          <w:p>
            <w:pPr>
              <w:spacing w:after="0"/>
              <w:rPr>
                <w:sz w:val="24"/>
                <w:szCs w:val="24"/>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b w:val="1"/>
                <w:bCs w:val="1"/>
                <w:color w:val="3F000B"/>
                <w:w w:val="95"/>
              </w:rPr>
              <w:t xml:space="preserve">Appropriate risk-taking: </w:t>
            </w:r>
            <w:r>
              <w:rPr>
                <w:rFonts w:ascii="Arial" w:cs="Arial" w:eastAsia="Arial" w:hAnsi="Arial"/>
                <w:sz w:val="18"/>
                <w:szCs w:val="18"/>
                <w:color w:val="000000"/>
                <w:w w:val="95"/>
              </w:rPr>
              <w:t>We set performance goals that consider our publicly-announced financial expectations, which we</w:t>
            </w:r>
          </w:p>
        </w:tc>
      </w:tr>
      <w:tr>
        <w:trPr>
          <w:trHeight w:val="216"/>
        </w:trPr>
        <w:tc>
          <w:tcPr>
            <w:tcW w:w="1880" w:type="dxa"/>
            <w:vAlign w:val="bottom"/>
            <w:shd w:val="clear" w:color="auto" w:fill="3F000B"/>
          </w:tcPr>
          <w:p>
            <w:pPr>
              <w:spacing w:after="0"/>
              <w:rPr>
                <w:sz w:val="18"/>
                <w:szCs w:val="18"/>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0"/>
              </w:rPr>
              <w:t>believe will encourage appropriate risk taking. Our incentive programs are appropriately capped so as not to encourage excessive</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risk taking.</w:t>
            </w:r>
          </w:p>
        </w:tc>
      </w:tr>
      <w:tr>
        <w:trPr>
          <w:trHeight w:val="256"/>
        </w:trPr>
        <w:tc>
          <w:tcPr>
            <w:tcW w:w="1880" w:type="dxa"/>
            <w:vAlign w:val="bottom"/>
            <w:shd w:val="clear" w:color="auto" w:fill="3F000B"/>
          </w:tcPr>
          <w:p>
            <w:pPr>
              <w:spacing w:after="0"/>
              <w:rPr>
                <w:sz w:val="22"/>
                <w:szCs w:val="22"/>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b w:val="1"/>
                <w:bCs w:val="1"/>
                <w:color w:val="3F000B"/>
                <w:w w:val="92"/>
              </w:rPr>
              <w:t xml:space="preserve">“Double-trigger” benefits in the event of a change in control: </w:t>
            </w:r>
            <w:r>
              <w:rPr>
                <w:rFonts w:ascii="Arial" w:cs="Arial" w:eastAsia="Arial" w:hAnsi="Arial"/>
                <w:sz w:val="18"/>
                <w:szCs w:val="18"/>
                <w:color w:val="000000"/>
                <w:w w:val="92"/>
              </w:rPr>
              <w:t>In the event of a change in control, the payment of severance</w:t>
            </w:r>
          </w:p>
        </w:tc>
      </w:tr>
      <w:tr>
        <w:trPr>
          <w:trHeight w:val="216"/>
        </w:trPr>
        <w:tc>
          <w:tcPr>
            <w:tcW w:w="1880" w:type="dxa"/>
            <w:vAlign w:val="bottom"/>
            <w:shd w:val="clear" w:color="auto" w:fill="3F000B"/>
          </w:tcPr>
          <w:p>
            <w:pPr>
              <w:spacing w:after="0"/>
              <w:rPr>
                <w:sz w:val="18"/>
                <w:szCs w:val="18"/>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4"/>
              </w:rPr>
              <w:t>benefits and the acceleration of vesting of long-term incentive awards that are replaced with qualifying awards will not occur</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unless there is also a qualifying termination of employment upon or within two years following the change in control.</w:t>
            </w:r>
          </w:p>
        </w:tc>
      </w:tr>
      <w:tr>
        <w:trPr>
          <w:trHeight w:val="850"/>
        </w:trPr>
        <w:tc>
          <w:tcPr>
            <w:tcW w:w="1880" w:type="dxa"/>
            <w:vAlign w:val="bottom"/>
            <w:shd w:val="clear" w:color="auto" w:fill="3F000B"/>
          </w:tcPr>
          <w:p>
            <w:pPr>
              <w:ind w:left="340"/>
              <w:spacing w:after="0"/>
              <w:rPr>
                <w:sz w:val="20"/>
                <w:szCs w:val="20"/>
                <w:color w:val="auto"/>
              </w:rPr>
            </w:pPr>
            <w:r>
              <w:rPr>
                <w:rFonts w:ascii="Arial" w:cs="Arial" w:eastAsia="Arial" w:hAnsi="Arial"/>
                <w:sz w:val="18"/>
                <w:szCs w:val="18"/>
                <w:b w:val="1"/>
                <w:bCs w:val="1"/>
                <w:color w:val="FFFFFF"/>
              </w:rPr>
              <w:t>WHAT WE DO</w:t>
            </w: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b w:val="1"/>
                <w:bCs w:val="1"/>
                <w:color w:val="3F000B"/>
                <w:w w:val="94"/>
              </w:rPr>
              <w:t xml:space="preserve">Clawbacks and other covenants: </w:t>
            </w:r>
            <w:r>
              <w:rPr>
                <w:rFonts w:ascii="Arial" w:cs="Arial" w:eastAsia="Arial" w:hAnsi="Arial"/>
                <w:sz w:val="18"/>
                <w:szCs w:val="18"/>
                <w:color w:val="000000"/>
                <w:w w:val="94"/>
              </w:rPr>
              <w:t>We require our NEOs to enter into an Employee Confidentiality and Restrictive Covenant</w:t>
            </w:r>
          </w:p>
        </w:tc>
      </w:tr>
      <w:tr>
        <w:trPr>
          <w:trHeight w:val="202"/>
        </w:trPr>
        <w:tc>
          <w:tcPr>
            <w:tcW w:w="1880" w:type="dxa"/>
            <w:vAlign w:val="bottom"/>
            <w:shd w:val="clear" w:color="auto" w:fill="3F000B"/>
          </w:tcPr>
          <w:p>
            <w:pPr>
              <w:spacing w:after="0"/>
              <w:rPr>
                <w:sz w:val="17"/>
                <w:szCs w:val="17"/>
                <w:color w:val="auto"/>
              </w:rPr>
            </w:pPr>
          </w:p>
        </w:tc>
        <w:tc>
          <w:tcPr>
            <w:tcW w:w="9360" w:type="dxa"/>
            <w:vAlign w:val="bottom"/>
            <w:tcBorders>
              <w:right w:val="single" w:sz="8" w:color="3F000B"/>
            </w:tcBorders>
          </w:tcPr>
          <w:p>
            <w:pPr>
              <w:spacing w:after="0" w:line="201" w:lineRule="exact"/>
              <w:rPr>
                <w:sz w:val="20"/>
                <w:szCs w:val="20"/>
                <w:color w:val="auto"/>
              </w:rPr>
            </w:pPr>
            <w:r>
              <w:rPr>
                <w:rFonts w:ascii="Arial" w:cs="Arial" w:eastAsia="Arial" w:hAnsi="Arial"/>
                <w:sz w:val="18"/>
                <w:szCs w:val="18"/>
                <w:color w:val="auto"/>
                <w:w w:val="93"/>
              </w:rPr>
              <w:t>Agreement (“ECRCA”) as a condition of receipt of long-term incentive awards. Failure to comply with the ECRCA may subject</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the employee to cancellation of awards and a requirement to repay amounts received from awards.</w:t>
            </w:r>
          </w:p>
        </w:tc>
      </w:tr>
      <w:tr>
        <w:trPr>
          <w:trHeight w:val="256"/>
        </w:trPr>
        <w:tc>
          <w:tcPr>
            <w:tcW w:w="1880" w:type="dxa"/>
            <w:vAlign w:val="bottom"/>
            <w:shd w:val="clear" w:color="auto" w:fill="3F000B"/>
          </w:tcPr>
          <w:p>
            <w:pPr>
              <w:spacing w:after="0"/>
              <w:rPr>
                <w:sz w:val="22"/>
                <w:szCs w:val="22"/>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8"/>
              </w:rPr>
              <w:t>Under the Equity and Incentive Compensation Plan (“EICP”), when an individual’s actions result in the filing of financial</w:t>
            </w:r>
          </w:p>
        </w:tc>
      </w:tr>
      <w:tr>
        <w:trPr>
          <w:trHeight w:val="216"/>
        </w:trPr>
        <w:tc>
          <w:tcPr>
            <w:tcW w:w="1880" w:type="dxa"/>
            <w:vAlign w:val="bottom"/>
            <w:shd w:val="clear" w:color="auto" w:fill="3F000B"/>
          </w:tcPr>
          <w:p>
            <w:pPr>
              <w:spacing w:after="0"/>
              <w:rPr>
                <w:sz w:val="18"/>
                <w:szCs w:val="18"/>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1"/>
              </w:rPr>
              <w:t>documents not in compliance with financial reporting requirements, the Company has the right to recoup or require repayment of</w:t>
            </w:r>
          </w:p>
        </w:tc>
      </w:tr>
      <w:tr>
        <w:trPr>
          <w:trHeight w:val="216"/>
        </w:trPr>
        <w:tc>
          <w:tcPr>
            <w:tcW w:w="1880" w:type="dxa"/>
            <w:vAlign w:val="bottom"/>
            <w:shd w:val="clear" w:color="auto" w:fill="3F000B"/>
          </w:tcPr>
          <w:p>
            <w:pPr>
              <w:spacing w:after="0"/>
              <w:rPr>
                <w:sz w:val="18"/>
                <w:szCs w:val="18"/>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6"/>
              </w:rPr>
              <w:t>an award earned or accrued during the 12-month period following the first public issuance or filing with the Securities and</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Exchange Commission (“SEC”) of the non-compliant document.</w:t>
            </w:r>
          </w:p>
        </w:tc>
      </w:tr>
      <w:tr>
        <w:trPr>
          <w:trHeight w:val="256"/>
        </w:trPr>
        <w:tc>
          <w:tcPr>
            <w:tcW w:w="1880" w:type="dxa"/>
            <w:vAlign w:val="bottom"/>
            <w:shd w:val="clear" w:color="auto" w:fill="3F000B"/>
          </w:tcPr>
          <w:p>
            <w:pPr>
              <w:spacing w:after="0"/>
              <w:rPr>
                <w:sz w:val="22"/>
                <w:szCs w:val="22"/>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5"/>
              </w:rPr>
              <w:t>Beginning in 2021, the Company updated the clawback language within our One Hershey Incentive Program (“OHIP”) and</w:t>
            </w:r>
          </w:p>
        </w:tc>
      </w:tr>
      <w:tr>
        <w:trPr>
          <w:trHeight w:val="216"/>
        </w:trPr>
        <w:tc>
          <w:tcPr>
            <w:tcW w:w="1880" w:type="dxa"/>
            <w:vAlign w:val="bottom"/>
            <w:shd w:val="clear" w:color="auto" w:fill="3F000B"/>
          </w:tcPr>
          <w:p>
            <w:pPr>
              <w:spacing w:after="0"/>
              <w:rPr>
                <w:sz w:val="18"/>
                <w:szCs w:val="18"/>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2"/>
              </w:rPr>
              <w:t>long-term incentive award agreements to authorize the Compensation Committee to seek repayment in the event of intentional</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misconduct by a grantee that causes the Company material financial or reputational harm.</w:t>
            </w:r>
          </w:p>
        </w:tc>
      </w:tr>
      <w:tr>
        <w:trPr>
          <w:trHeight w:val="688"/>
        </w:trPr>
        <w:tc>
          <w:tcPr>
            <w:tcW w:w="1880" w:type="dxa"/>
            <w:vAlign w:val="bottom"/>
            <w:shd w:val="clear" w:color="auto" w:fill="3F000B"/>
          </w:tcPr>
          <w:p>
            <w:pPr>
              <w:spacing w:after="0"/>
              <w:rPr>
                <w:sz w:val="24"/>
                <w:szCs w:val="24"/>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b w:val="1"/>
                <w:bCs w:val="1"/>
                <w:color w:val="3F000B"/>
                <w:w w:val="91"/>
              </w:rPr>
              <w:t xml:space="preserve">Significant stock ownership guidelines: </w:t>
            </w:r>
            <w:r>
              <w:rPr>
                <w:rFonts w:ascii="Arial" w:cs="Arial" w:eastAsia="Arial" w:hAnsi="Arial"/>
                <w:sz w:val="18"/>
                <w:szCs w:val="18"/>
                <w:color w:val="000000"/>
                <w:w w:val="91"/>
              </w:rPr>
              <w:t>Our NEOs and other executives are required to accumulate and hold stock equal to a</w:t>
            </w:r>
          </w:p>
        </w:tc>
      </w:tr>
      <w:tr>
        <w:trPr>
          <w:trHeight w:val="216"/>
        </w:trPr>
        <w:tc>
          <w:tcPr>
            <w:tcW w:w="1880" w:type="dxa"/>
            <w:vAlign w:val="bottom"/>
            <w:shd w:val="clear" w:color="auto" w:fill="3F000B"/>
          </w:tcPr>
          <w:p>
            <w:pPr>
              <w:spacing w:after="0"/>
              <w:rPr>
                <w:sz w:val="18"/>
                <w:szCs w:val="18"/>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w w:val="97"/>
              </w:rPr>
              <w:t>multiple of base salary. If an executive has not met his or her ownership requirement in a timely manner, the executive is</w:t>
            </w:r>
          </w:p>
        </w:tc>
      </w:tr>
      <w:tr>
        <w:trPr>
          <w:trHeight w:val="230"/>
        </w:trPr>
        <w:tc>
          <w:tcPr>
            <w:tcW w:w="1880" w:type="dxa"/>
            <w:vAlign w:val="bottom"/>
            <w:shd w:val="clear" w:color="auto" w:fill="3F000B"/>
          </w:tcPr>
          <w:p>
            <w:pPr>
              <w:spacing w:after="0"/>
              <w:rPr>
                <w:sz w:val="20"/>
                <w:szCs w:val="20"/>
                <w:color w:val="auto"/>
              </w:rPr>
            </w:pPr>
          </w:p>
        </w:tc>
        <w:tc>
          <w:tcPr>
            <w:tcW w:w="936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required to retain a portion of shares received under long-term incentive awards until the requirement is met.</w:t>
            </w:r>
          </w:p>
        </w:tc>
      </w:tr>
      <w:tr>
        <w:trPr>
          <w:trHeight w:val="135"/>
        </w:trPr>
        <w:tc>
          <w:tcPr>
            <w:tcW w:w="1880" w:type="dxa"/>
            <w:vAlign w:val="bottom"/>
            <w:tcBorders>
              <w:bottom w:val="single" w:sz="8" w:color="3F000B"/>
            </w:tcBorders>
            <w:shd w:val="clear" w:color="auto" w:fill="3F000B"/>
          </w:tcPr>
          <w:p>
            <w:pPr>
              <w:spacing w:after="0"/>
              <w:rPr>
                <w:sz w:val="11"/>
                <w:szCs w:val="11"/>
                <w:color w:val="auto"/>
              </w:rPr>
            </w:pPr>
          </w:p>
        </w:tc>
        <w:tc>
          <w:tcPr>
            <w:tcW w:w="9360" w:type="dxa"/>
            <w:vAlign w:val="bottom"/>
            <w:tcBorders>
              <w:bottom w:val="single" w:sz="8" w:color="3F000B"/>
              <w:right w:val="single" w:sz="8" w:color="3F000B"/>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23430" cy="2091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3430" cy="2091690"/>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180"/>
        <w:spacing w:after="0" w:line="282" w:lineRule="auto"/>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3F000B"/>
        </w:rPr>
        <w:t xml:space="preserve">Provide excessive perquisites: </w:t>
      </w:r>
      <w:r>
        <w:rPr>
          <w:rFonts w:ascii="Arial" w:cs="Arial" w:eastAsia="Arial" w:hAnsi="Arial"/>
          <w:sz w:val="18"/>
          <w:szCs w:val="18"/>
          <w:color w:val="000000"/>
        </w:rPr>
        <w:t>Executive perquisites are kept to a minimal level relative to a NEO’s total compensation and do</w:t>
      </w:r>
      <w:r>
        <w:rPr>
          <w:rFonts w:ascii="Arial" w:cs="Arial" w:eastAsia="Arial" w:hAnsi="Arial"/>
          <w:sz w:val="18"/>
          <w:szCs w:val="18"/>
          <w:b w:val="1"/>
          <w:bCs w:val="1"/>
          <w:color w:val="3F000B"/>
        </w:rPr>
        <w:t xml:space="preserve"> </w:t>
      </w:r>
      <w:r>
        <w:rPr>
          <w:rFonts w:ascii="Arial" w:cs="Arial" w:eastAsia="Arial" w:hAnsi="Arial"/>
          <w:sz w:val="18"/>
          <w:szCs w:val="18"/>
          <w:color w:val="000000"/>
        </w:rPr>
        <w:t>not play a significant role in our executive compensation program.</w:t>
      </w:r>
    </w:p>
    <w:p>
      <w:pPr>
        <w:spacing w:after="0" w:line="1" w:lineRule="exact"/>
        <w:rPr>
          <w:sz w:val="20"/>
          <w:szCs w:val="20"/>
          <w:color w:val="auto"/>
        </w:rPr>
      </w:pPr>
    </w:p>
    <w:p>
      <w:pPr>
        <w:ind w:right="880"/>
        <w:spacing w:after="0" w:line="266" w:lineRule="auto"/>
        <w:rPr>
          <w:sz w:val="20"/>
          <w:szCs w:val="20"/>
          <w:color w:val="auto"/>
        </w:rPr>
      </w:pPr>
      <w:r>
        <w:rPr>
          <w:rFonts w:ascii="Arial" w:cs="Arial" w:eastAsia="Arial" w:hAnsi="Arial"/>
          <w:sz w:val="18"/>
          <w:szCs w:val="18"/>
          <w:b w:val="1"/>
          <w:bCs w:val="1"/>
          <w:color w:val="3F000B"/>
        </w:rPr>
        <w:t xml:space="preserve">Tax gross-ups: </w:t>
      </w:r>
      <w:r>
        <w:rPr>
          <w:rFonts w:ascii="Arial" w:cs="Arial" w:eastAsia="Arial" w:hAnsi="Arial"/>
          <w:sz w:val="18"/>
          <w:szCs w:val="18"/>
          <w:color w:val="000000"/>
        </w:rPr>
        <w:t>We generally do not provide tax gross-ups, except for relocation expenses and standard expatriate tax</w:t>
      </w:r>
      <w:r>
        <w:rPr>
          <w:rFonts w:ascii="Arial" w:cs="Arial" w:eastAsia="Arial" w:hAnsi="Arial"/>
          <w:sz w:val="18"/>
          <w:szCs w:val="18"/>
          <w:b w:val="1"/>
          <w:bCs w:val="1"/>
          <w:color w:val="3F000B"/>
        </w:rPr>
        <w:t xml:space="preserve"> </w:t>
      </w:r>
      <w:r>
        <w:rPr>
          <w:rFonts w:ascii="Arial" w:cs="Arial" w:eastAsia="Arial" w:hAnsi="Arial"/>
          <w:sz w:val="18"/>
          <w:szCs w:val="18"/>
          <w:color w:val="000000"/>
        </w:rPr>
        <w:t>equalization benefits available to all similarly situated employees.</w:t>
      </w:r>
    </w:p>
    <w:p>
      <w:pPr>
        <w:ind w:right="320"/>
        <w:spacing w:after="0" w:line="282" w:lineRule="auto"/>
        <w:rPr>
          <w:sz w:val="20"/>
          <w:szCs w:val="20"/>
          <w:color w:val="auto"/>
        </w:rPr>
      </w:pPr>
      <w:r>
        <w:rPr>
          <w:rFonts w:ascii="Arial" w:cs="Arial" w:eastAsia="Arial" w:hAnsi="Arial"/>
          <w:sz w:val="18"/>
          <w:szCs w:val="18"/>
          <w:b w:val="1"/>
          <w:bCs w:val="1"/>
          <w:color w:val="3F000B"/>
        </w:rPr>
        <w:t xml:space="preserve">Provide for the prepayment of dividends on unearned PSUs: </w:t>
      </w:r>
      <w:r>
        <w:rPr>
          <w:rFonts w:ascii="Arial" w:cs="Arial" w:eastAsia="Arial" w:hAnsi="Arial"/>
          <w:sz w:val="18"/>
          <w:szCs w:val="18"/>
          <w:color w:val="000000"/>
        </w:rPr>
        <w:t>Dividends are not paid on PSU awards during the three-year</w:t>
      </w:r>
      <w:r>
        <w:rPr>
          <w:rFonts w:ascii="Arial" w:cs="Arial" w:eastAsia="Arial" w:hAnsi="Arial"/>
          <w:sz w:val="18"/>
          <w:szCs w:val="18"/>
          <w:b w:val="1"/>
          <w:bCs w:val="1"/>
          <w:color w:val="3F000B"/>
        </w:rPr>
        <w:t xml:space="preserve"> </w:t>
      </w:r>
      <w:r>
        <w:rPr>
          <w:rFonts w:ascii="Arial" w:cs="Arial" w:eastAsia="Arial" w:hAnsi="Arial"/>
          <w:sz w:val="18"/>
          <w:szCs w:val="18"/>
          <w:color w:val="000000"/>
        </w:rPr>
        <w:t>performance cycle.</w:t>
      </w:r>
    </w:p>
    <w:p>
      <w:pPr>
        <w:spacing w:after="0" w:line="81"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3F000B"/>
        </w:rPr>
        <w:t xml:space="preserve">Hedging Company stock: </w:t>
      </w:r>
      <w:r>
        <w:rPr>
          <w:rFonts w:ascii="Arial" w:cs="Arial" w:eastAsia="Arial" w:hAnsi="Arial"/>
          <w:sz w:val="16"/>
          <w:szCs w:val="16"/>
          <w:color w:val="000000"/>
        </w:rPr>
        <w:t>Our NEOs, directors, employees and other insiders are prohibited from entering into hedging</w:t>
      </w:r>
      <w:r>
        <w:rPr>
          <w:rFonts w:ascii="Arial" w:cs="Arial" w:eastAsia="Arial" w:hAnsi="Arial"/>
          <w:sz w:val="16"/>
          <w:szCs w:val="16"/>
          <w:b w:val="1"/>
          <w:bCs w:val="1"/>
          <w:color w:val="3F000B"/>
        </w:rPr>
        <w:t xml:space="preserve"> </w:t>
      </w:r>
      <w:r>
        <w:rPr>
          <w:rFonts w:ascii="Arial" w:cs="Arial" w:eastAsia="Arial" w:hAnsi="Arial"/>
          <w:sz w:val="16"/>
          <w:szCs w:val="16"/>
          <w:color w:val="000000"/>
        </w:rPr>
        <w:t>transactions related to our stock, including forward sale purchase contracts, equity swaps, collars or exchange funds.</w:t>
      </w:r>
    </w:p>
    <w:p>
      <w:pPr>
        <w:spacing w:after="0" w:line="35" w:lineRule="exact"/>
        <w:rPr>
          <w:sz w:val="20"/>
          <w:szCs w:val="20"/>
          <w:color w:val="auto"/>
        </w:rPr>
      </w:pPr>
    </w:p>
    <w:p>
      <w:pPr>
        <w:ind w:right="580"/>
        <w:spacing w:after="0" w:line="281" w:lineRule="auto"/>
        <w:rPr>
          <w:sz w:val="20"/>
          <w:szCs w:val="20"/>
          <w:color w:val="auto"/>
        </w:rPr>
      </w:pPr>
      <w:r>
        <w:rPr>
          <w:rFonts w:ascii="Arial" w:cs="Arial" w:eastAsia="Arial" w:hAnsi="Arial"/>
          <w:sz w:val="18"/>
          <w:szCs w:val="18"/>
          <w:b w:val="1"/>
          <w:bCs w:val="1"/>
          <w:color w:val="3F000B"/>
        </w:rPr>
        <w:t xml:space="preserve">Pledging Company stock: </w:t>
      </w:r>
      <w:r>
        <w:rPr>
          <w:rFonts w:ascii="Arial" w:cs="Arial" w:eastAsia="Arial" w:hAnsi="Arial"/>
          <w:sz w:val="18"/>
          <w:szCs w:val="18"/>
          <w:color w:val="000000"/>
        </w:rPr>
        <w:t>Our NEOs, directors, employees and other insiders are prohibited from entering into pledging</w:t>
      </w:r>
      <w:r>
        <w:rPr>
          <w:rFonts w:ascii="Arial" w:cs="Arial" w:eastAsia="Arial" w:hAnsi="Arial"/>
          <w:sz w:val="18"/>
          <w:szCs w:val="18"/>
          <w:b w:val="1"/>
          <w:bCs w:val="1"/>
          <w:color w:val="3F000B"/>
        </w:rPr>
        <w:t xml:space="preserve"> </w:t>
      </w:r>
      <w:r>
        <w:rPr>
          <w:rFonts w:ascii="Arial" w:cs="Arial" w:eastAsia="Arial" w:hAnsi="Arial"/>
          <w:sz w:val="18"/>
          <w:szCs w:val="18"/>
          <w:color w:val="000000"/>
        </w:rPr>
        <w:t>transactions related to our stock.</w:t>
      </w:r>
    </w:p>
    <w:p>
      <w:pPr>
        <w:spacing w:after="0" w:line="1" w:lineRule="exact"/>
        <w:rPr>
          <w:sz w:val="20"/>
          <w:szCs w:val="20"/>
          <w:color w:val="auto"/>
        </w:rPr>
      </w:pPr>
    </w:p>
    <w:p>
      <w:pPr>
        <w:ind w:right="2100"/>
        <w:spacing w:after="0" w:line="312" w:lineRule="auto"/>
        <w:rPr>
          <w:sz w:val="20"/>
          <w:szCs w:val="20"/>
          <w:color w:val="auto"/>
        </w:rPr>
      </w:pPr>
      <w:r>
        <w:rPr>
          <w:rFonts w:ascii="Arial" w:cs="Arial" w:eastAsia="Arial" w:hAnsi="Arial"/>
          <w:sz w:val="17"/>
          <w:szCs w:val="17"/>
          <w:b w:val="1"/>
          <w:bCs w:val="1"/>
          <w:color w:val="3F000B"/>
        </w:rPr>
        <w:t xml:space="preserve">Re-pricings or exchanges of underwater stock options: </w:t>
      </w:r>
      <w:r>
        <w:rPr>
          <w:rFonts w:ascii="Arial" w:cs="Arial" w:eastAsia="Arial" w:hAnsi="Arial"/>
          <w:sz w:val="17"/>
          <w:szCs w:val="17"/>
          <w:color w:val="000000"/>
        </w:rPr>
        <w:t>Our stockholder-approved EICP prohibits</w:t>
      </w:r>
      <w:r>
        <w:rPr>
          <w:rFonts w:ascii="Arial" w:cs="Arial" w:eastAsia="Arial" w:hAnsi="Arial"/>
          <w:sz w:val="17"/>
          <w:szCs w:val="17"/>
          <w:b w:val="1"/>
          <w:bCs w:val="1"/>
          <w:color w:val="3F000B"/>
        </w:rPr>
        <w:t xml:space="preserve"> </w:t>
      </w:r>
      <w:r>
        <w:rPr>
          <w:rFonts w:ascii="Arial" w:cs="Arial" w:eastAsia="Arial" w:hAnsi="Arial"/>
          <w:sz w:val="17"/>
          <w:szCs w:val="17"/>
          <w:color w:val="000000"/>
        </w:rPr>
        <w:t>re-pricing or exchange of underwater stock options without stockholder approval.</w:t>
      </w:r>
    </w:p>
    <w:p>
      <w:pPr>
        <w:spacing w:after="0" w:line="200" w:lineRule="exact"/>
        <w:rPr>
          <w:sz w:val="20"/>
          <w:szCs w:val="20"/>
          <w:color w:val="auto"/>
        </w:rPr>
      </w:pPr>
    </w:p>
    <w:p>
      <w:pPr>
        <w:sectPr>
          <w:pgSz w:w="11900" w:h="16838" w:orient="portrait"/>
          <w:cols w:equalWidth="0" w:num="2">
            <w:col w:w="1700" w:space="180"/>
            <w:col w:w="9340"/>
          </w:cols>
          <w:pgMar w:left="320" w:top="1057" w:right="35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Changes to Our Annual and Long-Term Incentive Programs</w:t>
      </w:r>
    </w:p>
    <w:p>
      <w:pPr>
        <w:spacing w:after="0" w:line="21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October 2019, the Compensation Committee approved eliminating the individual performance metrics for Ms. Buck so that, effective January 1, 2020, 100% of her OHIP award is based on Company financial performance; enhancing the pay-for-performance alignment between the CEO’s OHIP payout and objective, financial performance results. Non-financial performance is evaluated as part of the CEO’s annual performance assessment. Except for this change, all other elements of our annual and long-term incentive programs remained unchanged for 2020. These programs are described in more detail in the sections entitled “Annual Incentives” and “Long-Term Incentives,” respectively.</w:t>
      </w:r>
    </w:p>
    <w:p>
      <w:pPr>
        <w:sectPr>
          <w:pgSz w:w="11900" w:h="16838" w:orient="portrait"/>
          <w:cols w:equalWidth="0" w:num="1">
            <w:col w:w="11220"/>
          </w:cols>
          <w:pgMar w:left="320" w:top="10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1057"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22"/>
          <w:szCs w:val="22"/>
          <w:i w:val="1"/>
          <w:iCs w:val="1"/>
          <w:color w:val="3F000B"/>
        </w:rPr>
        <w:t>2020 Performance Results and Payouts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2020 OHIP - Performance Metrics and Results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mentioned previously, COVID-19 had both positive and negative impacts on our business. Payouts under the 2020 OHIP reflect our below target performance in net sales due to COVID-19 headwinds in certain business units and maximum performance in adjusted earnings per share-diluted and Earnings Before Interest and Tax (“EBIT”) Margin % resulting from strong performance in North America and Selling, Marketing and Administrative optimization. As a result, for Ms. Buck, 100% of the 2020 OHIP award, and, for all other NEOs, 75% of the 2020 OHIP award was based on the Company performance score of 149.09%. With the exception of Ms. Buck, the remainder of the 2020 OHIP award for each NEO was determined by individual performance as described in more detail in the section entitled “Annual Incentives.”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3F000B"/>
              <w:left w:val="single" w:sz="8" w:color="3F000B"/>
              <w:right w:val="single" w:sz="8" w:color="DADADA"/>
            </w:tcBorders>
            <w:shd w:val="clear" w:color="auto" w:fill="3F000B"/>
          </w:tcPr>
          <w:p>
            <w:pPr>
              <w:ind w:left="1860"/>
              <w:spacing w:after="0"/>
              <w:rPr>
                <w:sz w:val="20"/>
                <w:szCs w:val="20"/>
                <w:color w:val="auto"/>
              </w:rPr>
            </w:pPr>
            <w:r>
              <w:rPr>
                <w:rFonts w:ascii="Arial" w:cs="Arial" w:eastAsia="Arial" w:hAnsi="Arial"/>
                <w:sz w:val="18"/>
                <w:szCs w:val="18"/>
                <w:b w:val="1"/>
                <w:bCs w:val="1"/>
                <w:color w:val="FFFFFF"/>
              </w:rPr>
              <w:t>Metric</w:t>
            </w:r>
          </w:p>
        </w:tc>
        <w:tc>
          <w:tcPr>
            <w:tcW w:w="362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2020 Results</w:t>
            </w:r>
          </w:p>
        </w:tc>
        <w:tc>
          <w:tcPr>
            <w:tcW w:w="340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2020 Awards</w:t>
            </w:r>
          </w:p>
        </w:tc>
        <w:tc>
          <w:tcPr>
            <w:tcW w:w="0" w:type="dxa"/>
            <w:vAlign w:val="bottom"/>
          </w:tcPr>
          <w:p>
            <w:pPr>
              <w:spacing w:after="0"/>
              <w:rPr>
                <w:sz w:val="1"/>
                <w:szCs w:val="1"/>
                <w:color w:val="auto"/>
              </w:rPr>
            </w:pPr>
          </w:p>
        </w:tc>
      </w:tr>
      <w:tr>
        <w:trPr>
          <w:trHeight w:val="81"/>
        </w:trPr>
        <w:tc>
          <w:tcPr>
            <w:tcW w:w="4220" w:type="dxa"/>
            <w:vAlign w:val="bottom"/>
            <w:tcBorders>
              <w:left w:val="single" w:sz="8" w:color="3F000B"/>
              <w:right w:val="single" w:sz="8" w:color="DADADA"/>
            </w:tcBorders>
            <w:shd w:val="clear" w:color="auto" w:fill="3F000B"/>
          </w:tcPr>
          <w:p>
            <w:pPr>
              <w:spacing w:after="0"/>
              <w:rPr>
                <w:sz w:val="7"/>
                <w:szCs w:val="7"/>
                <w:color w:val="auto"/>
              </w:rPr>
            </w:pPr>
          </w:p>
        </w:tc>
        <w:tc>
          <w:tcPr>
            <w:tcW w:w="3620" w:type="dxa"/>
            <w:vAlign w:val="bottom"/>
            <w:tcBorders>
              <w:right w:val="single" w:sz="8" w:color="DADADA"/>
            </w:tcBorders>
            <w:shd w:val="clear" w:color="auto" w:fill="3F000B"/>
          </w:tcPr>
          <w:p>
            <w:pPr>
              <w:spacing w:after="0"/>
              <w:rPr>
                <w:sz w:val="7"/>
                <w:szCs w:val="7"/>
                <w:color w:val="auto"/>
              </w:rPr>
            </w:pPr>
          </w:p>
        </w:tc>
        <w:tc>
          <w:tcPr>
            <w:tcW w:w="3400" w:type="dxa"/>
            <w:vAlign w:val="bottom"/>
            <w:tcBorders>
              <w:right w:val="single" w:sz="8" w:color="3F000B"/>
            </w:tcBorders>
            <w:shd w:val="clear" w:color="auto" w:fill="3F000B"/>
          </w:tcPr>
          <w:p>
            <w:pPr>
              <w:spacing w:after="0"/>
              <w:rPr>
                <w:sz w:val="7"/>
                <w:szCs w:val="7"/>
                <w:color w:val="auto"/>
              </w:rPr>
            </w:pPr>
          </w:p>
        </w:tc>
        <w:tc>
          <w:tcPr>
            <w:tcW w:w="0" w:type="dxa"/>
            <w:vAlign w:val="bottom"/>
          </w:tcPr>
          <w:p>
            <w:pPr>
              <w:spacing w:after="0"/>
              <w:rPr>
                <w:sz w:val="1"/>
                <w:szCs w:val="1"/>
                <w:color w:val="auto"/>
              </w:rPr>
            </w:pPr>
          </w:p>
        </w:tc>
      </w:tr>
      <w:tr>
        <w:trPr>
          <w:trHeight w:val="379"/>
        </w:trPr>
        <w:tc>
          <w:tcPr>
            <w:tcW w:w="42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3620" w:type="dxa"/>
            <w:vAlign w:val="bottom"/>
            <w:tcBorders>
              <w:right w:val="single" w:sz="8" w:color="3F000B"/>
            </w:tcBorders>
          </w:tcPr>
          <w:p>
            <w:pPr>
              <w:jc w:val="center"/>
              <w:spacing w:after="0"/>
              <w:rPr>
                <w:sz w:val="20"/>
                <w:szCs w:val="20"/>
                <w:color w:val="auto"/>
              </w:rPr>
            </w:pPr>
            <w:r>
              <w:rPr>
                <w:rFonts w:ascii="Arial" w:cs="Arial" w:eastAsia="Arial" w:hAnsi="Arial"/>
                <w:sz w:val="18"/>
                <w:szCs w:val="18"/>
                <w:color w:val="auto"/>
                <w:w w:val="91"/>
              </w:rPr>
              <w:t>2.7% growth was below target</w:t>
            </w:r>
          </w:p>
        </w:tc>
        <w:tc>
          <w:tcPr>
            <w:tcW w:w="3400" w:type="dxa"/>
            <w:vAlign w:val="bottom"/>
            <w:tcBorders>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20" w:type="dxa"/>
            <w:vAlign w:val="bottom"/>
            <w:tcBorders>
              <w:left w:val="single" w:sz="8" w:color="3F000B"/>
              <w:right w:val="single" w:sz="8" w:color="3F000B"/>
            </w:tcBorders>
          </w:tcPr>
          <w:p>
            <w:pPr>
              <w:spacing w:after="0"/>
              <w:rPr>
                <w:sz w:val="2"/>
                <w:szCs w:val="2"/>
                <w:color w:val="auto"/>
              </w:rPr>
            </w:pPr>
          </w:p>
        </w:tc>
        <w:tc>
          <w:tcPr>
            <w:tcW w:w="3620" w:type="dxa"/>
            <w:vAlign w:val="bottom"/>
            <w:tcBorders>
              <w:right w:val="single" w:sz="8" w:color="3F000B"/>
            </w:tcBorders>
          </w:tcPr>
          <w:p>
            <w:pPr>
              <w:spacing w:after="0"/>
              <w:rPr>
                <w:sz w:val="2"/>
                <w:szCs w:val="2"/>
                <w:color w:val="auto"/>
              </w:rPr>
            </w:pPr>
          </w:p>
        </w:tc>
        <w:tc>
          <w:tcPr>
            <w:tcW w:w="340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8"/>
        </w:trPr>
        <w:tc>
          <w:tcPr>
            <w:tcW w:w="42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Adjusted Earnings per Share-Diluted</w:t>
            </w:r>
            <w:r>
              <w:rPr>
                <w:rFonts w:ascii="Arial" w:cs="Arial" w:eastAsia="Arial" w:hAnsi="Arial"/>
                <w:sz w:val="23"/>
                <w:szCs w:val="23"/>
                <w:color w:val="auto"/>
                <w:vertAlign w:val="superscript"/>
              </w:rPr>
              <w:t>(2)</w:t>
            </w:r>
          </w:p>
        </w:tc>
        <w:tc>
          <w:tcPr>
            <w:tcW w:w="3620" w:type="dxa"/>
            <w:vAlign w:val="bottom"/>
            <w:tcBorders>
              <w:bottom w:val="single" w:sz="8" w:color="DADADA"/>
              <w:right w:val="single" w:sz="8" w:color="3F000B"/>
            </w:tcBorders>
            <w:shd w:val="clear" w:color="auto" w:fill="DADADA"/>
          </w:tcPr>
          <w:p>
            <w:pPr>
              <w:jc w:val="center"/>
              <w:spacing w:after="0"/>
              <w:rPr>
                <w:sz w:val="20"/>
                <w:szCs w:val="20"/>
                <w:color w:val="auto"/>
              </w:rPr>
            </w:pPr>
            <w:r>
              <w:rPr>
                <w:rFonts w:ascii="Arial" w:cs="Arial" w:eastAsia="Arial" w:hAnsi="Arial"/>
                <w:sz w:val="18"/>
                <w:szCs w:val="18"/>
                <w:color w:val="auto"/>
                <w:w w:val="90"/>
              </w:rPr>
              <w:t>8.8% growth was above target</w:t>
            </w:r>
          </w:p>
        </w:tc>
        <w:tc>
          <w:tcPr>
            <w:tcW w:w="3400" w:type="dxa"/>
            <w:vAlign w:val="bottom"/>
            <w:tcBorders>
              <w:right w:val="single" w:sz="8" w:color="3F000B"/>
            </w:tcBorders>
          </w:tcPr>
          <w:p>
            <w:pPr>
              <w:jc w:val="center"/>
              <w:spacing w:after="0"/>
              <w:rPr>
                <w:sz w:val="20"/>
                <w:szCs w:val="20"/>
                <w:color w:val="auto"/>
              </w:rPr>
            </w:pPr>
            <w:r>
              <w:rPr>
                <w:rFonts w:ascii="Arial" w:cs="Arial" w:eastAsia="Arial" w:hAnsi="Arial"/>
                <w:sz w:val="18"/>
                <w:szCs w:val="18"/>
                <w:color w:val="auto"/>
                <w:w w:val="90"/>
              </w:rPr>
              <w:t>Company performance score of 149.09%</w:t>
            </w:r>
          </w:p>
        </w:tc>
        <w:tc>
          <w:tcPr>
            <w:tcW w:w="0" w:type="dxa"/>
            <w:vAlign w:val="bottom"/>
          </w:tcPr>
          <w:p>
            <w:pPr>
              <w:spacing w:after="0"/>
              <w:rPr>
                <w:sz w:val="1"/>
                <w:szCs w:val="1"/>
                <w:color w:val="auto"/>
              </w:rPr>
            </w:pPr>
          </w:p>
        </w:tc>
      </w:tr>
      <w:tr>
        <w:trPr>
          <w:trHeight w:val="379"/>
        </w:trPr>
        <w:tc>
          <w:tcPr>
            <w:tcW w:w="42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EBIT Margin %</w:t>
            </w:r>
            <w:r>
              <w:rPr>
                <w:rFonts w:ascii="Arial" w:cs="Arial" w:eastAsia="Arial" w:hAnsi="Arial"/>
                <w:sz w:val="23"/>
                <w:szCs w:val="23"/>
                <w:color w:val="auto"/>
                <w:vertAlign w:val="superscript"/>
              </w:rPr>
              <w:t>(3)</w:t>
            </w:r>
          </w:p>
        </w:tc>
        <w:tc>
          <w:tcPr>
            <w:tcW w:w="3620" w:type="dxa"/>
            <w:vAlign w:val="bottom"/>
            <w:tcBorders>
              <w:right w:val="single" w:sz="8" w:color="3F000B"/>
            </w:tcBorders>
          </w:tcPr>
          <w:p>
            <w:pPr>
              <w:jc w:val="center"/>
              <w:spacing w:after="0"/>
              <w:rPr>
                <w:sz w:val="20"/>
                <w:szCs w:val="20"/>
                <w:color w:val="auto"/>
              </w:rPr>
            </w:pPr>
            <w:r>
              <w:rPr>
                <w:rFonts w:ascii="Arial" w:cs="Arial" w:eastAsia="Arial" w:hAnsi="Arial"/>
                <w:sz w:val="18"/>
                <w:szCs w:val="18"/>
                <w:color w:val="auto"/>
                <w:w w:val="88"/>
              </w:rPr>
              <w:t>22.43% was above target</w:t>
            </w:r>
          </w:p>
        </w:tc>
        <w:tc>
          <w:tcPr>
            <w:tcW w:w="3400" w:type="dxa"/>
            <w:vAlign w:val="bottom"/>
            <w:tcBorders>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220" w:type="dxa"/>
            <w:vAlign w:val="bottom"/>
            <w:tcBorders>
              <w:left w:val="single" w:sz="8" w:color="3F000B"/>
              <w:right w:val="single" w:sz="8" w:color="3F000B"/>
            </w:tcBorders>
          </w:tcPr>
          <w:p>
            <w:pPr>
              <w:spacing w:after="0"/>
              <w:rPr>
                <w:sz w:val="3"/>
                <w:szCs w:val="3"/>
                <w:color w:val="auto"/>
              </w:rPr>
            </w:pPr>
          </w:p>
        </w:tc>
        <w:tc>
          <w:tcPr>
            <w:tcW w:w="3620" w:type="dxa"/>
            <w:vAlign w:val="bottom"/>
            <w:tcBorders>
              <w:right w:val="single" w:sz="8" w:color="3F000B"/>
            </w:tcBorders>
          </w:tcPr>
          <w:p>
            <w:pPr>
              <w:spacing w:after="0"/>
              <w:rPr>
                <w:sz w:val="3"/>
                <w:szCs w:val="3"/>
                <w:color w:val="auto"/>
              </w:rPr>
            </w:pPr>
          </w:p>
        </w:tc>
        <w:tc>
          <w:tcPr>
            <w:tcW w:w="3400" w:type="dxa"/>
            <w:vAlign w:val="bottom"/>
            <w:tcBorders>
              <w:right w:val="single" w:sz="8" w:color="3F000B"/>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tcBorders>
              <w:left w:val="single" w:sz="8" w:color="3F000B"/>
              <w:right w:val="single" w:sz="8" w:color="3F000B"/>
            </w:tcBorders>
            <w:vMerge w:val="restart"/>
            <w:shd w:val="clear" w:color="auto" w:fill="DADADA"/>
          </w:tcPr>
          <w:p>
            <w:pPr>
              <w:ind w:left="40"/>
              <w:spacing w:after="0"/>
              <w:rPr>
                <w:sz w:val="20"/>
                <w:szCs w:val="20"/>
                <w:color w:val="auto"/>
              </w:rPr>
            </w:pPr>
            <w:r>
              <w:rPr>
                <w:rFonts w:ascii="Arial" w:cs="Arial" w:eastAsia="Arial" w:hAnsi="Arial"/>
                <w:sz w:val="18"/>
                <w:szCs w:val="18"/>
                <w:color w:val="auto"/>
              </w:rPr>
              <w:t>Individual Performance Metrics</w:t>
            </w:r>
            <w:r>
              <w:rPr>
                <w:rFonts w:ascii="Arial" w:cs="Arial" w:eastAsia="Arial" w:hAnsi="Arial"/>
                <w:sz w:val="23"/>
                <w:szCs w:val="23"/>
                <w:color w:val="auto"/>
                <w:vertAlign w:val="superscript"/>
              </w:rPr>
              <w:t>(4)</w:t>
            </w:r>
          </w:p>
        </w:tc>
        <w:tc>
          <w:tcPr>
            <w:tcW w:w="362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8"/>
                <w:szCs w:val="18"/>
                <w:color w:val="auto"/>
                <w:w w:val="91"/>
              </w:rPr>
              <w:t>Described in more detail in the section entitled</w:t>
            </w:r>
          </w:p>
        </w:tc>
        <w:tc>
          <w:tcPr>
            <w:tcW w:w="3400" w:type="dxa"/>
            <w:vAlign w:val="bottom"/>
            <w:tcBorders>
              <w:right w:val="single" w:sz="8" w:color="3F000B"/>
            </w:tcBorders>
            <w:shd w:val="clear" w:color="auto" w:fill="DADADA"/>
          </w:tcPr>
          <w:p>
            <w:pPr>
              <w:jc w:val="center"/>
              <w:spacing w:after="0"/>
              <w:rPr>
                <w:sz w:val="20"/>
                <w:szCs w:val="20"/>
                <w:color w:val="auto"/>
              </w:rPr>
            </w:pPr>
            <w:r>
              <w:rPr>
                <w:rFonts w:ascii="Arial" w:cs="Arial" w:eastAsia="Arial" w:hAnsi="Arial"/>
                <w:sz w:val="18"/>
                <w:szCs w:val="18"/>
                <w:color w:val="auto"/>
                <w:w w:val="91"/>
              </w:rPr>
              <w:t>Individual performance scores ranged from</w:t>
            </w:r>
          </w:p>
        </w:tc>
        <w:tc>
          <w:tcPr>
            <w:tcW w:w="0" w:type="dxa"/>
            <w:vAlign w:val="bottom"/>
          </w:tcPr>
          <w:p>
            <w:pPr>
              <w:spacing w:after="0"/>
              <w:rPr>
                <w:sz w:val="1"/>
                <w:szCs w:val="1"/>
                <w:color w:val="auto"/>
              </w:rPr>
            </w:pPr>
          </w:p>
        </w:tc>
      </w:tr>
      <w:tr>
        <w:trPr>
          <w:trHeight w:val="108"/>
        </w:trPr>
        <w:tc>
          <w:tcPr>
            <w:tcW w:w="4220" w:type="dxa"/>
            <w:vAlign w:val="bottom"/>
            <w:tcBorders>
              <w:left w:val="single" w:sz="8" w:color="3F000B"/>
              <w:right w:val="single" w:sz="8" w:color="3F000B"/>
            </w:tcBorders>
            <w:vMerge w:val="continue"/>
            <w:shd w:val="clear" w:color="auto" w:fill="DADADA"/>
          </w:tcPr>
          <w:p>
            <w:pPr>
              <w:spacing w:after="0"/>
              <w:rPr>
                <w:sz w:val="9"/>
                <w:szCs w:val="9"/>
                <w:color w:val="auto"/>
              </w:rPr>
            </w:pPr>
          </w:p>
        </w:tc>
        <w:tc>
          <w:tcPr>
            <w:tcW w:w="3620" w:type="dxa"/>
            <w:vAlign w:val="bottom"/>
            <w:tcBorders>
              <w:right w:val="single" w:sz="8" w:color="3F000B"/>
            </w:tcBorders>
            <w:vMerge w:val="continue"/>
            <w:shd w:val="clear" w:color="auto" w:fill="DADADA"/>
          </w:tcPr>
          <w:p>
            <w:pPr>
              <w:spacing w:after="0"/>
              <w:rPr>
                <w:sz w:val="9"/>
                <w:szCs w:val="9"/>
                <w:color w:val="auto"/>
              </w:rPr>
            </w:pPr>
          </w:p>
        </w:tc>
        <w:tc>
          <w:tcPr>
            <w:tcW w:w="3400" w:type="dxa"/>
            <w:vAlign w:val="bottom"/>
            <w:tcBorders>
              <w:right w:val="single" w:sz="8" w:color="3F000B"/>
            </w:tcBorders>
            <w:vMerge w:val="restart"/>
            <w:shd w:val="clear" w:color="auto" w:fill="DADADA"/>
          </w:tcPr>
          <w:p>
            <w:pPr>
              <w:jc w:val="center"/>
              <w:ind w:right="10"/>
              <w:spacing w:after="0"/>
              <w:rPr>
                <w:sz w:val="20"/>
                <w:szCs w:val="20"/>
                <w:color w:val="auto"/>
              </w:rPr>
            </w:pPr>
            <w:r>
              <w:rPr>
                <w:rFonts w:ascii="Arial" w:cs="Arial" w:eastAsia="Arial" w:hAnsi="Arial"/>
                <w:sz w:val="18"/>
                <w:szCs w:val="18"/>
                <w:color w:val="auto"/>
                <w:w w:val="91"/>
              </w:rPr>
              <w:t>100% to 200% of</w:t>
            </w:r>
          </w:p>
        </w:tc>
        <w:tc>
          <w:tcPr>
            <w:tcW w:w="0" w:type="dxa"/>
            <w:vAlign w:val="bottom"/>
          </w:tcPr>
          <w:p>
            <w:pPr>
              <w:spacing w:after="0"/>
              <w:rPr>
                <w:sz w:val="1"/>
                <w:szCs w:val="1"/>
                <w:color w:val="auto"/>
              </w:rPr>
            </w:pPr>
          </w:p>
        </w:tc>
      </w:tr>
      <w:tr>
        <w:trPr>
          <w:trHeight w:val="108"/>
        </w:trPr>
        <w:tc>
          <w:tcPr>
            <w:tcW w:w="4220" w:type="dxa"/>
            <w:vAlign w:val="bottom"/>
            <w:tcBorders>
              <w:left w:val="single" w:sz="8" w:color="3F000B"/>
              <w:right w:val="single" w:sz="8" w:color="3F000B"/>
            </w:tcBorders>
            <w:vMerge w:val="continue"/>
            <w:shd w:val="clear" w:color="auto" w:fill="DADADA"/>
          </w:tcPr>
          <w:p>
            <w:pPr>
              <w:spacing w:after="0"/>
              <w:rPr>
                <w:sz w:val="9"/>
                <w:szCs w:val="9"/>
                <w:color w:val="auto"/>
              </w:rPr>
            </w:pPr>
          </w:p>
        </w:tc>
        <w:tc>
          <w:tcPr>
            <w:tcW w:w="362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8"/>
                <w:szCs w:val="18"/>
                <w:color w:val="auto"/>
                <w:w w:val="96"/>
              </w:rPr>
              <w:t>“Annual Incentives”</w:t>
            </w:r>
          </w:p>
        </w:tc>
        <w:tc>
          <w:tcPr>
            <w:tcW w:w="3400" w:type="dxa"/>
            <w:vAlign w:val="bottom"/>
            <w:tcBorders>
              <w:right w:val="single" w:sz="8" w:color="3F000B"/>
            </w:tcBorders>
            <w:vMerge w:val="continue"/>
            <w:shd w:val="clear" w:color="auto" w:fill="DADADA"/>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20" w:type="dxa"/>
            <w:vAlign w:val="bottom"/>
            <w:tcBorders>
              <w:left w:val="single" w:sz="8" w:color="3F000B"/>
              <w:right w:val="single" w:sz="8" w:color="3F000B"/>
            </w:tcBorders>
            <w:shd w:val="clear" w:color="auto" w:fill="DADADA"/>
          </w:tcPr>
          <w:p>
            <w:pPr>
              <w:spacing w:after="0"/>
              <w:rPr>
                <w:sz w:val="10"/>
                <w:szCs w:val="10"/>
                <w:color w:val="auto"/>
              </w:rPr>
            </w:pPr>
          </w:p>
        </w:tc>
        <w:tc>
          <w:tcPr>
            <w:tcW w:w="3620" w:type="dxa"/>
            <w:vAlign w:val="bottom"/>
            <w:tcBorders>
              <w:right w:val="single" w:sz="8" w:color="3F000B"/>
            </w:tcBorders>
            <w:vMerge w:val="continue"/>
            <w:shd w:val="clear" w:color="auto" w:fill="DADADA"/>
          </w:tcPr>
          <w:p>
            <w:pPr>
              <w:spacing w:after="0"/>
              <w:rPr>
                <w:sz w:val="10"/>
                <w:szCs w:val="10"/>
                <w:color w:val="auto"/>
              </w:rPr>
            </w:pPr>
          </w:p>
        </w:tc>
        <w:tc>
          <w:tcPr>
            <w:tcW w:w="340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8"/>
                <w:szCs w:val="18"/>
                <w:color w:val="auto"/>
                <w:w w:val="89"/>
              </w:rPr>
              <w:t>target for each NEO</w:t>
            </w:r>
          </w:p>
        </w:tc>
        <w:tc>
          <w:tcPr>
            <w:tcW w:w="0" w:type="dxa"/>
            <w:vAlign w:val="bottom"/>
          </w:tcPr>
          <w:p>
            <w:pPr>
              <w:spacing w:after="0"/>
              <w:rPr>
                <w:sz w:val="1"/>
                <w:szCs w:val="1"/>
                <w:color w:val="auto"/>
              </w:rPr>
            </w:pPr>
          </w:p>
        </w:tc>
      </w:tr>
      <w:tr>
        <w:trPr>
          <w:trHeight w:val="135"/>
        </w:trPr>
        <w:tc>
          <w:tcPr>
            <w:tcW w:w="4220" w:type="dxa"/>
            <w:vAlign w:val="bottom"/>
            <w:tcBorders>
              <w:left w:val="single" w:sz="8" w:color="3F000B"/>
              <w:bottom w:val="single" w:sz="8" w:color="DADADA"/>
              <w:right w:val="single" w:sz="8" w:color="3F000B"/>
            </w:tcBorders>
            <w:shd w:val="clear" w:color="auto" w:fill="DADADA"/>
          </w:tcPr>
          <w:p>
            <w:pPr>
              <w:spacing w:after="0"/>
              <w:rPr>
                <w:sz w:val="11"/>
                <w:szCs w:val="11"/>
                <w:color w:val="auto"/>
              </w:rPr>
            </w:pPr>
          </w:p>
        </w:tc>
        <w:tc>
          <w:tcPr>
            <w:tcW w:w="3620" w:type="dxa"/>
            <w:vAlign w:val="bottom"/>
            <w:tcBorders>
              <w:bottom w:val="single" w:sz="8" w:color="DADADA"/>
              <w:right w:val="single" w:sz="8" w:color="3F000B"/>
            </w:tcBorders>
            <w:shd w:val="clear" w:color="auto" w:fill="DADADA"/>
          </w:tcPr>
          <w:p>
            <w:pPr>
              <w:spacing w:after="0"/>
              <w:rPr>
                <w:sz w:val="11"/>
                <w:szCs w:val="11"/>
                <w:color w:val="auto"/>
              </w:rPr>
            </w:pPr>
          </w:p>
        </w:tc>
        <w:tc>
          <w:tcPr>
            <w:tcW w:w="3400" w:type="dxa"/>
            <w:vAlign w:val="bottom"/>
            <w:tcBorders>
              <w:bottom w:val="single" w:sz="8" w:color="DADADA"/>
              <w:right w:val="single" w:sz="8" w:color="3F000B"/>
            </w:tcBorders>
            <w:vMerge w:val="continue"/>
            <w:shd w:val="clear" w:color="auto" w:fill="DADADA"/>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4220" w:type="dxa"/>
            <w:vAlign w:val="bottom"/>
            <w:tcBorders>
              <w:top w:val="single" w:sz="8" w:color="3F000B"/>
            </w:tcBorders>
          </w:tcPr>
          <w:p>
            <w:pPr>
              <w:spacing w:after="0"/>
              <w:rPr>
                <w:sz w:val="20"/>
                <w:szCs w:val="20"/>
                <w:color w:val="auto"/>
              </w:rPr>
            </w:pPr>
            <w:r>
              <w:rPr>
                <w:rFonts w:ascii="Arial" w:cs="Arial" w:eastAsia="Arial" w:hAnsi="Arial"/>
                <w:sz w:val="18"/>
                <w:szCs w:val="18"/>
                <w:b w:val="1"/>
                <w:bCs w:val="1"/>
                <w:color w:val="3F000B"/>
              </w:rPr>
              <w:t>____________________</w:t>
            </w:r>
          </w:p>
        </w:tc>
        <w:tc>
          <w:tcPr>
            <w:tcW w:w="3620" w:type="dxa"/>
            <w:vAlign w:val="bottom"/>
            <w:tcBorders>
              <w:top w:val="single" w:sz="8" w:color="3F000B"/>
            </w:tcBorders>
          </w:tcPr>
          <w:p>
            <w:pPr>
              <w:spacing w:after="0"/>
              <w:rPr>
                <w:sz w:val="24"/>
                <w:szCs w:val="24"/>
                <w:color w:val="auto"/>
              </w:rPr>
            </w:pPr>
          </w:p>
        </w:tc>
        <w:tc>
          <w:tcPr>
            <w:tcW w:w="3400" w:type="dxa"/>
            <w:vAlign w:val="bottom"/>
            <w:tcBorders>
              <w:top w:val="single" w:sz="8" w:color="3F000B"/>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40" w:hanging="332"/>
        <w:spacing w:after="0" w:line="252" w:lineRule="auto"/>
        <w:tabs>
          <w:tab w:leader="none" w:pos="332" w:val="left"/>
        </w:tabs>
        <w:numPr>
          <w:ilvl w:val="0"/>
          <w:numId w:val="131"/>
        </w:numPr>
        <w:rPr>
          <w:rFonts w:ascii="Arial" w:cs="Arial" w:eastAsia="Arial" w:hAnsi="Arial"/>
          <w:sz w:val="14"/>
          <w:szCs w:val="14"/>
          <w:color w:val="auto"/>
        </w:rPr>
      </w:pPr>
      <w:r>
        <w:rPr>
          <w:rFonts w:ascii="Arial" w:cs="Arial" w:eastAsia="Arial" w:hAnsi="Arial"/>
          <w:sz w:val="14"/>
          <w:szCs w:val="14"/>
          <w:color w:val="auto"/>
        </w:rPr>
        <w:t>For purposes of determining the Company performance score, net sales is measured on a constant currency basis, further adjusted to reflect the impact of divestitures and acquisitions as compared to target, which is a non-GAAP performance measure. To calculate net sales on a constant currency basis, net sales for the current fiscal year period for entities reporting in currencies other than the U.S. dollar are translated into U.S. dollars at the average rates during the comparable period of the prior fiscal year. For more information on our use of non-GAAP performance measures, please see footnote (1) in the section entitled “Executive Summary.”</w:t>
      </w:r>
    </w:p>
    <w:p>
      <w:pPr>
        <w:spacing w:after="0" w:line="79" w:lineRule="exact"/>
        <w:rPr>
          <w:rFonts w:ascii="Arial" w:cs="Arial" w:eastAsia="Arial" w:hAnsi="Arial"/>
          <w:sz w:val="14"/>
          <w:szCs w:val="14"/>
          <w:color w:val="auto"/>
        </w:rPr>
      </w:pPr>
    </w:p>
    <w:p>
      <w:pPr>
        <w:ind w:left="340" w:right="140" w:hanging="332"/>
        <w:spacing w:after="0" w:line="257" w:lineRule="auto"/>
        <w:tabs>
          <w:tab w:leader="none" w:pos="332" w:val="left"/>
        </w:tabs>
        <w:numPr>
          <w:ilvl w:val="0"/>
          <w:numId w:val="131"/>
        </w:numPr>
        <w:rPr>
          <w:rFonts w:ascii="Arial" w:cs="Arial" w:eastAsia="Arial" w:hAnsi="Arial"/>
          <w:sz w:val="14"/>
          <w:szCs w:val="14"/>
          <w:color w:val="auto"/>
        </w:rPr>
      </w:pPr>
      <w:r>
        <w:rPr>
          <w:rFonts w:ascii="Arial" w:cs="Arial" w:eastAsia="Arial" w:hAnsi="Arial"/>
          <w:sz w:val="14"/>
          <w:szCs w:val="14"/>
          <w:color w:val="auto"/>
        </w:rPr>
        <w:t>For purposes of determining the Company performance score, adjusted earnings per share-diluted as determined for financial reporting purposes, which is a non-GAAP performance measure, is further adjusted to reflect the impact of divestitures and acquisitions as compared to target. For more information regarding how we define adjusted earnings per share-diluted, please see footnote (1) in the section entitled “Executive Summary.”</w:t>
      </w:r>
    </w:p>
    <w:p>
      <w:pPr>
        <w:spacing w:after="0" w:line="76" w:lineRule="exact"/>
        <w:rPr>
          <w:rFonts w:ascii="Arial" w:cs="Arial" w:eastAsia="Arial" w:hAnsi="Arial"/>
          <w:sz w:val="14"/>
          <w:szCs w:val="14"/>
          <w:color w:val="auto"/>
        </w:rPr>
      </w:pPr>
    </w:p>
    <w:p>
      <w:pPr>
        <w:ind w:left="340" w:right="200" w:hanging="332"/>
        <w:spacing w:after="0" w:line="257" w:lineRule="auto"/>
        <w:tabs>
          <w:tab w:leader="none" w:pos="332" w:val="left"/>
        </w:tabs>
        <w:numPr>
          <w:ilvl w:val="0"/>
          <w:numId w:val="131"/>
        </w:numPr>
        <w:rPr>
          <w:rFonts w:ascii="Arial" w:cs="Arial" w:eastAsia="Arial" w:hAnsi="Arial"/>
          <w:sz w:val="14"/>
          <w:szCs w:val="14"/>
          <w:color w:val="auto"/>
        </w:rPr>
      </w:pPr>
      <w:r>
        <w:rPr>
          <w:rFonts w:ascii="Arial" w:cs="Arial" w:eastAsia="Arial" w:hAnsi="Arial"/>
          <w:sz w:val="14"/>
          <w:szCs w:val="14"/>
          <w:color w:val="auto"/>
        </w:rPr>
        <w:t>EBIT Margin is a non-GAAP performance measure. We define EBIT margin as the adjusted operating margin which excludes certain one-time items impacting comparability and further adjusted to reflect the impact of divestitures and acquisitions as compared to target. For more information regarding our use of non-GAAP performance measures and how we define adjusted operating margin, please see the Company’s earnings release on Form 8-K dated February 4, 2021.</w:t>
      </w:r>
    </w:p>
    <w:p>
      <w:pPr>
        <w:spacing w:after="0" w:line="76" w:lineRule="exact"/>
        <w:rPr>
          <w:rFonts w:ascii="Arial" w:cs="Arial" w:eastAsia="Arial" w:hAnsi="Arial"/>
          <w:sz w:val="14"/>
          <w:szCs w:val="14"/>
          <w:color w:val="auto"/>
        </w:rPr>
      </w:pPr>
    </w:p>
    <w:p>
      <w:pPr>
        <w:ind w:left="320" w:hanging="312"/>
        <w:spacing w:after="0"/>
        <w:tabs>
          <w:tab w:leader="none" w:pos="3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Ms. Buck’s OHIP award does not include individual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117"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3F000B"/>
        </w:rPr>
        <w:t>2018-2020 PSU Cycle - Performance Metrics and Results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Payouts for the 2018-2020 PSU cycle, shown in the table below, reflect above target performance in all three metrics, successfully delivering financial commitments to shareholders during the COVID-19 pandemic. These payouts are described in more detail in the section entitled “Performance Stock Unit Targets and Results.”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60" w:type="dxa"/>
            <w:vAlign w:val="bottom"/>
            <w:tcBorders>
              <w:top w:val="single" w:sz="8" w:color="3F000B"/>
              <w:left w:val="single" w:sz="8" w:color="3F000B"/>
              <w:right w:val="single" w:sz="8" w:color="DADADA"/>
            </w:tcBorders>
            <w:shd w:val="clear" w:color="auto" w:fill="3F000B"/>
          </w:tcPr>
          <w:p>
            <w:pPr>
              <w:ind w:left="1920"/>
              <w:spacing w:after="0"/>
              <w:rPr>
                <w:sz w:val="20"/>
                <w:szCs w:val="20"/>
                <w:color w:val="auto"/>
              </w:rPr>
            </w:pPr>
            <w:r>
              <w:rPr>
                <w:rFonts w:ascii="Arial" w:cs="Arial" w:eastAsia="Arial" w:hAnsi="Arial"/>
                <w:sz w:val="18"/>
                <w:szCs w:val="18"/>
                <w:b w:val="1"/>
                <w:bCs w:val="1"/>
                <w:color w:val="FFFFFF"/>
              </w:rPr>
              <w:t>Metric</w:t>
            </w:r>
          </w:p>
        </w:tc>
        <w:tc>
          <w:tcPr>
            <w:tcW w:w="344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2018-2020 Results</w:t>
            </w:r>
          </w:p>
        </w:tc>
        <w:tc>
          <w:tcPr>
            <w:tcW w:w="340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2018-2020 Awards</w:t>
            </w:r>
          </w:p>
        </w:tc>
        <w:tc>
          <w:tcPr>
            <w:tcW w:w="0" w:type="dxa"/>
            <w:vAlign w:val="bottom"/>
          </w:tcPr>
          <w:p>
            <w:pPr>
              <w:spacing w:after="0"/>
              <w:rPr>
                <w:sz w:val="1"/>
                <w:szCs w:val="1"/>
                <w:color w:val="auto"/>
              </w:rPr>
            </w:pPr>
          </w:p>
        </w:tc>
      </w:tr>
      <w:tr>
        <w:trPr>
          <w:trHeight w:val="81"/>
        </w:trPr>
        <w:tc>
          <w:tcPr>
            <w:tcW w:w="4360" w:type="dxa"/>
            <w:vAlign w:val="bottom"/>
            <w:tcBorders>
              <w:left w:val="single" w:sz="8" w:color="3F000B"/>
              <w:right w:val="single" w:sz="8" w:color="DADADA"/>
            </w:tcBorders>
            <w:shd w:val="clear" w:color="auto" w:fill="3F000B"/>
          </w:tcPr>
          <w:p>
            <w:pPr>
              <w:spacing w:after="0"/>
              <w:rPr>
                <w:sz w:val="7"/>
                <w:szCs w:val="7"/>
                <w:color w:val="auto"/>
              </w:rPr>
            </w:pPr>
          </w:p>
        </w:tc>
        <w:tc>
          <w:tcPr>
            <w:tcW w:w="3440" w:type="dxa"/>
            <w:vAlign w:val="bottom"/>
            <w:tcBorders>
              <w:right w:val="single" w:sz="8" w:color="3F000B"/>
            </w:tcBorders>
            <w:shd w:val="clear" w:color="auto" w:fill="3F000B"/>
          </w:tcPr>
          <w:p>
            <w:pPr>
              <w:spacing w:after="0"/>
              <w:rPr>
                <w:sz w:val="7"/>
                <w:szCs w:val="7"/>
                <w:color w:val="auto"/>
              </w:rPr>
            </w:pPr>
          </w:p>
        </w:tc>
        <w:tc>
          <w:tcPr>
            <w:tcW w:w="3400" w:type="dxa"/>
            <w:vAlign w:val="bottom"/>
            <w:tcBorders>
              <w:right w:val="single" w:sz="8" w:color="3F000B"/>
            </w:tcBorders>
            <w:shd w:val="clear" w:color="auto" w:fill="3F000B"/>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43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Total Shareholder Return</w:t>
            </w:r>
          </w:p>
        </w:tc>
        <w:tc>
          <w:tcPr>
            <w:tcW w:w="3440" w:type="dxa"/>
            <w:vAlign w:val="bottom"/>
            <w:tcBorders>
              <w:right w:val="single" w:sz="8" w:color="3F000B"/>
            </w:tcBorders>
          </w:tcPr>
          <w:p>
            <w:pPr>
              <w:jc w:val="center"/>
              <w:spacing w:after="0"/>
              <w:rPr>
                <w:sz w:val="20"/>
                <w:szCs w:val="20"/>
                <w:color w:val="auto"/>
              </w:rPr>
            </w:pPr>
            <w:r>
              <w:rPr>
                <w:rFonts w:ascii="Arial" w:cs="Arial" w:eastAsia="Arial" w:hAnsi="Arial"/>
                <w:sz w:val="18"/>
                <w:szCs w:val="18"/>
                <w:color w:val="auto"/>
                <w:w w:val="89"/>
              </w:rPr>
              <w:t>73rd percentile was above target</w:t>
            </w:r>
          </w:p>
        </w:tc>
        <w:tc>
          <w:tcPr>
            <w:tcW w:w="3400" w:type="dxa"/>
            <w:vAlign w:val="bottom"/>
            <w:tcBorders>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360" w:type="dxa"/>
            <w:vAlign w:val="bottom"/>
            <w:tcBorders>
              <w:left w:val="single" w:sz="8" w:color="3F000B"/>
              <w:right w:val="single" w:sz="8" w:color="3F000B"/>
            </w:tcBorders>
          </w:tcPr>
          <w:p>
            <w:pPr>
              <w:spacing w:after="0"/>
              <w:rPr>
                <w:sz w:val="10"/>
                <w:szCs w:val="10"/>
                <w:color w:val="auto"/>
              </w:rPr>
            </w:pPr>
          </w:p>
        </w:tc>
        <w:tc>
          <w:tcPr>
            <w:tcW w:w="3440" w:type="dxa"/>
            <w:vAlign w:val="bottom"/>
            <w:tcBorders>
              <w:right w:val="single" w:sz="8" w:color="3F000B"/>
            </w:tcBorders>
          </w:tcPr>
          <w:p>
            <w:pPr>
              <w:spacing w:after="0"/>
              <w:rPr>
                <w:sz w:val="10"/>
                <w:szCs w:val="10"/>
                <w:color w:val="auto"/>
              </w:rPr>
            </w:pPr>
          </w:p>
        </w:tc>
        <w:tc>
          <w:tcPr>
            <w:tcW w:w="3400" w:type="dxa"/>
            <w:vAlign w:val="bottom"/>
            <w:tcBorders>
              <w:right w:val="single" w:sz="8" w:color="3F000B"/>
            </w:tcBorders>
            <w:vMerge w:val="restart"/>
          </w:tcPr>
          <w:p>
            <w:pPr>
              <w:jc w:val="center"/>
              <w:spacing w:after="0"/>
              <w:rPr>
                <w:sz w:val="20"/>
                <w:szCs w:val="20"/>
                <w:color w:val="auto"/>
              </w:rPr>
            </w:pPr>
            <w:r>
              <w:rPr>
                <w:rFonts w:ascii="Arial" w:cs="Arial" w:eastAsia="Arial" w:hAnsi="Arial"/>
                <w:sz w:val="18"/>
                <w:szCs w:val="18"/>
                <w:color w:val="auto"/>
                <w:w w:val="90"/>
              </w:rPr>
              <w:t>170.71% payout</w:t>
            </w:r>
          </w:p>
        </w:tc>
        <w:tc>
          <w:tcPr>
            <w:tcW w:w="0" w:type="dxa"/>
            <w:vAlign w:val="bottom"/>
          </w:tcPr>
          <w:p>
            <w:pPr>
              <w:spacing w:after="0"/>
              <w:rPr>
                <w:sz w:val="1"/>
                <w:szCs w:val="1"/>
                <w:color w:val="auto"/>
              </w:rPr>
            </w:pPr>
          </w:p>
        </w:tc>
      </w:tr>
      <w:tr>
        <w:trPr>
          <w:trHeight w:val="601"/>
        </w:trPr>
        <w:tc>
          <w:tcPr>
            <w:tcW w:w="436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w w:val="95"/>
              </w:rPr>
              <w:t>Three-year Compound Annual Growth Rate (“CAGR”) in</w:t>
            </w:r>
          </w:p>
        </w:tc>
        <w:tc>
          <w:tcPr>
            <w:tcW w:w="3440" w:type="dxa"/>
            <w:vAlign w:val="bottom"/>
            <w:tcBorders>
              <w:right w:val="single" w:sz="8" w:color="3F000B"/>
            </w:tcBorders>
            <w:vMerge w:val="restart"/>
            <w:shd w:val="clear" w:color="auto" w:fill="DADADA"/>
          </w:tcPr>
          <w:p>
            <w:pPr>
              <w:jc w:val="center"/>
              <w:spacing w:after="0"/>
              <w:rPr>
                <w:sz w:val="20"/>
                <w:szCs w:val="20"/>
                <w:color w:val="auto"/>
              </w:rPr>
            </w:pPr>
            <w:r>
              <w:rPr>
                <w:rFonts w:ascii="Arial" w:cs="Arial" w:eastAsia="Arial" w:hAnsi="Arial"/>
                <w:sz w:val="18"/>
                <w:szCs w:val="18"/>
                <w:color w:val="auto"/>
                <w:w w:val="90"/>
              </w:rPr>
              <w:t>2.4% CAGR was above target</w:t>
            </w:r>
          </w:p>
        </w:tc>
        <w:tc>
          <w:tcPr>
            <w:tcW w:w="3400" w:type="dxa"/>
            <w:vAlign w:val="bottom"/>
            <w:tcBorders>
              <w:right w:val="single" w:sz="8" w:color="3F000B"/>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36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(1)(2)</w:t>
            </w:r>
          </w:p>
        </w:tc>
        <w:tc>
          <w:tcPr>
            <w:tcW w:w="3440" w:type="dxa"/>
            <w:vAlign w:val="bottom"/>
            <w:tcBorders>
              <w:right w:val="single" w:sz="8" w:color="3F000B"/>
            </w:tcBorders>
            <w:vMerge w:val="continue"/>
            <w:shd w:val="clear" w:color="auto" w:fill="DADADA"/>
          </w:tcPr>
          <w:p>
            <w:pPr>
              <w:spacing w:after="0"/>
              <w:rPr>
                <w:sz w:val="24"/>
                <w:szCs w:val="24"/>
                <w:color w:val="auto"/>
              </w:rPr>
            </w:pPr>
          </w:p>
        </w:tc>
        <w:tc>
          <w:tcPr>
            <w:tcW w:w="3400" w:type="dxa"/>
            <w:vAlign w:val="bottom"/>
            <w:tcBorders>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Three-year CAGR in Adjusted Earnings</w:t>
            </w:r>
          </w:p>
        </w:tc>
        <w:tc>
          <w:tcPr>
            <w:tcW w:w="3440" w:type="dxa"/>
            <w:vAlign w:val="bottom"/>
            <w:tcBorders>
              <w:right w:val="single" w:sz="8" w:color="3F000B"/>
            </w:tcBorders>
            <w:vMerge w:val="restart"/>
          </w:tcPr>
          <w:p>
            <w:pPr>
              <w:jc w:val="center"/>
              <w:spacing w:after="0"/>
              <w:rPr>
                <w:sz w:val="20"/>
                <w:szCs w:val="20"/>
                <w:color w:val="auto"/>
              </w:rPr>
            </w:pPr>
            <w:r>
              <w:rPr>
                <w:rFonts w:ascii="Arial" w:cs="Arial" w:eastAsia="Arial" w:hAnsi="Arial"/>
                <w:sz w:val="18"/>
                <w:szCs w:val="18"/>
                <w:color w:val="auto"/>
                <w:w w:val="90"/>
              </w:rPr>
              <w:t>10.6% CAGR was above target</w:t>
            </w:r>
          </w:p>
        </w:tc>
        <w:tc>
          <w:tcPr>
            <w:tcW w:w="3400" w:type="dxa"/>
            <w:vAlign w:val="bottom"/>
            <w:tcBorders>
              <w:right w:val="single" w:sz="8" w:color="3F000B"/>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36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8"/>
                <w:szCs w:val="18"/>
                <w:color w:val="auto"/>
              </w:rPr>
              <w:t>per Share-Diluted</w:t>
            </w:r>
            <w:r>
              <w:rPr>
                <w:rFonts w:ascii="Arial" w:cs="Arial" w:eastAsia="Arial" w:hAnsi="Arial"/>
                <w:sz w:val="23"/>
                <w:szCs w:val="23"/>
                <w:color w:val="auto"/>
                <w:vertAlign w:val="superscript"/>
              </w:rPr>
              <w:t>(1)(3)</w:t>
            </w:r>
          </w:p>
        </w:tc>
        <w:tc>
          <w:tcPr>
            <w:tcW w:w="3440" w:type="dxa"/>
            <w:vAlign w:val="bottom"/>
            <w:tcBorders>
              <w:right w:val="single" w:sz="8" w:color="3F000B"/>
            </w:tcBorders>
            <w:vMerge w:val="continue"/>
          </w:tcPr>
          <w:p>
            <w:pPr>
              <w:spacing w:after="0"/>
              <w:rPr>
                <w:sz w:val="11"/>
                <w:szCs w:val="11"/>
                <w:color w:val="auto"/>
              </w:rPr>
            </w:pPr>
          </w:p>
        </w:tc>
        <w:tc>
          <w:tcPr>
            <w:tcW w:w="3400" w:type="dxa"/>
            <w:vAlign w:val="bottom"/>
            <w:tcBorders>
              <w:right w:val="single" w:sz="8" w:color="3F000B"/>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60" w:type="dxa"/>
            <w:vAlign w:val="bottom"/>
            <w:tcBorders>
              <w:left w:val="single" w:sz="8" w:color="3F000B"/>
              <w:bottom w:val="single" w:sz="8" w:color="3F000B"/>
              <w:right w:val="single" w:sz="8" w:color="3F000B"/>
            </w:tcBorders>
            <w:vMerge w:val="continue"/>
          </w:tcPr>
          <w:p>
            <w:pPr>
              <w:spacing w:after="0"/>
              <w:rPr>
                <w:sz w:val="14"/>
                <w:szCs w:val="14"/>
                <w:color w:val="auto"/>
              </w:rPr>
            </w:pPr>
          </w:p>
        </w:tc>
        <w:tc>
          <w:tcPr>
            <w:tcW w:w="3440" w:type="dxa"/>
            <w:vAlign w:val="bottom"/>
            <w:tcBorders>
              <w:bottom w:val="single" w:sz="8" w:color="3F000B"/>
              <w:right w:val="single" w:sz="8" w:color="3F000B"/>
            </w:tcBorders>
          </w:tcPr>
          <w:p>
            <w:pPr>
              <w:spacing w:after="0"/>
              <w:rPr>
                <w:sz w:val="14"/>
                <w:szCs w:val="14"/>
                <w:color w:val="auto"/>
              </w:rPr>
            </w:pPr>
          </w:p>
        </w:tc>
        <w:tc>
          <w:tcPr>
            <w:tcW w:w="3400" w:type="dxa"/>
            <w:vAlign w:val="bottom"/>
            <w:tcBorders>
              <w:bottom w:val="single" w:sz="8" w:color="3F000B"/>
              <w:right w:val="single" w:sz="8" w:color="3F000B"/>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4360" w:type="dxa"/>
            <w:vAlign w:val="bottom"/>
          </w:tcPr>
          <w:p>
            <w:pPr>
              <w:spacing w:after="0"/>
              <w:rPr>
                <w:sz w:val="20"/>
                <w:szCs w:val="20"/>
                <w:color w:val="auto"/>
              </w:rPr>
            </w:pPr>
            <w:r>
              <w:rPr>
                <w:rFonts w:ascii="Arial" w:cs="Arial" w:eastAsia="Arial" w:hAnsi="Arial"/>
                <w:sz w:val="18"/>
                <w:szCs w:val="18"/>
                <w:b w:val="1"/>
                <w:bCs w:val="1"/>
                <w:color w:val="3F000B"/>
              </w:rPr>
              <w:t>____________________</w:t>
            </w:r>
          </w:p>
        </w:tc>
        <w:tc>
          <w:tcPr>
            <w:tcW w:w="3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200" w:hanging="332"/>
        <w:spacing w:after="0" w:line="250" w:lineRule="auto"/>
        <w:tabs>
          <w:tab w:leader="none" w:pos="33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Results for our Pirate Brands and ONE businesses were excluded from the following metrics, as applicable, as these acquisitions were made subsequent to the approval of the 2018-2020 PSU cycle metrics:</w:t>
      </w:r>
    </w:p>
    <w:p>
      <w:pPr>
        <w:ind w:left="560" w:hanging="228"/>
        <w:spacing w:after="0"/>
        <w:tabs>
          <w:tab w:leader="none" w:pos="56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Three-year CAGR in net sales growth; and</w:t>
      </w:r>
    </w:p>
    <w:p>
      <w:pPr>
        <w:spacing w:after="0" w:line="1" w:lineRule="exact"/>
        <w:rPr>
          <w:rFonts w:ascii="Arial" w:cs="Arial" w:eastAsia="Arial" w:hAnsi="Arial"/>
          <w:sz w:val="14"/>
          <w:szCs w:val="14"/>
          <w:color w:val="auto"/>
        </w:rPr>
      </w:pPr>
    </w:p>
    <w:p>
      <w:pPr>
        <w:ind w:left="560" w:hanging="228"/>
        <w:spacing w:after="0"/>
        <w:tabs>
          <w:tab w:leader="none" w:pos="56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Three-year CAGR in adjusted earnings per share-diluted.</w:t>
      </w:r>
    </w:p>
    <w:p>
      <w:pPr>
        <w:spacing w:after="0" w:line="97" w:lineRule="exact"/>
        <w:rPr>
          <w:rFonts w:ascii="Arial" w:cs="Arial" w:eastAsia="Arial" w:hAnsi="Arial"/>
          <w:sz w:val="14"/>
          <w:szCs w:val="14"/>
          <w:color w:val="auto"/>
        </w:rPr>
      </w:pPr>
    </w:p>
    <w:p>
      <w:pPr>
        <w:ind w:left="340" w:right="320" w:hanging="332"/>
        <w:spacing w:after="0" w:line="312" w:lineRule="auto"/>
        <w:tabs>
          <w:tab w:leader="none" w:pos="33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Net Sales is measured on a constant currency basis, which is a non-GAAP performance measure. To calculate net sales on a constant currency basis, net sales for the current fiscal year period for entities reporting in currencies other than the U.S. dollar are translated into U.S. dollars at the average rates during the comparable period of the base fiscal year.</w:t>
      </w:r>
    </w:p>
    <w:p>
      <w:pPr>
        <w:spacing w:after="0" w:line="43" w:lineRule="exact"/>
        <w:rPr>
          <w:rFonts w:ascii="Arial" w:cs="Arial" w:eastAsia="Arial" w:hAnsi="Arial"/>
          <w:sz w:val="13"/>
          <w:szCs w:val="13"/>
          <w:color w:val="auto"/>
        </w:rPr>
      </w:pPr>
    </w:p>
    <w:p>
      <w:pPr>
        <w:ind w:left="340" w:right="60" w:hanging="332"/>
        <w:spacing w:after="0" w:line="273" w:lineRule="auto"/>
        <w:tabs>
          <w:tab w:leader="none" w:pos="33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Adjusted earnings per share-diluted is a non-GAAP performance measure. For more information regarding how we define adjusted earnings per share-diluted, please see footnote (1) in the section entitled “Executive Summary.”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The Role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91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91255" cy="8255"/>
                    </a:xfrm>
                    <a:prstGeom prst="rect">
                      <a:avLst/>
                    </a:prstGeom>
                    <a:noFill/>
                  </pic:spPr>
                </pic:pic>
              </a:graphicData>
            </a:graphic>
          </wp:anchor>
        </w:drawing>
      </w:r>
    </w:p>
    <w:p>
      <w:pPr>
        <w:spacing w:after="0" w:line="1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Compensation Committee has primary responsibility for making compensation decisions for our NEOs other than our CEO. Our CEO’s compensation is approved by the independent members of the Board based on the recommendations of the Compensation Committee.</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operates under a charter approved by the Board. The Compensation Committee uses information from its independent executive compensation consultant, input from our CEO (except for matters regarding her own pay) and assistance from our Human Resources Department to make decisions and to conduct its annual review of the Company’s executive compensation program.</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Compensation Committee works with a rolling agenda, with its heaviest workload occurring during the first quarter of the year. During this quarter, decisions are made with respect to annual and long-term incentives earned based on the prior year’s performance and target compensation levels are finalized for the current year. The Compensation Committee also reviews and approves this Compensation Discussion &amp; Analysis. During the second and third quarters, the Compensation Committee reviews materials relating to peer group composition, tally sheets, competitive pay analysis and other information that forms the foundation for future decisions. The Compensation Committee uses the third and fourth quarters to finalize decisions relating to the peer group and compensation plan design for use in the upcoming year.</w:t>
      </w:r>
    </w:p>
    <w:p>
      <w:pPr>
        <w:spacing w:after="0" w:line="12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Compensation Committee may, in its discretion, delegate all or a portion of its duties and responsibilities to a subcommittee of the Compensation Committee and, pursuant to the provisions of the EICP, may appoint the CEO as a committee of the Board as necessary for the purpose of making equity grants under the EICP; provided, however, the Compensation Committee may not delegate the approval of certain transactions to a subcommittee or to the CEO if such transactions involve the approval or grant of equity-based compensation to an “officer” for purposes of Rule 16b-3 under the Securities Exchange Act of 1934 (“Exchange Act”) or certification as to the attainment of performance goals for a “covered employee” for purposes of</w:t>
      </w:r>
    </w:p>
    <w:p>
      <w:pPr>
        <w:spacing w:after="0" w:line="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Section 162(m) of the Internal Revenue Code (“IRC”) unless such subcommittee consists solely of members of the Compensation Committee who are (i) “Non-Employee Directors” for the purposes of Rule 16b-3 under the Exchange Act, and (ii) “outside directors” for the purposes of Section 162(m) of the IRC.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111" w:right="379" w:bottom="1440" w:gutter="0" w:footer="0" w:header="0"/>
        </w:sectPr>
      </w:pPr>
    </w:p>
    <w:bookmarkStart w:id="56" w:name="page57"/>
    <w:bookmarkEnd w:id="56"/>
    <w:p>
      <w:pPr>
        <w:spacing w:after="0"/>
        <w:rPr>
          <w:sz w:val="20"/>
          <w:szCs w:val="20"/>
          <w:color w:val="auto"/>
        </w:rPr>
      </w:pPr>
      <w:r>
        <w:rPr>
          <w:rFonts w:ascii="Arial" w:cs="Arial" w:eastAsia="Arial" w:hAnsi="Arial"/>
          <w:sz w:val="22"/>
          <w:szCs w:val="22"/>
          <w:i w:val="1"/>
          <w:iCs w:val="1"/>
          <w:color w:val="3F000B"/>
        </w:rPr>
        <w:t>Compensation Advisor Independence</w:t>
      </w:r>
    </w:p>
    <w:p>
      <w:pPr>
        <w:spacing w:after="0" w:line="15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Compensation Committee retained Frederic W. Cook &amp; Co., Inc. (“F.W. Cook”) as its independent executive compensation consultant for fiscal 2020. F.W. Cook advised the Compensation Committee on director and executive compensation, but did no other work for the Company. The Compensation Committee reviews all fees for services related to executive and director compensation provided by F.W. Cook.</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Committee has assessed the independence of F.W. Cook pursuant to SEC and NYSE rules, and concluded that no conflict of interest exists that would prevent the consulting firm from independently advising the Committee.</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establishing compensation levels and awards for executive officers other than our CEO, the Compensation Committee takes into consideration the recommendations of the independent executive compensation consultant and the Human Resources Department, combined with our CEO’s evaluations of each officer’s individual performance and Company performance. The Compensation Committee evaluates director compensation primarily on the basis of peer group data used for benchmarking director compensation provided by the independent executive compensation consultant.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651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6517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includes the following key elements: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3F000B"/>
              <w:left w:val="single" w:sz="8" w:color="3F000B"/>
              <w:bottom w:val="single" w:sz="8" w:color="3F000B"/>
              <w:right w:val="single" w:sz="8" w:color="DADADA"/>
            </w:tcBorders>
            <w:shd w:val="clear" w:color="auto" w:fill="3F000B"/>
          </w:tcPr>
          <w:p>
            <w:pPr>
              <w:ind w:left="1540"/>
              <w:spacing w:after="0"/>
              <w:rPr>
                <w:sz w:val="20"/>
                <w:szCs w:val="20"/>
                <w:color w:val="auto"/>
              </w:rPr>
            </w:pPr>
            <w:r>
              <w:rPr>
                <w:rFonts w:ascii="Arial" w:cs="Arial" w:eastAsia="Arial" w:hAnsi="Arial"/>
                <w:sz w:val="18"/>
                <w:szCs w:val="18"/>
                <w:b w:val="1"/>
                <w:bCs w:val="1"/>
                <w:color w:val="FFFFFF"/>
              </w:rPr>
              <w:t>Element</w:t>
            </w:r>
          </w:p>
        </w:tc>
        <w:tc>
          <w:tcPr>
            <w:tcW w:w="3740" w:type="dxa"/>
            <w:vAlign w:val="bottom"/>
            <w:tcBorders>
              <w:top w:val="single" w:sz="8" w:color="3F000B"/>
              <w:bottom w:val="single" w:sz="8" w:color="3F000B"/>
              <w:right w:val="single" w:sz="8" w:color="DADADA"/>
            </w:tcBorders>
            <w:shd w:val="clear" w:color="auto" w:fill="3F000B"/>
          </w:tcPr>
          <w:p>
            <w:pPr>
              <w:ind w:left="1560"/>
              <w:spacing w:after="0"/>
              <w:rPr>
                <w:sz w:val="20"/>
                <w:szCs w:val="20"/>
                <w:color w:val="auto"/>
              </w:rPr>
            </w:pPr>
            <w:r>
              <w:rPr>
                <w:rFonts w:ascii="Arial" w:cs="Arial" w:eastAsia="Arial" w:hAnsi="Arial"/>
                <w:sz w:val="18"/>
                <w:szCs w:val="18"/>
                <w:b w:val="1"/>
                <w:bCs w:val="1"/>
                <w:color w:val="FFFFFF"/>
              </w:rPr>
              <w:t>Design</w:t>
            </w:r>
          </w:p>
        </w:tc>
        <w:tc>
          <w:tcPr>
            <w:tcW w:w="3740" w:type="dxa"/>
            <w:vAlign w:val="bottom"/>
            <w:tcBorders>
              <w:top w:val="single" w:sz="8" w:color="3F000B"/>
              <w:bottom w:val="single" w:sz="8" w:color="3F000B"/>
              <w:right w:val="single" w:sz="8" w:color="3F000B"/>
            </w:tcBorders>
            <w:shd w:val="clear" w:color="auto" w:fill="3F000B"/>
          </w:tcPr>
          <w:p>
            <w:pPr>
              <w:ind w:left="1520"/>
              <w:spacing w:after="0"/>
              <w:rPr>
                <w:sz w:val="20"/>
                <w:szCs w:val="20"/>
                <w:color w:val="auto"/>
              </w:rPr>
            </w:pPr>
            <w:r>
              <w:rPr>
                <w:rFonts w:ascii="Arial" w:cs="Arial" w:eastAsia="Arial" w:hAnsi="Arial"/>
                <w:sz w:val="18"/>
                <w:szCs w:val="18"/>
                <w:b w:val="1"/>
                <w:bCs w:val="1"/>
                <w:color w:val="FFFFFF"/>
              </w:rPr>
              <w:t>Purpose</w:t>
            </w:r>
          </w:p>
        </w:tc>
        <w:tc>
          <w:tcPr>
            <w:tcW w:w="0" w:type="dxa"/>
            <w:vAlign w:val="bottom"/>
          </w:tcPr>
          <w:p>
            <w:pPr>
              <w:spacing w:after="0"/>
              <w:rPr>
                <w:sz w:val="1"/>
                <w:szCs w:val="1"/>
                <w:color w:val="auto"/>
              </w:rPr>
            </w:pPr>
          </w:p>
        </w:tc>
      </w:tr>
      <w:tr>
        <w:trPr>
          <w:trHeight w:val="270"/>
        </w:trPr>
        <w:tc>
          <w:tcPr>
            <w:tcW w:w="3760" w:type="dxa"/>
            <w:vAlign w:val="bottom"/>
            <w:tcBorders>
              <w:left w:val="single" w:sz="8" w:color="3F000B"/>
              <w:right w:val="single" w:sz="8" w:color="3F000B"/>
            </w:tcBorders>
            <w:vMerge w:val="restart"/>
          </w:tcPr>
          <w:p>
            <w:pPr>
              <w:ind w:left="40"/>
              <w:spacing w:after="0"/>
              <w:rPr>
                <w:sz w:val="20"/>
                <w:szCs w:val="20"/>
                <w:color w:val="auto"/>
              </w:rPr>
            </w:pPr>
            <w:r>
              <w:rPr>
                <w:rFonts w:ascii="Arial" w:cs="Arial" w:eastAsia="Arial" w:hAnsi="Arial"/>
                <w:sz w:val="16"/>
                <w:szCs w:val="16"/>
                <w:color w:val="auto"/>
              </w:rPr>
              <w:t>Base Salary</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w w:val="92"/>
              </w:rPr>
              <w:t>Fixed compensation component. Reviewed annually and</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w w:val="99"/>
              </w:rPr>
              <w:t>Intended to attract and retain executives with proven</w:t>
            </w:r>
          </w:p>
        </w:tc>
        <w:tc>
          <w:tcPr>
            <w:tcW w:w="0" w:type="dxa"/>
            <w:vAlign w:val="bottom"/>
          </w:tcPr>
          <w:p>
            <w:pPr>
              <w:spacing w:after="0"/>
              <w:rPr>
                <w:sz w:val="1"/>
                <w:szCs w:val="1"/>
                <w:color w:val="auto"/>
              </w:rPr>
            </w:pPr>
          </w:p>
        </w:tc>
      </w:tr>
      <w:tr>
        <w:trPr>
          <w:trHeight w:val="125"/>
        </w:trPr>
        <w:tc>
          <w:tcPr>
            <w:tcW w:w="3760" w:type="dxa"/>
            <w:vAlign w:val="bottom"/>
            <w:tcBorders>
              <w:left w:val="single" w:sz="8" w:color="3F000B"/>
              <w:right w:val="single" w:sz="8" w:color="3F000B"/>
            </w:tcBorders>
            <w:vMerge w:val="continue"/>
          </w:tcPr>
          <w:p>
            <w:pPr>
              <w:spacing w:after="0"/>
              <w:rPr>
                <w:sz w:val="10"/>
                <w:szCs w:val="10"/>
                <w:color w:val="auto"/>
              </w:rPr>
            </w:pPr>
          </w:p>
        </w:tc>
        <w:tc>
          <w:tcPr>
            <w:tcW w:w="3740" w:type="dxa"/>
            <w:vAlign w:val="bottom"/>
            <w:tcBorders>
              <w:right w:val="single" w:sz="8" w:color="3F000B"/>
            </w:tcBorders>
            <w:vMerge w:val="restart"/>
          </w:tcPr>
          <w:p>
            <w:pPr>
              <w:spacing w:after="0"/>
              <w:rPr>
                <w:sz w:val="20"/>
                <w:szCs w:val="20"/>
                <w:color w:val="auto"/>
              </w:rPr>
            </w:pPr>
            <w:r>
              <w:rPr>
                <w:rFonts w:ascii="Arial" w:cs="Arial" w:eastAsia="Arial" w:hAnsi="Arial"/>
                <w:sz w:val="16"/>
                <w:szCs w:val="16"/>
                <w:color w:val="auto"/>
              </w:rPr>
              <w:t>adjusted as appropriate.</w:t>
            </w:r>
          </w:p>
        </w:tc>
        <w:tc>
          <w:tcPr>
            <w:tcW w:w="3740" w:type="dxa"/>
            <w:vAlign w:val="bottom"/>
            <w:tcBorders>
              <w:right w:val="single" w:sz="8" w:color="3F000B"/>
            </w:tcBorders>
          </w:tcPr>
          <w:p>
            <w:pPr>
              <w:spacing w:after="0" w:line="125" w:lineRule="exact"/>
              <w:rPr>
                <w:sz w:val="20"/>
                <w:szCs w:val="20"/>
                <w:color w:val="auto"/>
              </w:rPr>
            </w:pPr>
            <w:r>
              <w:rPr>
                <w:rFonts w:ascii="Arial" w:cs="Arial" w:eastAsia="Arial" w:hAnsi="Arial"/>
                <w:sz w:val="14"/>
                <w:szCs w:val="14"/>
                <w:color w:val="auto"/>
              </w:rPr>
              <w:t>skills and leadership abilities that will enable us to be</w:t>
            </w:r>
          </w:p>
        </w:tc>
        <w:tc>
          <w:tcPr>
            <w:tcW w:w="0" w:type="dxa"/>
            <w:vAlign w:val="bottom"/>
          </w:tcPr>
          <w:p>
            <w:pPr>
              <w:spacing w:after="0"/>
              <w:rPr>
                <w:sz w:val="1"/>
                <w:szCs w:val="1"/>
                <w:color w:val="auto"/>
              </w:rPr>
            </w:pPr>
          </w:p>
        </w:tc>
      </w:tr>
      <w:tr>
        <w:trPr>
          <w:trHeight w:val="112"/>
        </w:trPr>
        <w:tc>
          <w:tcPr>
            <w:tcW w:w="3760" w:type="dxa"/>
            <w:vAlign w:val="bottom"/>
            <w:tcBorders>
              <w:left w:val="single" w:sz="8" w:color="3F000B"/>
              <w:right w:val="single" w:sz="8" w:color="3F000B"/>
            </w:tcBorders>
          </w:tcPr>
          <w:p>
            <w:pPr>
              <w:spacing w:after="0"/>
              <w:rPr>
                <w:sz w:val="9"/>
                <w:szCs w:val="9"/>
                <w:color w:val="auto"/>
              </w:rPr>
            </w:pPr>
          </w:p>
        </w:tc>
        <w:tc>
          <w:tcPr>
            <w:tcW w:w="3740" w:type="dxa"/>
            <w:vAlign w:val="bottom"/>
            <w:tcBorders>
              <w:right w:val="single" w:sz="8" w:color="3F000B"/>
            </w:tcBorders>
            <w:vMerge w:val="continue"/>
          </w:tcPr>
          <w:p>
            <w:pPr>
              <w:spacing w:after="0"/>
              <w:rPr>
                <w:sz w:val="9"/>
                <w:szCs w:val="9"/>
                <w:color w:val="auto"/>
              </w:rPr>
            </w:pPr>
          </w:p>
        </w:tc>
        <w:tc>
          <w:tcPr>
            <w:tcW w:w="3740" w:type="dxa"/>
            <w:vAlign w:val="bottom"/>
            <w:tcBorders>
              <w:right w:val="single" w:sz="8" w:color="3F000B"/>
            </w:tcBorders>
            <w:vMerge w:val="restart"/>
          </w:tcPr>
          <w:p>
            <w:pPr>
              <w:spacing w:after="0"/>
              <w:rPr>
                <w:sz w:val="20"/>
                <w:szCs w:val="20"/>
                <w:color w:val="auto"/>
              </w:rPr>
            </w:pPr>
            <w:r>
              <w:rPr>
                <w:rFonts w:ascii="Arial" w:cs="Arial" w:eastAsia="Arial" w:hAnsi="Arial"/>
                <w:sz w:val="16"/>
                <w:szCs w:val="16"/>
                <w:color w:val="auto"/>
              </w:rPr>
              <w:t>successful.</w:t>
            </w:r>
          </w:p>
        </w:tc>
        <w:tc>
          <w:tcPr>
            <w:tcW w:w="0" w:type="dxa"/>
            <w:vAlign w:val="bottom"/>
          </w:tcPr>
          <w:p>
            <w:pPr>
              <w:spacing w:after="0"/>
              <w:rPr>
                <w:sz w:val="1"/>
                <w:szCs w:val="1"/>
                <w:color w:val="auto"/>
              </w:rPr>
            </w:pPr>
          </w:p>
        </w:tc>
      </w:tr>
      <w:tr>
        <w:trPr>
          <w:trHeight w:val="104"/>
        </w:trPr>
        <w:tc>
          <w:tcPr>
            <w:tcW w:w="3760" w:type="dxa"/>
            <w:vAlign w:val="bottom"/>
            <w:tcBorders>
              <w:left w:val="single" w:sz="8" w:color="3F000B"/>
              <w:right w:val="single" w:sz="8" w:color="3F000B"/>
            </w:tcBorders>
          </w:tcPr>
          <w:p>
            <w:pPr>
              <w:spacing w:after="0"/>
              <w:rPr>
                <w:sz w:val="9"/>
                <w:szCs w:val="9"/>
                <w:color w:val="auto"/>
              </w:rPr>
            </w:pPr>
          </w:p>
        </w:tc>
        <w:tc>
          <w:tcPr>
            <w:tcW w:w="3740" w:type="dxa"/>
            <w:vAlign w:val="bottom"/>
            <w:tcBorders>
              <w:right w:val="single" w:sz="8" w:color="3F000B"/>
            </w:tcBorders>
          </w:tcPr>
          <w:p>
            <w:pPr>
              <w:spacing w:after="0"/>
              <w:rPr>
                <w:sz w:val="9"/>
                <w:szCs w:val="9"/>
                <w:color w:val="auto"/>
              </w:rPr>
            </w:pPr>
          </w:p>
        </w:tc>
        <w:tc>
          <w:tcPr>
            <w:tcW w:w="3740" w:type="dxa"/>
            <w:vAlign w:val="bottom"/>
            <w:tcBorders>
              <w:right w:val="single" w:sz="8" w:color="3F000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3760" w:type="dxa"/>
            <w:vAlign w:val="bottom"/>
            <w:tcBorders>
              <w:left w:val="single" w:sz="8" w:color="3F000B"/>
              <w:right w:val="single" w:sz="8" w:color="3F000B"/>
            </w:tcBorders>
            <w:vMerge w:val="restart"/>
            <w:shd w:val="clear" w:color="auto" w:fill="DADADA"/>
          </w:tcPr>
          <w:p>
            <w:pPr>
              <w:ind w:left="40"/>
              <w:spacing w:after="0"/>
              <w:rPr>
                <w:sz w:val="20"/>
                <w:szCs w:val="20"/>
                <w:color w:val="auto"/>
              </w:rPr>
            </w:pPr>
            <w:r>
              <w:rPr>
                <w:rFonts w:ascii="Arial" w:cs="Arial" w:eastAsia="Arial" w:hAnsi="Arial"/>
                <w:sz w:val="16"/>
                <w:szCs w:val="16"/>
                <w:color w:val="auto"/>
              </w:rPr>
              <w:t>Annual Incentive Award</w:t>
            </w:r>
          </w:p>
        </w:tc>
        <w:tc>
          <w:tcPr>
            <w:tcW w:w="3740" w:type="dxa"/>
            <w:vAlign w:val="bottom"/>
            <w:tcBorders>
              <w:right w:val="single" w:sz="8" w:color="3F000B"/>
            </w:tcBorders>
            <w:shd w:val="clear" w:color="auto" w:fill="DADADA"/>
          </w:tcPr>
          <w:p>
            <w:pPr>
              <w:spacing w:after="0"/>
              <w:rPr>
                <w:sz w:val="20"/>
                <w:szCs w:val="20"/>
                <w:color w:val="auto"/>
              </w:rPr>
            </w:pPr>
            <w:r>
              <w:rPr>
                <w:rFonts w:ascii="Arial" w:cs="Arial" w:eastAsia="Arial" w:hAnsi="Arial"/>
                <w:sz w:val="16"/>
                <w:szCs w:val="16"/>
                <w:color w:val="auto"/>
                <w:w w:val="92"/>
              </w:rPr>
              <w:t>Variable, performance-based compensation component.</w:t>
            </w:r>
          </w:p>
        </w:tc>
        <w:tc>
          <w:tcPr>
            <w:tcW w:w="3740" w:type="dxa"/>
            <w:vAlign w:val="bottom"/>
            <w:tcBorders>
              <w:right w:val="single" w:sz="8" w:color="3F000B"/>
            </w:tcBorders>
            <w:shd w:val="clear" w:color="auto" w:fill="DADADA"/>
          </w:tcPr>
          <w:p>
            <w:pPr>
              <w:spacing w:after="0"/>
              <w:rPr>
                <w:sz w:val="20"/>
                <w:szCs w:val="20"/>
                <w:color w:val="auto"/>
              </w:rPr>
            </w:pPr>
            <w:r>
              <w:rPr>
                <w:rFonts w:ascii="Arial" w:cs="Arial" w:eastAsia="Arial" w:hAnsi="Arial"/>
                <w:sz w:val="16"/>
                <w:szCs w:val="16"/>
                <w:color w:val="auto"/>
              </w:rPr>
              <w:t>Intended to motivate and reward executives for</w:t>
            </w:r>
          </w:p>
        </w:tc>
        <w:tc>
          <w:tcPr>
            <w:tcW w:w="0" w:type="dxa"/>
            <w:vAlign w:val="bottom"/>
          </w:tcPr>
          <w:p>
            <w:pPr>
              <w:spacing w:after="0"/>
              <w:rPr>
                <w:sz w:val="1"/>
                <w:szCs w:val="1"/>
                <w:color w:val="auto"/>
              </w:rPr>
            </w:pPr>
          </w:p>
        </w:tc>
      </w:tr>
      <w:tr>
        <w:trPr>
          <w:trHeight w:val="125"/>
        </w:trPr>
        <w:tc>
          <w:tcPr>
            <w:tcW w:w="3760" w:type="dxa"/>
            <w:vAlign w:val="bottom"/>
            <w:tcBorders>
              <w:left w:val="single" w:sz="8" w:color="3F000B"/>
              <w:right w:val="single" w:sz="8" w:color="3F000B"/>
            </w:tcBorders>
            <w:vMerge w:val="continue"/>
            <w:shd w:val="clear" w:color="auto" w:fill="DADADA"/>
          </w:tcPr>
          <w:p>
            <w:pPr>
              <w:spacing w:after="0"/>
              <w:rPr>
                <w:sz w:val="10"/>
                <w:szCs w:val="10"/>
                <w:color w:val="auto"/>
              </w:rPr>
            </w:pPr>
          </w:p>
        </w:tc>
        <w:tc>
          <w:tcPr>
            <w:tcW w:w="3740" w:type="dxa"/>
            <w:vAlign w:val="bottom"/>
            <w:tcBorders>
              <w:right w:val="single" w:sz="8" w:color="3F000B"/>
            </w:tcBorders>
            <w:shd w:val="clear" w:color="auto" w:fill="DADADA"/>
          </w:tcPr>
          <w:p>
            <w:pPr>
              <w:spacing w:after="0" w:line="125" w:lineRule="exact"/>
              <w:rPr>
                <w:sz w:val="20"/>
                <w:szCs w:val="20"/>
                <w:color w:val="auto"/>
              </w:rPr>
            </w:pPr>
            <w:r>
              <w:rPr>
                <w:rFonts w:ascii="Arial" w:cs="Arial" w:eastAsia="Arial" w:hAnsi="Arial"/>
                <w:sz w:val="14"/>
                <w:szCs w:val="14"/>
                <w:color w:val="auto"/>
              </w:rPr>
              <w:t>Payable based on business results and, with the</w:t>
            </w:r>
          </w:p>
        </w:tc>
        <w:tc>
          <w:tcPr>
            <w:tcW w:w="3740" w:type="dxa"/>
            <w:vAlign w:val="bottom"/>
            <w:tcBorders>
              <w:right w:val="single" w:sz="8" w:color="3F000B"/>
            </w:tcBorders>
            <w:vMerge w:val="restart"/>
            <w:shd w:val="clear" w:color="auto" w:fill="DADADA"/>
          </w:tcPr>
          <w:p>
            <w:pPr>
              <w:spacing w:after="0"/>
              <w:rPr>
                <w:sz w:val="20"/>
                <w:szCs w:val="20"/>
                <w:color w:val="auto"/>
              </w:rPr>
            </w:pPr>
            <w:r>
              <w:rPr>
                <w:rFonts w:ascii="Arial" w:cs="Arial" w:eastAsia="Arial" w:hAnsi="Arial"/>
                <w:sz w:val="16"/>
                <w:szCs w:val="16"/>
                <w:color w:val="auto"/>
              </w:rPr>
              <w:t>successful execution of strategic priorities.</w:t>
            </w:r>
          </w:p>
        </w:tc>
        <w:tc>
          <w:tcPr>
            <w:tcW w:w="0" w:type="dxa"/>
            <w:vAlign w:val="bottom"/>
          </w:tcPr>
          <w:p>
            <w:pPr>
              <w:spacing w:after="0"/>
              <w:rPr>
                <w:sz w:val="1"/>
                <w:szCs w:val="1"/>
                <w:color w:val="auto"/>
              </w:rPr>
            </w:pPr>
          </w:p>
        </w:tc>
      </w:tr>
      <w:tr>
        <w:trPr>
          <w:trHeight w:val="112"/>
        </w:trPr>
        <w:tc>
          <w:tcPr>
            <w:tcW w:w="3760" w:type="dxa"/>
            <w:vAlign w:val="bottom"/>
            <w:tcBorders>
              <w:left w:val="single" w:sz="8" w:color="3F000B"/>
              <w:right w:val="single" w:sz="8" w:color="3F000B"/>
            </w:tcBorders>
            <w:shd w:val="clear" w:color="auto" w:fill="DADADA"/>
          </w:tcPr>
          <w:p>
            <w:pPr>
              <w:spacing w:after="0"/>
              <w:rPr>
                <w:sz w:val="9"/>
                <w:szCs w:val="9"/>
                <w:color w:val="auto"/>
              </w:rPr>
            </w:pPr>
          </w:p>
        </w:tc>
        <w:tc>
          <w:tcPr>
            <w:tcW w:w="3740" w:type="dxa"/>
            <w:vAlign w:val="bottom"/>
            <w:tcBorders>
              <w:right w:val="single" w:sz="8" w:color="3F000B"/>
            </w:tcBorders>
            <w:vMerge w:val="restart"/>
            <w:shd w:val="clear" w:color="auto" w:fill="DADADA"/>
          </w:tcPr>
          <w:p>
            <w:pPr>
              <w:spacing w:after="0"/>
              <w:rPr>
                <w:sz w:val="20"/>
                <w:szCs w:val="20"/>
                <w:color w:val="auto"/>
              </w:rPr>
            </w:pPr>
            <w:r>
              <w:rPr>
                <w:rFonts w:ascii="Arial" w:cs="Arial" w:eastAsia="Arial" w:hAnsi="Arial"/>
                <w:sz w:val="16"/>
                <w:szCs w:val="16"/>
                <w:color w:val="auto"/>
              </w:rPr>
              <w:t>exception of the CEO, individual performance.</w:t>
            </w:r>
          </w:p>
        </w:tc>
        <w:tc>
          <w:tcPr>
            <w:tcW w:w="3740" w:type="dxa"/>
            <w:vAlign w:val="bottom"/>
            <w:tcBorders>
              <w:right w:val="single" w:sz="8" w:color="3F000B"/>
            </w:tcBorders>
            <w:vMerge w:val="continue"/>
            <w:shd w:val="clear" w:color="auto" w:fill="DADADA"/>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tcBorders>
              <w:left w:val="single" w:sz="8" w:color="3F000B"/>
              <w:right w:val="single" w:sz="8" w:color="3F000B"/>
            </w:tcBorders>
            <w:shd w:val="clear" w:color="auto" w:fill="DADADA"/>
          </w:tcPr>
          <w:p>
            <w:pPr>
              <w:spacing w:after="0"/>
              <w:rPr>
                <w:sz w:val="9"/>
                <w:szCs w:val="9"/>
                <w:color w:val="auto"/>
              </w:rPr>
            </w:pPr>
          </w:p>
        </w:tc>
        <w:tc>
          <w:tcPr>
            <w:tcW w:w="3740" w:type="dxa"/>
            <w:vAlign w:val="bottom"/>
            <w:tcBorders>
              <w:right w:val="single" w:sz="8" w:color="3F000B"/>
            </w:tcBorders>
            <w:vMerge w:val="continue"/>
            <w:shd w:val="clear" w:color="auto" w:fill="DADADA"/>
          </w:tcPr>
          <w:p>
            <w:pPr>
              <w:spacing w:after="0"/>
              <w:rPr>
                <w:sz w:val="9"/>
                <w:szCs w:val="9"/>
                <w:color w:val="auto"/>
              </w:rPr>
            </w:pPr>
          </w:p>
        </w:tc>
        <w:tc>
          <w:tcPr>
            <w:tcW w:w="3740" w:type="dxa"/>
            <w:vAlign w:val="bottom"/>
            <w:tcBorders>
              <w:right w:val="single" w:sz="8" w:color="3F000B"/>
            </w:tcBorders>
            <w:shd w:val="clear" w:color="auto" w:fill="DADADA"/>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760" w:type="dxa"/>
            <w:vAlign w:val="bottom"/>
            <w:tcBorders>
              <w:left w:val="single" w:sz="8" w:color="3F000B"/>
              <w:right w:val="single" w:sz="8" w:color="3F000B"/>
            </w:tcBorders>
          </w:tcPr>
          <w:p>
            <w:pPr>
              <w:spacing w:after="0"/>
              <w:rPr>
                <w:sz w:val="17"/>
                <w:szCs w:val="17"/>
                <w:color w:val="auto"/>
              </w:rPr>
            </w:pP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w w:val="92"/>
              </w:rPr>
              <w:t>Variable compensation component. Granted annually as</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w w:val="99"/>
              </w:rPr>
              <w:t>Intended to motivate and reward executives for long-</w:t>
            </w:r>
          </w:p>
        </w:tc>
        <w:tc>
          <w:tcPr>
            <w:tcW w:w="0" w:type="dxa"/>
            <w:vAlign w:val="bottom"/>
          </w:tcPr>
          <w:p>
            <w:pPr>
              <w:spacing w:after="0"/>
              <w:rPr>
                <w:sz w:val="1"/>
                <w:szCs w:val="1"/>
                <w:color w:val="auto"/>
              </w:rPr>
            </w:pPr>
          </w:p>
        </w:tc>
      </w:tr>
      <w:tr>
        <w:trPr>
          <w:trHeight w:val="189"/>
        </w:trPr>
        <w:tc>
          <w:tcPr>
            <w:tcW w:w="3760" w:type="dxa"/>
            <w:vAlign w:val="bottom"/>
            <w:tcBorders>
              <w:left w:val="single" w:sz="8" w:color="3F000B"/>
              <w:right w:val="single" w:sz="8" w:color="3F000B"/>
            </w:tcBorders>
          </w:tcPr>
          <w:p>
            <w:pPr>
              <w:spacing w:after="0"/>
              <w:rPr>
                <w:sz w:val="16"/>
                <w:szCs w:val="16"/>
                <w:color w:val="auto"/>
              </w:rPr>
            </w:pP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w w:val="92"/>
              </w:rPr>
              <w:t>a combination of RSUs and PSUs. PSUs are considered</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rPr>
              <w:t>term Company financial performance and enhanced</w:t>
            </w:r>
          </w:p>
        </w:tc>
        <w:tc>
          <w:tcPr>
            <w:tcW w:w="0" w:type="dxa"/>
            <w:vAlign w:val="bottom"/>
          </w:tcPr>
          <w:p>
            <w:pPr>
              <w:spacing w:after="0"/>
              <w:rPr>
                <w:sz w:val="1"/>
                <w:szCs w:val="1"/>
                <w:color w:val="auto"/>
              </w:rPr>
            </w:pPr>
          </w:p>
        </w:tc>
      </w:tr>
      <w:tr>
        <w:trPr>
          <w:trHeight w:val="189"/>
        </w:trPr>
        <w:tc>
          <w:tcPr>
            <w:tcW w:w="37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6"/>
                <w:szCs w:val="16"/>
                <w:color w:val="auto"/>
              </w:rPr>
              <w:t>Long-Term Incentive Awards</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w w:val="93"/>
              </w:rPr>
              <w:t>to be performance-based; the value of amounts actually</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w w:val="93"/>
              </w:rPr>
              <w:t>long-term stockholder value by balancing compensation</w:t>
            </w:r>
          </w:p>
        </w:tc>
        <w:tc>
          <w:tcPr>
            <w:tcW w:w="0" w:type="dxa"/>
            <w:vAlign w:val="bottom"/>
          </w:tcPr>
          <w:p>
            <w:pPr>
              <w:spacing w:after="0"/>
              <w:rPr>
                <w:sz w:val="1"/>
                <w:szCs w:val="1"/>
                <w:color w:val="auto"/>
              </w:rPr>
            </w:pPr>
          </w:p>
        </w:tc>
      </w:tr>
      <w:tr>
        <w:trPr>
          <w:trHeight w:val="189"/>
        </w:trPr>
        <w:tc>
          <w:tcPr>
            <w:tcW w:w="3760" w:type="dxa"/>
            <w:vAlign w:val="bottom"/>
            <w:tcBorders>
              <w:left w:val="single" w:sz="8" w:color="3F000B"/>
              <w:right w:val="single" w:sz="8" w:color="3F000B"/>
            </w:tcBorders>
          </w:tcPr>
          <w:p>
            <w:pPr>
              <w:spacing w:after="0"/>
              <w:rPr>
                <w:sz w:val="16"/>
                <w:szCs w:val="16"/>
                <w:color w:val="auto"/>
              </w:rPr>
            </w:pP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rPr>
              <w:t>earned depend on Company and stock price</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rPr>
              <w:t>opportunity and risk, while encouraging sustained</w:t>
            </w:r>
          </w:p>
        </w:tc>
        <w:tc>
          <w:tcPr>
            <w:tcW w:w="0" w:type="dxa"/>
            <w:vAlign w:val="bottom"/>
          </w:tcPr>
          <w:p>
            <w:pPr>
              <w:spacing w:after="0"/>
              <w:rPr>
                <w:sz w:val="1"/>
                <w:szCs w:val="1"/>
                <w:color w:val="auto"/>
              </w:rPr>
            </w:pPr>
          </w:p>
        </w:tc>
      </w:tr>
      <w:tr>
        <w:trPr>
          <w:trHeight w:val="233"/>
        </w:trPr>
        <w:tc>
          <w:tcPr>
            <w:tcW w:w="3760" w:type="dxa"/>
            <w:vAlign w:val="bottom"/>
            <w:tcBorders>
              <w:left w:val="single" w:sz="8" w:color="3F000B"/>
              <w:right w:val="single" w:sz="8" w:color="3F000B"/>
            </w:tcBorders>
          </w:tcPr>
          <w:p>
            <w:pPr>
              <w:spacing w:after="0"/>
              <w:rPr>
                <w:sz w:val="20"/>
                <w:szCs w:val="20"/>
                <w:color w:val="auto"/>
              </w:rPr>
            </w:pP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rPr>
              <w:t>performance.</w:t>
            </w:r>
          </w:p>
        </w:tc>
        <w:tc>
          <w:tcPr>
            <w:tcW w:w="3740" w:type="dxa"/>
            <w:vAlign w:val="bottom"/>
            <w:tcBorders>
              <w:right w:val="single" w:sz="8" w:color="3F000B"/>
            </w:tcBorders>
          </w:tcPr>
          <w:p>
            <w:pPr>
              <w:spacing w:after="0"/>
              <w:rPr>
                <w:sz w:val="20"/>
                <w:szCs w:val="20"/>
                <w:color w:val="auto"/>
              </w:rPr>
            </w:pPr>
            <w:r>
              <w:rPr>
                <w:rFonts w:ascii="Arial" w:cs="Arial" w:eastAsia="Arial" w:hAnsi="Arial"/>
                <w:sz w:val="16"/>
                <w:szCs w:val="16"/>
                <w:color w:val="auto"/>
              </w:rPr>
              <w:t>performance and retention.</w:t>
            </w:r>
          </w:p>
        </w:tc>
        <w:tc>
          <w:tcPr>
            <w:tcW w:w="0" w:type="dxa"/>
            <w:vAlign w:val="bottom"/>
          </w:tcPr>
          <w:p>
            <w:pPr>
              <w:spacing w:after="0"/>
              <w:rPr>
                <w:sz w:val="1"/>
                <w:szCs w:val="1"/>
                <w:color w:val="auto"/>
              </w:rPr>
            </w:pPr>
          </w:p>
        </w:tc>
      </w:tr>
      <w:tr>
        <w:trPr>
          <w:trHeight w:val="46"/>
        </w:trPr>
        <w:tc>
          <w:tcPr>
            <w:tcW w:w="3760" w:type="dxa"/>
            <w:vAlign w:val="bottom"/>
            <w:tcBorders>
              <w:left w:val="single" w:sz="8" w:color="3F000B"/>
              <w:bottom w:val="single" w:sz="8" w:color="3F000B"/>
              <w:right w:val="single" w:sz="8" w:color="3F000B"/>
            </w:tcBorders>
          </w:tcPr>
          <w:p>
            <w:pPr>
              <w:spacing w:after="0"/>
              <w:rPr>
                <w:sz w:val="4"/>
                <w:szCs w:val="4"/>
                <w:color w:val="auto"/>
              </w:rPr>
            </w:pPr>
          </w:p>
        </w:tc>
        <w:tc>
          <w:tcPr>
            <w:tcW w:w="3740" w:type="dxa"/>
            <w:vAlign w:val="bottom"/>
            <w:tcBorders>
              <w:bottom w:val="single" w:sz="8" w:color="3F000B"/>
              <w:right w:val="single" w:sz="8" w:color="3F000B"/>
            </w:tcBorders>
          </w:tcPr>
          <w:p>
            <w:pPr>
              <w:spacing w:after="0"/>
              <w:rPr>
                <w:sz w:val="4"/>
                <w:szCs w:val="4"/>
                <w:color w:val="auto"/>
              </w:rPr>
            </w:pPr>
          </w:p>
        </w:tc>
        <w:tc>
          <w:tcPr>
            <w:tcW w:w="3740" w:type="dxa"/>
            <w:vAlign w:val="bottom"/>
            <w:tcBorders>
              <w:bottom w:val="single" w:sz="8" w:color="3F000B"/>
              <w:right w:val="single" w:sz="8" w:color="3F000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117"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charts illustrate the weighting of base salary, annual incentive awards and long-term incentive awards at target for our CEO and our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NEOs, excluding Mr. Walling and Ms. West,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9285" cy="3086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0928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580"/>
        <w:spacing w:after="0"/>
        <w:tabs>
          <w:tab w:leader="none" w:pos="7020" w:val="left"/>
        </w:tabs>
        <w:rPr>
          <w:sz w:val="20"/>
          <w:szCs w:val="20"/>
          <w:color w:val="auto"/>
        </w:rPr>
      </w:pPr>
      <w:r>
        <w:rPr>
          <w:rFonts w:ascii="Arial" w:cs="Arial" w:eastAsia="Arial" w:hAnsi="Arial"/>
          <w:sz w:val="18"/>
          <w:szCs w:val="18"/>
          <w:b w:val="1"/>
          <w:bCs w:val="1"/>
          <w:color w:val="3F000B"/>
        </w:rPr>
        <w:t>At-Risk Compensation = 87%</w:t>
      </w:r>
      <w:r>
        <w:rPr>
          <w:sz w:val="20"/>
          <w:szCs w:val="20"/>
          <w:color w:val="auto"/>
        </w:rPr>
        <w:tab/>
      </w:r>
      <w:r>
        <w:rPr>
          <w:rFonts w:ascii="Arial" w:cs="Arial" w:eastAsia="Arial" w:hAnsi="Arial"/>
          <w:sz w:val="16"/>
          <w:szCs w:val="16"/>
          <w:b w:val="1"/>
          <w:bCs w:val="1"/>
          <w:color w:val="3F000B"/>
        </w:rPr>
        <w:t>At-Risk Compensation = 71%</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Setting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003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00350" cy="8890"/>
                    </a:xfrm>
                    <a:prstGeom prst="rect">
                      <a:avLst/>
                    </a:prstGeom>
                    <a:noFill/>
                  </pic:spPr>
                </pic:pic>
              </a:graphicData>
            </a:graphic>
          </wp:anchor>
        </w:drawing>
      </w:r>
    </w:p>
    <w:p>
      <w:pPr>
        <w:spacing w:after="0" w:line="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Compensation Committee’s annual compensation review for 2020 included an analysis of data, comparing the Company’s executive compensation levels against a peer group of publicly-held consumer products companies. F.W. Cook, the Compensation Committee’s independent executive compensation consultant provides the Compensation Committee with advice, counsel and recommendations with respect to the composition of the peer group and competitive data used for benchmarking our compensation program. The Compensation Committee uses this and other information provided by F.W. Cook to reach an independent recommendation regarding compensation to be paid to our CEO, directors and other officers. The Compensation Committee’s final recommendation with respect to CEO compensation is then given to the independent directors of our Board for review and final approval.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Companies in the peer group used to benchmark executive pay levels for 2020 (the “2020 Compensation Peer Group”) are:</w:t>
      </w:r>
    </w:p>
    <w:p>
      <w:pPr>
        <w:spacing w:after="0" w:line="287" w:lineRule="exact"/>
        <w:rPr>
          <w:sz w:val="20"/>
          <w:szCs w:val="20"/>
          <w:color w:val="auto"/>
        </w:rPr>
      </w:pPr>
    </w:p>
    <w:tbl>
      <w:tblPr>
        <w:tblLayout w:type="fixed"/>
        <w:tblInd w:w="510" w:type="dxa"/>
        <w:tblCellMar>
          <w:top w:w="0" w:type="dxa"/>
          <w:left w:w="0" w:type="dxa"/>
          <w:bottom w:w="0" w:type="dxa"/>
          <w:right w:w="0" w:type="dxa"/>
        </w:tblCellMar>
      </w:tblPr>
      <w:tr>
        <w:trPr>
          <w:trHeight w:val="243"/>
        </w:trPr>
        <w:tc>
          <w:tcPr>
            <w:tcW w:w="2660" w:type="dxa"/>
            <w:vAlign w:val="bottom"/>
            <w:tcBorders>
              <w:top w:val="single" w:sz="8" w:color="3F000B"/>
              <w:left w:val="single" w:sz="8" w:color="auto"/>
            </w:tcBorders>
          </w:tcPr>
          <w:p>
            <w:pPr>
              <w:ind w:left="20"/>
              <w:spacing w:after="0"/>
              <w:rPr>
                <w:sz w:val="20"/>
                <w:szCs w:val="20"/>
                <w:color w:val="auto"/>
              </w:rPr>
            </w:pPr>
            <w:r>
              <w:rPr>
                <w:rFonts w:ascii="Arial" w:cs="Arial" w:eastAsia="Arial" w:hAnsi="Arial"/>
                <w:sz w:val="18"/>
                <w:szCs w:val="18"/>
                <w:color w:val="auto"/>
              </w:rPr>
              <w:t>Brown-Forman Corporation</w:t>
            </w:r>
          </w:p>
        </w:tc>
        <w:tc>
          <w:tcPr>
            <w:tcW w:w="3240" w:type="dxa"/>
            <w:vAlign w:val="bottom"/>
            <w:tcBorders>
              <w:top w:val="single" w:sz="8" w:color="3F000B"/>
            </w:tcBorders>
          </w:tcPr>
          <w:p>
            <w:pPr>
              <w:ind w:left="560"/>
              <w:spacing w:after="0"/>
              <w:rPr>
                <w:sz w:val="20"/>
                <w:szCs w:val="20"/>
                <w:color w:val="auto"/>
              </w:rPr>
            </w:pPr>
            <w:r>
              <w:rPr>
                <w:rFonts w:ascii="Arial" w:cs="Arial" w:eastAsia="Arial" w:hAnsi="Arial"/>
                <w:sz w:val="18"/>
                <w:szCs w:val="18"/>
                <w:color w:val="auto"/>
              </w:rPr>
              <w:t>General Mills, Inc.</w:t>
            </w:r>
          </w:p>
        </w:tc>
        <w:tc>
          <w:tcPr>
            <w:tcW w:w="3640" w:type="dxa"/>
            <w:vAlign w:val="bottom"/>
            <w:tcBorders>
              <w:top w:val="single" w:sz="8" w:color="3F000B"/>
              <w:right w:val="single" w:sz="8" w:color="3F000B"/>
            </w:tcBorders>
          </w:tcPr>
          <w:p>
            <w:pPr>
              <w:ind w:left="540"/>
              <w:spacing w:after="0"/>
              <w:rPr>
                <w:sz w:val="20"/>
                <w:szCs w:val="20"/>
                <w:color w:val="auto"/>
              </w:rPr>
            </w:pPr>
            <w:r>
              <w:rPr>
                <w:rFonts w:ascii="Arial" w:cs="Arial" w:eastAsia="Arial" w:hAnsi="Arial"/>
                <w:sz w:val="18"/>
                <w:szCs w:val="18"/>
                <w:color w:val="auto"/>
              </w:rPr>
              <w:t>Molson Coors Brewing Company</w:t>
            </w:r>
          </w:p>
        </w:tc>
      </w:tr>
      <w:tr>
        <w:trPr>
          <w:trHeight w:val="230"/>
        </w:trPr>
        <w:tc>
          <w:tcPr>
            <w:tcW w:w="2660" w:type="dxa"/>
            <w:vAlign w:val="bottom"/>
            <w:tcBorders>
              <w:left w:val="single" w:sz="8" w:color="3F000B"/>
            </w:tcBorders>
            <w:shd w:val="clear" w:color="auto" w:fill="DADADA"/>
          </w:tcPr>
          <w:p>
            <w:pPr>
              <w:ind w:left="20"/>
              <w:spacing w:after="0"/>
              <w:rPr>
                <w:sz w:val="20"/>
                <w:szCs w:val="20"/>
                <w:color w:val="auto"/>
              </w:rPr>
            </w:pPr>
            <w:r>
              <w:rPr>
                <w:rFonts w:ascii="Arial" w:cs="Arial" w:eastAsia="Arial" w:hAnsi="Arial"/>
                <w:sz w:val="18"/>
                <w:szCs w:val="18"/>
                <w:color w:val="auto"/>
              </w:rPr>
              <w:t>Campbell Soup Company</w:t>
            </w:r>
          </w:p>
        </w:tc>
        <w:tc>
          <w:tcPr>
            <w:tcW w:w="3240" w:type="dxa"/>
            <w:vAlign w:val="bottom"/>
            <w:shd w:val="clear" w:color="auto" w:fill="DADADA"/>
          </w:tcPr>
          <w:p>
            <w:pPr>
              <w:ind w:left="560"/>
              <w:spacing w:after="0"/>
              <w:rPr>
                <w:sz w:val="20"/>
                <w:szCs w:val="20"/>
                <w:color w:val="auto"/>
              </w:rPr>
            </w:pPr>
            <w:r>
              <w:rPr>
                <w:rFonts w:ascii="Arial" w:cs="Arial" w:eastAsia="Arial" w:hAnsi="Arial"/>
                <w:sz w:val="18"/>
                <w:szCs w:val="18"/>
                <w:color w:val="auto"/>
              </w:rPr>
              <w:t>Hormel Foods Corporation</w:t>
            </w:r>
          </w:p>
        </w:tc>
        <w:tc>
          <w:tcPr>
            <w:tcW w:w="3640" w:type="dxa"/>
            <w:vAlign w:val="bottom"/>
            <w:tcBorders>
              <w:right w:val="single" w:sz="8" w:color="3F000B"/>
            </w:tcBorders>
            <w:shd w:val="clear" w:color="auto" w:fill="DADADA"/>
          </w:tcPr>
          <w:p>
            <w:pPr>
              <w:ind w:left="540"/>
              <w:spacing w:after="0"/>
              <w:rPr>
                <w:sz w:val="20"/>
                <w:szCs w:val="20"/>
                <w:color w:val="auto"/>
              </w:rPr>
            </w:pPr>
            <w:r>
              <w:rPr>
                <w:rFonts w:ascii="Arial" w:cs="Arial" w:eastAsia="Arial" w:hAnsi="Arial"/>
                <w:sz w:val="18"/>
                <w:szCs w:val="18"/>
                <w:color w:val="auto"/>
              </w:rPr>
              <w:t>Mondelez International, Inc.</w:t>
            </w:r>
          </w:p>
        </w:tc>
      </w:tr>
      <w:tr>
        <w:trPr>
          <w:trHeight w:val="229"/>
        </w:trPr>
        <w:tc>
          <w:tcPr>
            <w:tcW w:w="2660" w:type="dxa"/>
            <w:vAlign w:val="bottom"/>
            <w:tcBorders>
              <w:left w:val="single" w:sz="8" w:color="3F000B"/>
            </w:tcBorders>
          </w:tcPr>
          <w:p>
            <w:pPr>
              <w:ind w:left="20"/>
              <w:spacing w:after="0"/>
              <w:rPr>
                <w:sz w:val="20"/>
                <w:szCs w:val="20"/>
                <w:color w:val="auto"/>
              </w:rPr>
            </w:pPr>
            <w:r>
              <w:rPr>
                <w:rFonts w:ascii="Arial" w:cs="Arial" w:eastAsia="Arial" w:hAnsi="Arial"/>
                <w:sz w:val="18"/>
                <w:szCs w:val="18"/>
                <w:color w:val="auto"/>
              </w:rPr>
              <w:t>Colgate-Palmolive Company</w:t>
            </w:r>
          </w:p>
        </w:tc>
        <w:tc>
          <w:tcPr>
            <w:tcW w:w="3240" w:type="dxa"/>
            <w:vAlign w:val="bottom"/>
          </w:tcPr>
          <w:p>
            <w:pPr>
              <w:ind w:left="560"/>
              <w:spacing w:after="0"/>
              <w:rPr>
                <w:sz w:val="20"/>
                <w:szCs w:val="20"/>
                <w:color w:val="auto"/>
              </w:rPr>
            </w:pPr>
            <w:r>
              <w:rPr>
                <w:rFonts w:ascii="Arial" w:cs="Arial" w:eastAsia="Arial" w:hAnsi="Arial"/>
                <w:sz w:val="18"/>
                <w:szCs w:val="18"/>
                <w:color w:val="auto"/>
              </w:rPr>
              <w:t>Kellogg Company</w:t>
            </w:r>
          </w:p>
        </w:tc>
        <w:tc>
          <w:tcPr>
            <w:tcW w:w="3640" w:type="dxa"/>
            <w:vAlign w:val="bottom"/>
            <w:tcBorders>
              <w:right w:val="single" w:sz="8" w:color="3F000B"/>
            </w:tcBorders>
          </w:tcPr>
          <w:p>
            <w:pPr>
              <w:ind w:left="540"/>
              <w:spacing w:after="0"/>
              <w:rPr>
                <w:sz w:val="20"/>
                <w:szCs w:val="20"/>
                <w:color w:val="auto"/>
              </w:rPr>
            </w:pPr>
            <w:r>
              <w:rPr>
                <w:rFonts w:ascii="Arial" w:cs="Arial" w:eastAsia="Arial" w:hAnsi="Arial"/>
                <w:sz w:val="18"/>
                <w:szCs w:val="18"/>
                <w:color w:val="auto"/>
              </w:rPr>
              <w:t>The Clorox Company</w:t>
            </w:r>
          </w:p>
        </w:tc>
      </w:tr>
      <w:tr>
        <w:trPr>
          <w:trHeight w:val="230"/>
        </w:trPr>
        <w:tc>
          <w:tcPr>
            <w:tcW w:w="2660" w:type="dxa"/>
            <w:vAlign w:val="bottom"/>
            <w:tcBorders>
              <w:left w:val="single" w:sz="8" w:color="3F000B"/>
            </w:tcBorders>
            <w:shd w:val="clear" w:color="auto" w:fill="DADADA"/>
          </w:tcPr>
          <w:p>
            <w:pPr>
              <w:ind w:left="20"/>
              <w:spacing w:after="0"/>
              <w:rPr>
                <w:sz w:val="20"/>
                <w:szCs w:val="20"/>
                <w:color w:val="auto"/>
              </w:rPr>
            </w:pPr>
            <w:r>
              <w:rPr>
                <w:rFonts w:ascii="Arial" w:cs="Arial" w:eastAsia="Arial" w:hAnsi="Arial"/>
                <w:sz w:val="18"/>
                <w:szCs w:val="18"/>
                <w:color w:val="auto"/>
              </w:rPr>
              <w:t>ConAgra Brands, Inc.</w:t>
            </w:r>
          </w:p>
        </w:tc>
        <w:tc>
          <w:tcPr>
            <w:tcW w:w="3240" w:type="dxa"/>
            <w:vAlign w:val="bottom"/>
            <w:shd w:val="clear" w:color="auto" w:fill="DADADA"/>
          </w:tcPr>
          <w:p>
            <w:pPr>
              <w:ind w:left="560"/>
              <w:spacing w:after="0"/>
              <w:rPr>
                <w:sz w:val="20"/>
                <w:szCs w:val="20"/>
                <w:color w:val="auto"/>
              </w:rPr>
            </w:pPr>
            <w:r>
              <w:rPr>
                <w:rFonts w:ascii="Arial" w:cs="Arial" w:eastAsia="Arial" w:hAnsi="Arial"/>
                <w:sz w:val="18"/>
                <w:szCs w:val="18"/>
                <w:color w:val="auto"/>
              </w:rPr>
              <w:t>Keurig Dr. Pepper, Inc.</w:t>
            </w:r>
          </w:p>
        </w:tc>
        <w:tc>
          <w:tcPr>
            <w:tcW w:w="3640" w:type="dxa"/>
            <w:vAlign w:val="bottom"/>
            <w:tcBorders>
              <w:right w:val="single" w:sz="8" w:color="3F000B"/>
            </w:tcBorders>
            <w:shd w:val="clear" w:color="auto" w:fill="DADADA"/>
          </w:tcPr>
          <w:p>
            <w:pPr>
              <w:ind w:left="540"/>
              <w:spacing w:after="0"/>
              <w:rPr>
                <w:sz w:val="20"/>
                <w:szCs w:val="20"/>
                <w:color w:val="auto"/>
              </w:rPr>
            </w:pPr>
            <w:r>
              <w:rPr>
                <w:rFonts w:ascii="Arial" w:cs="Arial" w:eastAsia="Arial" w:hAnsi="Arial"/>
                <w:sz w:val="18"/>
                <w:szCs w:val="18"/>
                <w:color w:val="auto"/>
              </w:rPr>
              <w:t>The J. M. Smucker Company</w:t>
            </w:r>
          </w:p>
        </w:tc>
      </w:tr>
      <w:tr>
        <w:trPr>
          <w:trHeight w:val="230"/>
        </w:trPr>
        <w:tc>
          <w:tcPr>
            <w:tcW w:w="2660" w:type="dxa"/>
            <w:vAlign w:val="bottom"/>
            <w:tcBorders>
              <w:left w:val="single" w:sz="8" w:color="3F000B"/>
              <w:bottom w:val="single" w:sz="8" w:color="3F000B"/>
            </w:tcBorders>
          </w:tcPr>
          <w:p>
            <w:pPr>
              <w:ind w:left="20"/>
              <w:spacing w:after="0"/>
              <w:rPr>
                <w:sz w:val="20"/>
                <w:szCs w:val="20"/>
                <w:color w:val="auto"/>
              </w:rPr>
            </w:pPr>
            <w:r>
              <w:rPr>
                <w:rFonts w:ascii="Arial" w:cs="Arial" w:eastAsia="Arial" w:hAnsi="Arial"/>
                <w:sz w:val="18"/>
                <w:szCs w:val="18"/>
                <w:color w:val="auto"/>
              </w:rPr>
              <w:t>Constellation Brands, Inc.</w:t>
            </w:r>
          </w:p>
        </w:tc>
        <w:tc>
          <w:tcPr>
            <w:tcW w:w="3240" w:type="dxa"/>
            <w:vAlign w:val="bottom"/>
            <w:tcBorders>
              <w:bottom w:val="single" w:sz="8" w:color="3F000B"/>
            </w:tcBorders>
          </w:tcPr>
          <w:p>
            <w:pPr>
              <w:ind w:left="560"/>
              <w:spacing w:after="0"/>
              <w:rPr>
                <w:sz w:val="20"/>
                <w:szCs w:val="20"/>
                <w:color w:val="auto"/>
              </w:rPr>
            </w:pPr>
            <w:r>
              <w:rPr>
                <w:rFonts w:ascii="Arial" w:cs="Arial" w:eastAsia="Arial" w:hAnsi="Arial"/>
                <w:sz w:val="18"/>
                <w:szCs w:val="18"/>
                <w:color w:val="auto"/>
              </w:rPr>
              <w:t>McCormick &amp; Company, Inc.</w:t>
            </w:r>
          </w:p>
        </w:tc>
        <w:tc>
          <w:tcPr>
            <w:tcW w:w="3640" w:type="dxa"/>
            <w:vAlign w:val="bottom"/>
            <w:tcBorders>
              <w:bottom w:val="single" w:sz="8" w:color="3F000B"/>
              <w:right w:val="single" w:sz="8" w:color="3F000B"/>
            </w:tcBorders>
          </w:tcPr>
          <w:p>
            <w:pPr>
              <w:spacing w:after="0"/>
              <w:rPr>
                <w:sz w:val="19"/>
                <w:szCs w:val="19"/>
                <w:color w:val="auto"/>
              </w:rPr>
            </w:pPr>
          </w:p>
        </w:tc>
      </w:tr>
    </w:tbl>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Compensation Committee selected these companies after reviewing publicly-held companies offering products/services similar to ours, with annual revenues within a range of approximately one-third to three times our annual revenue (with the exception of Mondelez International who is outside of this range and whom we also consider a peer company for executive talent) and market capitalization within a reasonable range of our market capitalization. As compared to the 2020 Compensation Peer Group, Hershey’s 2019 revenue of $7.8 billion and market capitalization of $28.0 billion were at the 23rd and 63rd percentiles, respectively. All of the companies in our 2019 Compensation Peer Group were included in our 2020 Compensation Peer Group.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895" w:right="379" w:bottom="1440" w:gutter="0" w:footer="0" w:header="0"/>
        </w:sectPr>
      </w:pPr>
    </w:p>
    <w:bookmarkStart w:id="58" w:name="page59"/>
    <w:bookmarkEnd w:id="58"/>
    <w:p>
      <w:pPr>
        <w:ind w:right="40"/>
        <w:spacing w:after="0" w:line="263" w:lineRule="auto"/>
        <w:rPr>
          <w:sz w:val="20"/>
          <w:szCs w:val="20"/>
          <w:color w:val="auto"/>
        </w:rPr>
      </w:pPr>
      <w:r>
        <w:rPr>
          <w:rFonts w:ascii="Arial" w:cs="Arial" w:eastAsia="Arial" w:hAnsi="Arial"/>
          <w:sz w:val="18"/>
          <w:szCs w:val="18"/>
          <w:color w:val="auto"/>
        </w:rPr>
        <w:t>Data from the 2020 Compensation Peer Group was supplemented by composite data from consumer products and general industry companies of comparable size. The survey composite data provided us with broader, industry-specific information regarding pay levels at consumer products and general industry companies for positions similar to those held by our NEOs.</w:t>
      </w:r>
    </w:p>
    <w:p>
      <w:pPr>
        <w:spacing w:after="0" w:line="13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Compensation Committee reviewed a report summarizing target total direct compensation (base salary plus target annual incentive plus target long-term incentive) levels at the 25th, 50th and 75th percentiles of the 2020 Compensation Peer Group and the survey composite data for positions comparable to those held by each of our NEOs. Hershey targets total direct compensation for its executive officers, in aggregate, at competitive pay levels using the median of our peer group for reference. Positioning varies by job, and the Compensation Committee considers a number of factors including market competitiveness, specific duties and responsibilities of the executive versus those of peers, experience and succession planning. The Compensation Committee believes it is appropriate to reward the executive management team with compensation above or below the competitive median if the financial targets associated with its variable pay programs are above or below target, respectively.</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2020, the Compensation Committee received detailed tally sheets prepared by management. Each tally sheet captures comprehensive compensation, benefits and stock ownership data. The tally sheets provide the Compensation Committee with a complete picture of each executive’s current and projected compensation and the amount of each element of compensation or other benefit the executive would receive in the event of voluntary or involuntary termination, retirement, disability, death, or upon change in control. The Compensation Committee considers this information, as well as the benchmark information, when making compensation decisions.</w: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6098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9850" cy="8890"/>
                    </a:xfrm>
                    <a:prstGeom prst="rect">
                      <a:avLst/>
                    </a:prstGeom>
                    <a:noFill/>
                  </pic:spPr>
                </pic:pic>
              </a:graphicData>
            </a:graphic>
          </wp:anchor>
        </w:drawing>
      </w:r>
    </w:p>
    <w:p>
      <w:pPr>
        <w:spacing w:after="0" w:line="9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 salary for each NEO is determined by considering the relative importance of the position, the competitive marketplace and the individual’s performance, responsibilities and experience. Salary reviews are generally conducted annually at the beginning of the year. Each NEO’s base salary is compared to internal and external references. Base salary adjustments, if any, are made after considering market references, Company performance against financial goals and individual performance. CEO performance is evaluated by the Compensation Committee and independent members of the Board. The CEO evaluates the performance of her direct reports, including all NEOs, and reviews her recommendations for salary adjustments with the Compensation Committee prior to its approval of the base salary for each NEO. If a NEO has responsibility for a particular business unit, the business unit’s financial results also will be strongly considered.</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the basis of the foregoing considerations, the Compensation Committee, and all independent directors in the case of our CEO, approved base salaries for 2020 as follows:</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40" w:type="dxa"/>
            <w:vAlign w:val="bottom"/>
            <w:tcBorders>
              <w:top w:val="single" w:sz="8" w:color="3F000B"/>
              <w:left w:val="single" w:sz="8" w:color="3F000B"/>
              <w:right w:val="single" w:sz="8" w:color="DADADA"/>
            </w:tcBorders>
            <w:shd w:val="clear" w:color="auto" w:fill="3F000B"/>
          </w:tcPr>
          <w:p>
            <w:pPr>
              <w:spacing w:after="0"/>
              <w:rPr>
                <w:sz w:val="18"/>
                <w:szCs w:val="18"/>
                <w:color w:val="auto"/>
              </w:rPr>
            </w:pPr>
          </w:p>
        </w:tc>
        <w:tc>
          <w:tcPr>
            <w:tcW w:w="2100" w:type="dxa"/>
            <w:vAlign w:val="bottom"/>
            <w:tcBorders>
              <w:top w:val="single" w:sz="8" w:color="3F000B"/>
            </w:tcBorders>
            <w:shd w:val="clear" w:color="auto" w:fill="3F000B"/>
          </w:tcPr>
          <w:p>
            <w:pPr>
              <w:jc w:val="right"/>
              <w:ind w:right="310"/>
              <w:spacing w:after="0"/>
              <w:rPr>
                <w:sz w:val="20"/>
                <w:szCs w:val="20"/>
                <w:color w:val="auto"/>
              </w:rPr>
            </w:pPr>
            <w:r>
              <w:rPr>
                <w:rFonts w:ascii="Arial" w:cs="Arial" w:eastAsia="Arial" w:hAnsi="Arial"/>
                <w:sz w:val="18"/>
                <w:szCs w:val="18"/>
                <w:b w:val="1"/>
                <w:bCs w:val="1"/>
                <w:color w:val="FFFFFF"/>
              </w:rPr>
              <w:t>2020</w:t>
            </w:r>
          </w:p>
        </w:tc>
        <w:tc>
          <w:tcPr>
            <w:tcW w:w="960" w:type="dxa"/>
            <w:vAlign w:val="bottom"/>
            <w:tcBorders>
              <w:top w:val="single" w:sz="8" w:color="3F000B"/>
              <w:right w:val="single" w:sz="8" w:color="DADADA"/>
            </w:tcBorders>
            <w:shd w:val="clear" w:color="auto" w:fill="3F000B"/>
          </w:tcPr>
          <w:p>
            <w:pPr>
              <w:spacing w:after="0"/>
              <w:rPr>
                <w:sz w:val="18"/>
                <w:szCs w:val="18"/>
                <w:color w:val="auto"/>
              </w:rPr>
            </w:pPr>
          </w:p>
        </w:tc>
        <w:tc>
          <w:tcPr>
            <w:tcW w:w="308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Increase</w:t>
            </w:r>
          </w:p>
        </w:tc>
      </w:tr>
      <w:tr>
        <w:trPr>
          <w:trHeight w:val="216"/>
        </w:trPr>
        <w:tc>
          <w:tcPr>
            <w:tcW w:w="4640" w:type="dxa"/>
            <w:vAlign w:val="bottom"/>
            <w:tcBorders>
              <w:left w:val="single" w:sz="8" w:color="3F000B"/>
              <w:right w:val="single" w:sz="8" w:color="DADADA"/>
            </w:tcBorders>
            <w:shd w:val="clear" w:color="auto" w:fill="3F000B"/>
          </w:tcPr>
          <w:p>
            <w:pPr>
              <w:spacing w:after="0"/>
              <w:rPr>
                <w:sz w:val="18"/>
                <w:szCs w:val="18"/>
                <w:color w:val="auto"/>
              </w:rPr>
            </w:pPr>
          </w:p>
        </w:tc>
        <w:tc>
          <w:tcPr>
            <w:tcW w:w="2100" w:type="dxa"/>
            <w:vAlign w:val="bottom"/>
            <w:shd w:val="clear" w:color="auto" w:fill="3F000B"/>
          </w:tcPr>
          <w:p>
            <w:pPr>
              <w:ind w:left="1060"/>
              <w:spacing w:after="0"/>
              <w:rPr>
                <w:sz w:val="20"/>
                <w:szCs w:val="20"/>
                <w:color w:val="auto"/>
              </w:rPr>
            </w:pPr>
            <w:r>
              <w:rPr>
                <w:rFonts w:ascii="Arial" w:cs="Arial" w:eastAsia="Arial" w:hAnsi="Arial"/>
                <w:sz w:val="18"/>
                <w:szCs w:val="18"/>
                <w:b w:val="1"/>
                <w:bCs w:val="1"/>
                <w:color w:val="FFFFFF"/>
                <w:w w:val="99"/>
              </w:rPr>
              <w:t>Base Salary</w:t>
            </w:r>
          </w:p>
        </w:tc>
        <w:tc>
          <w:tcPr>
            <w:tcW w:w="960" w:type="dxa"/>
            <w:vAlign w:val="bottom"/>
            <w:tcBorders>
              <w:right w:val="single" w:sz="8" w:color="DADADA"/>
            </w:tcBorders>
            <w:shd w:val="clear" w:color="auto" w:fill="3F000B"/>
          </w:tcPr>
          <w:p>
            <w:pPr>
              <w:spacing w:after="0"/>
              <w:rPr>
                <w:sz w:val="18"/>
                <w:szCs w:val="18"/>
                <w:color w:val="auto"/>
              </w:rPr>
            </w:pPr>
          </w:p>
        </w:tc>
        <w:tc>
          <w:tcPr>
            <w:tcW w:w="30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from 2019</w:t>
            </w:r>
          </w:p>
        </w:tc>
      </w:tr>
      <w:tr>
        <w:trPr>
          <w:trHeight w:val="268"/>
        </w:trPr>
        <w:tc>
          <w:tcPr>
            <w:tcW w:w="4640" w:type="dxa"/>
            <w:vAlign w:val="bottom"/>
            <w:tcBorders>
              <w:left w:val="single" w:sz="8" w:color="3F000B"/>
              <w:bottom w:val="single" w:sz="8" w:color="3F000B"/>
              <w:right w:val="single" w:sz="8" w:color="DADADA"/>
            </w:tcBorders>
            <w:shd w:val="clear" w:color="auto" w:fill="3F000B"/>
          </w:tcPr>
          <w:p>
            <w:pPr>
              <w:ind w:left="2080"/>
              <w:spacing w:after="0"/>
              <w:rPr>
                <w:sz w:val="20"/>
                <w:szCs w:val="20"/>
                <w:color w:val="auto"/>
              </w:rPr>
            </w:pPr>
            <w:r>
              <w:rPr>
                <w:rFonts w:ascii="Arial" w:cs="Arial" w:eastAsia="Arial" w:hAnsi="Arial"/>
                <w:sz w:val="18"/>
                <w:szCs w:val="18"/>
                <w:b w:val="1"/>
                <w:bCs w:val="1"/>
                <w:color w:val="FFFFFF"/>
              </w:rPr>
              <w:t>Name</w:t>
            </w:r>
          </w:p>
        </w:tc>
        <w:tc>
          <w:tcPr>
            <w:tcW w:w="2100" w:type="dxa"/>
            <w:vAlign w:val="bottom"/>
            <w:tcBorders>
              <w:bottom w:val="single" w:sz="8" w:color="3F000B"/>
            </w:tcBorders>
            <w:shd w:val="clear" w:color="auto" w:fill="3F000B"/>
          </w:tcPr>
          <w:p>
            <w:pPr>
              <w:jc w:val="right"/>
              <w:ind w:right="390"/>
              <w:spacing w:after="0"/>
              <w:rPr>
                <w:sz w:val="20"/>
                <w:szCs w:val="20"/>
                <w:color w:val="auto"/>
              </w:rPr>
            </w:pPr>
            <w:r>
              <w:rPr>
                <w:rFonts w:ascii="Arial" w:cs="Arial" w:eastAsia="Arial" w:hAnsi="Arial"/>
                <w:sz w:val="18"/>
                <w:szCs w:val="18"/>
                <w:b w:val="1"/>
                <w:bCs w:val="1"/>
                <w:color w:val="FFFFFF"/>
              </w:rPr>
              <w:t>($)</w:t>
            </w:r>
          </w:p>
        </w:tc>
        <w:tc>
          <w:tcPr>
            <w:tcW w:w="960" w:type="dxa"/>
            <w:vAlign w:val="bottom"/>
            <w:tcBorders>
              <w:bottom w:val="single" w:sz="8" w:color="3F000B"/>
              <w:right w:val="single" w:sz="8" w:color="DADADA"/>
            </w:tcBorders>
            <w:shd w:val="clear" w:color="auto" w:fill="3F000B"/>
          </w:tcPr>
          <w:p>
            <w:pPr>
              <w:spacing w:after="0"/>
              <w:rPr>
                <w:sz w:val="23"/>
                <w:szCs w:val="23"/>
                <w:color w:val="auto"/>
              </w:rPr>
            </w:pPr>
          </w:p>
        </w:tc>
        <w:tc>
          <w:tcPr>
            <w:tcW w:w="308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rPr>
              <w:t>(%)</w:t>
            </w:r>
          </w:p>
        </w:tc>
      </w:tr>
      <w:tr>
        <w:trPr>
          <w:trHeight w:val="230"/>
        </w:trPr>
        <w:tc>
          <w:tcPr>
            <w:tcW w:w="46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2100" w:type="dxa"/>
            <w:vAlign w:val="bottom"/>
          </w:tcPr>
          <w:p>
            <w:pPr>
              <w:spacing w:after="0"/>
              <w:rPr>
                <w:sz w:val="19"/>
                <w:szCs w:val="19"/>
                <w:color w:val="auto"/>
              </w:rPr>
            </w:pP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1,202,000</w:t>
            </w:r>
          </w:p>
        </w:tc>
        <w:tc>
          <w:tcPr>
            <w:tcW w:w="30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64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2100" w:type="dxa"/>
            <w:vAlign w:val="bottom"/>
            <w:shd w:val="clear" w:color="auto" w:fill="DADADA"/>
          </w:tcPr>
          <w:p>
            <w:pPr>
              <w:spacing w:after="0"/>
              <w:rPr>
                <w:sz w:val="19"/>
                <w:szCs w:val="19"/>
                <w:color w:val="auto"/>
              </w:rPr>
            </w:pP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675,000</w:t>
            </w:r>
          </w:p>
        </w:tc>
        <w:tc>
          <w:tcPr>
            <w:tcW w:w="308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4640" w:type="dxa"/>
            <w:vAlign w:val="bottom"/>
            <w:tcBorders>
              <w:left w:val="single" w:sz="8" w:color="3F000B"/>
              <w:right w:val="single" w:sz="8" w:color="3F000B"/>
            </w:tcBorders>
          </w:tcPr>
          <w:p>
            <w:pPr>
              <w:ind w:left="40"/>
              <w:spacing w:after="0" w:line="230" w:lineRule="exact"/>
              <w:rPr>
                <w:sz w:val="20"/>
                <w:szCs w:val="20"/>
                <w:color w:val="auto"/>
              </w:rPr>
            </w:pPr>
            <w:r>
              <w:rPr>
                <w:rFonts w:ascii="Arial" w:cs="Arial" w:eastAsia="Arial" w:hAnsi="Arial"/>
                <w:sz w:val="18"/>
                <w:szCs w:val="18"/>
                <w:color w:val="auto"/>
              </w:rPr>
              <w:t>Mr. Raup</w:t>
            </w:r>
            <w:r>
              <w:rPr>
                <w:rFonts w:ascii="Arial" w:cs="Arial" w:eastAsia="Arial" w:hAnsi="Arial"/>
                <w:sz w:val="23"/>
                <w:szCs w:val="23"/>
                <w:color w:val="auto"/>
                <w:vertAlign w:val="superscript"/>
              </w:rPr>
              <w:t>(1)</w:t>
            </w:r>
          </w:p>
        </w:tc>
        <w:tc>
          <w:tcPr>
            <w:tcW w:w="2100" w:type="dxa"/>
            <w:vAlign w:val="bottom"/>
          </w:tcPr>
          <w:p>
            <w:pPr>
              <w:spacing w:after="0"/>
              <w:rPr>
                <w:sz w:val="19"/>
                <w:szCs w:val="19"/>
                <w:color w:val="auto"/>
              </w:rPr>
            </w:pP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500,000</w:t>
            </w:r>
          </w:p>
        </w:tc>
        <w:tc>
          <w:tcPr>
            <w:tcW w:w="30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464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2100" w:type="dxa"/>
            <w:vAlign w:val="bottom"/>
            <w:shd w:val="clear" w:color="auto" w:fill="DADADA"/>
          </w:tcPr>
          <w:p>
            <w:pPr>
              <w:spacing w:after="0"/>
              <w:rPr>
                <w:sz w:val="19"/>
                <w:szCs w:val="19"/>
                <w:color w:val="auto"/>
              </w:rPr>
            </w:pP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513,000</w:t>
            </w:r>
          </w:p>
        </w:tc>
        <w:tc>
          <w:tcPr>
            <w:tcW w:w="308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6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2100" w:type="dxa"/>
            <w:vAlign w:val="bottom"/>
          </w:tcPr>
          <w:p>
            <w:pPr>
              <w:spacing w:after="0"/>
              <w:rPr>
                <w:sz w:val="19"/>
                <w:szCs w:val="19"/>
                <w:color w:val="auto"/>
              </w:rPr>
            </w:pP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589,050</w:t>
            </w:r>
          </w:p>
        </w:tc>
        <w:tc>
          <w:tcPr>
            <w:tcW w:w="30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64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Walling</w:t>
            </w:r>
          </w:p>
        </w:tc>
        <w:tc>
          <w:tcPr>
            <w:tcW w:w="2100" w:type="dxa"/>
            <w:vAlign w:val="bottom"/>
            <w:shd w:val="clear" w:color="auto" w:fill="DADADA"/>
          </w:tcPr>
          <w:p>
            <w:pPr>
              <w:spacing w:after="0"/>
              <w:rPr>
                <w:sz w:val="19"/>
                <w:szCs w:val="19"/>
                <w:color w:val="auto"/>
              </w:rPr>
            </w:pP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532,080</w:t>
            </w:r>
          </w:p>
        </w:tc>
        <w:tc>
          <w:tcPr>
            <w:tcW w:w="308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West</w:t>
            </w:r>
          </w:p>
        </w:tc>
        <w:tc>
          <w:tcPr>
            <w:tcW w:w="2100" w:type="dxa"/>
            <w:vAlign w:val="bottom"/>
            <w:tcBorders>
              <w:bottom w:val="single" w:sz="8" w:color="3F000B"/>
            </w:tcBorders>
          </w:tcPr>
          <w:p>
            <w:pPr>
              <w:spacing w:after="0"/>
              <w:rPr>
                <w:sz w:val="19"/>
                <w:szCs w:val="19"/>
                <w:color w:val="auto"/>
              </w:rPr>
            </w:pPr>
          </w:p>
        </w:tc>
        <w:tc>
          <w:tcPr>
            <w:tcW w:w="960" w:type="dxa"/>
            <w:vAlign w:val="bottom"/>
            <w:tcBorders>
              <w:bottom w:val="single" w:sz="8" w:color="3F000B"/>
              <w:right w:val="single" w:sz="8" w:color="3F000B"/>
            </w:tcBorders>
          </w:tcPr>
          <w:p>
            <w:pPr>
              <w:jc w:val="right"/>
              <w:ind w:right="10"/>
              <w:spacing w:after="0"/>
              <w:rPr>
                <w:sz w:val="20"/>
                <w:szCs w:val="20"/>
                <w:color w:val="auto"/>
              </w:rPr>
            </w:pPr>
            <w:r>
              <w:rPr>
                <w:rFonts w:ascii="Arial" w:cs="Arial" w:eastAsia="Arial" w:hAnsi="Arial"/>
                <w:sz w:val="18"/>
                <w:szCs w:val="18"/>
                <w:color w:val="auto"/>
              </w:rPr>
              <w:t>703,020</w:t>
            </w:r>
          </w:p>
        </w:tc>
        <w:tc>
          <w:tcPr>
            <w:tcW w:w="308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rPr>
              <w:t>—</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20" w:hanging="312"/>
        <w:spacing w:after="0"/>
        <w:tabs>
          <w:tab w:leader="none" w:pos="3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Mr. Raup was promoted into the President, U.S. role effective January 1, 2020.</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See Column (c) of the 2020 Summary Compensation Table for information regarding the base salary earned by each of our NEOs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057"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3F000B"/>
        </w:rPr>
        <w:t>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8460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1"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Our NEOs are eligible to receive an annual cash incentive award under the OHIP. The OHIP links the NEO’s annual payout opportunity to measures he or she can affect most directly. For 2020, our CEO and all employees reporting directly to her, including the NEOs, had common financial objectives tied to total Company performance consistent with their responsibility to manage the entire Company. Total Company performance targets are established in the context of our announced expectations for financial performance, prior year results and market conditions.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2020, our NEOs were eligible to earn individual OHIP awards as follows: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940" w:type="dxa"/>
            <w:vAlign w:val="bottom"/>
            <w:tcBorders>
              <w:top w:val="single" w:sz="8" w:color="3F000B"/>
              <w:left w:val="single" w:sz="8" w:color="3F000B"/>
              <w:right w:val="single" w:sz="8" w:color="DADADA"/>
            </w:tcBorders>
            <w:shd w:val="clear" w:color="auto" w:fill="3F000B"/>
          </w:tcPr>
          <w:p>
            <w:pPr>
              <w:spacing w:after="0"/>
              <w:rPr>
                <w:sz w:val="20"/>
                <w:szCs w:val="20"/>
                <w:color w:val="auto"/>
              </w:rPr>
            </w:pPr>
          </w:p>
        </w:tc>
        <w:tc>
          <w:tcPr>
            <w:tcW w:w="5020" w:type="dxa"/>
            <w:vAlign w:val="bottom"/>
            <w:tcBorders>
              <w:top w:val="single" w:sz="8" w:color="3F000B"/>
              <w:right w:val="single" w:sz="8" w:color="3F000B"/>
            </w:tcBorders>
            <w:shd w:val="clear" w:color="auto" w:fill="3F000B"/>
          </w:tcPr>
          <w:p>
            <w:pPr>
              <w:jc w:val="right"/>
              <w:ind w:right="1730"/>
              <w:spacing w:after="0"/>
              <w:rPr>
                <w:sz w:val="20"/>
                <w:szCs w:val="20"/>
                <w:color w:val="auto"/>
              </w:rPr>
            </w:pPr>
            <w:r>
              <w:rPr>
                <w:rFonts w:ascii="Arial" w:cs="Arial" w:eastAsia="Arial" w:hAnsi="Arial"/>
                <w:sz w:val="18"/>
                <w:szCs w:val="18"/>
                <w:b w:val="1"/>
                <w:bCs w:val="1"/>
                <w:color w:val="FFFFFF"/>
              </w:rPr>
              <w:t>2020 Target OHIP</w:t>
            </w:r>
          </w:p>
        </w:tc>
      </w:tr>
      <w:tr>
        <w:trPr>
          <w:trHeight w:val="234"/>
        </w:trPr>
        <w:tc>
          <w:tcPr>
            <w:tcW w:w="5940" w:type="dxa"/>
            <w:vAlign w:val="bottom"/>
            <w:tcBorders>
              <w:left w:val="single" w:sz="8" w:color="3F000B"/>
              <w:right w:val="single" w:sz="8" w:color="DADADA"/>
            </w:tcBorders>
            <w:shd w:val="clear" w:color="auto" w:fill="3F000B"/>
          </w:tcPr>
          <w:p>
            <w:pPr>
              <w:ind w:left="2740"/>
              <w:spacing w:after="0"/>
              <w:rPr>
                <w:sz w:val="20"/>
                <w:szCs w:val="20"/>
                <w:color w:val="auto"/>
              </w:rPr>
            </w:pPr>
            <w:r>
              <w:rPr>
                <w:rFonts w:ascii="Arial" w:cs="Arial" w:eastAsia="Arial" w:hAnsi="Arial"/>
                <w:sz w:val="18"/>
                <w:szCs w:val="18"/>
                <w:b w:val="1"/>
                <w:bCs w:val="1"/>
                <w:color w:val="FFFFFF"/>
              </w:rPr>
              <w:t>Name</w:t>
            </w:r>
          </w:p>
        </w:tc>
        <w:tc>
          <w:tcPr>
            <w:tcW w:w="5020" w:type="dxa"/>
            <w:vAlign w:val="bottom"/>
            <w:tcBorders>
              <w:right w:val="single" w:sz="8" w:color="3F000B"/>
            </w:tcBorders>
            <w:shd w:val="clear" w:color="auto" w:fill="3F000B"/>
          </w:tcPr>
          <w:p>
            <w:pPr>
              <w:jc w:val="right"/>
              <w:ind w:right="1710"/>
              <w:spacing w:after="0"/>
              <w:rPr>
                <w:sz w:val="20"/>
                <w:szCs w:val="20"/>
                <w:color w:val="auto"/>
              </w:rPr>
            </w:pPr>
            <w:r>
              <w:rPr>
                <w:rFonts w:ascii="Arial" w:cs="Arial" w:eastAsia="Arial" w:hAnsi="Arial"/>
                <w:sz w:val="18"/>
                <w:szCs w:val="18"/>
                <w:b w:val="1"/>
                <w:bCs w:val="1"/>
                <w:color w:val="FFFFFF"/>
              </w:rPr>
              <w:t>(% of Base Salary)</w:t>
            </w:r>
          </w:p>
        </w:tc>
      </w:tr>
      <w:tr>
        <w:trPr>
          <w:trHeight w:val="81"/>
        </w:trPr>
        <w:tc>
          <w:tcPr>
            <w:tcW w:w="5940" w:type="dxa"/>
            <w:vAlign w:val="bottom"/>
            <w:tcBorders>
              <w:left w:val="single" w:sz="8" w:color="3F000B"/>
              <w:right w:val="single" w:sz="8" w:color="DADADA"/>
            </w:tcBorders>
            <w:shd w:val="clear" w:color="auto" w:fill="3F000B"/>
          </w:tcPr>
          <w:p>
            <w:pPr>
              <w:spacing w:after="0"/>
              <w:rPr>
                <w:sz w:val="7"/>
                <w:szCs w:val="7"/>
                <w:color w:val="auto"/>
              </w:rPr>
            </w:pPr>
          </w:p>
        </w:tc>
        <w:tc>
          <w:tcPr>
            <w:tcW w:w="5020" w:type="dxa"/>
            <w:vAlign w:val="bottom"/>
            <w:tcBorders>
              <w:right w:val="single" w:sz="8" w:color="3F000B"/>
            </w:tcBorders>
            <w:shd w:val="clear" w:color="auto" w:fill="3F000B"/>
          </w:tcPr>
          <w:p>
            <w:pPr>
              <w:spacing w:after="0"/>
              <w:rPr>
                <w:sz w:val="7"/>
                <w:szCs w:val="7"/>
                <w:color w:val="auto"/>
              </w:rPr>
            </w:pPr>
          </w:p>
        </w:tc>
      </w:tr>
      <w:tr>
        <w:trPr>
          <w:trHeight w:val="243"/>
        </w:trPr>
        <w:tc>
          <w:tcPr>
            <w:tcW w:w="59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5020" w:type="dxa"/>
            <w:vAlign w:val="bottom"/>
            <w:tcBorders>
              <w:right w:val="single" w:sz="8" w:color="3F000B"/>
            </w:tcBorders>
          </w:tcPr>
          <w:p>
            <w:pPr>
              <w:jc w:val="right"/>
              <w:ind w:right="930"/>
              <w:spacing w:after="0"/>
              <w:rPr>
                <w:sz w:val="20"/>
                <w:szCs w:val="20"/>
                <w:color w:val="auto"/>
              </w:rPr>
            </w:pPr>
            <w:r>
              <w:rPr>
                <w:rFonts w:ascii="Arial" w:cs="Arial" w:eastAsia="Arial" w:hAnsi="Arial"/>
                <w:sz w:val="18"/>
                <w:szCs w:val="18"/>
                <w:color w:val="auto"/>
              </w:rPr>
              <w:t>150</w:t>
            </w:r>
          </w:p>
        </w:tc>
      </w:tr>
      <w:tr>
        <w:trPr>
          <w:trHeight w:val="27"/>
        </w:trPr>
        <w:tc>
          <w:tcPr>
            <w:tcW w:w="5940" w:type="dxa"/>
            <w:vAlign w:val="bottom"/>
            <w:tcBorders>
              <w:left w:val="single" w:sz="8" w:color="3F000B"/>
              <w:right w:val="single" w:sz="8" w:color="3F000B"/>
            </w:tcBorders>
          </w:tcPr>
          <w:p>
            <w:pPr>
              <w:spacing w:after="0"/>
              <w:rPr>
                <w:sz w:val="2"/>
                <w:szCs w:val="2"/>
                <w:color w:val="auto"/>
              </w:rPr>
            </w:pPr>
          </w:p>
        </w:tc>
        <w:tc>
          <w:tcPr>
            <w:tcW w:w="5020" w:type="dxa"/>
            <w:vAlign w:val="bottom"/>
            <w:tcBorders>
              <w:right w:val="single" w:sz="8" w:color="3F000B"/>
            </w:tcBorders>
          </w:tcPr>
          <w:p>
            <w:pPr>
              <w:spacing w:after="0"/>
              <w:rPr>
                <w:sz w:val="2"/>
                <w:szCs w:val="2"/>
                <w:color w:val="auto"/>
              </w:rPr>
            </w:pPr>
          </w:p>
        </w:tc>
      </w:tr>
      <w:tr>
        <w:trPr>
          <w:trHeight w:val="250"/>
        </w:trPr>
        <w:tc>
          <w:tcPr>
            <w:tcW w:w="59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5020" w:type="dxa"/>
            <w:vAlign w:val="bottom"/>
            <w:tcBorders>
              <w:bottom w:val="single" w:sz="8" w:color="DADADA"/>
              <w:right w:val="single" w:sz="8" w:color="3F000B"/>
            </w:tcBorders>
            <w:shd w:val="clear" w:color="auto" w:fill="DADADA"/>
          </w:tcPr>
          <w:p>
            <w:pPr>
              <w:jc w:val="right"/>
              <w:ind w:right="930"/>
              <w:spacing w:after="0"/>
              <w:rPr>
                <w:sz w:val="20"/>
                <w:szCs w:val="20"/>
                <w:color w:val="auto"/>
              </w:rPr>
            </w:pPr>
            <w:r>
              <w:rPr>
                <w:rFonts w:ascii="Arial" w:cs="Arial" w:eastAsia="Arial" w:hAnsi="Arial"/>
                <w:sz w:val="18"/>
                <w:szCs w:val="18"/>
                <w:color w:val="auto"/>
              </w:rPr>
              <w:t>85</w:t>
            </w:r>
          </w:p>
        </w:tc>
      </w:tr>
      <w:tr>
        <w:trPr>
          <w:trHeight w:val="270"/>
        </w:trPr>
        <w:tc>
          <w:tcPr>
            <w:tcW w:w="59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5020" w:type="dxa"/>
            <w:vAlign w:val="bottom"/>
            <w:tcBorders>
              <w:right w:val="single" w:sz="8" w:color="3F000B"/>
            </w:tcBorders>
          </w:tcPr>
          <w:p>
            <w:pPr>
              <w:jc w:val="right"/>
              <w:ind w:right="930"/>
              <w:spacing w:after="0"/>
              <w:rPr>
                <w:sz w:val="20"/>
                <w:szCs w:val="20"/>
                <w:color w:val="auto"/>
              </w:rPr>
            </w:pPr>
            <w:r>
              <w:rPr>
                <w:rFonts w:ascii="Arial" w:cs="Arial" w:eastAsia="Arial" w:hAnsi="Arial"/>
                <w:sz w:val="18"/>
                <w:szCs w:val="18"/>
                <w:color w:val="auto"/>
              </w:rPr>
              <w:t>70</w:t>
            </w:r>
          </w:p>
        </w:tc>
      </w:tr>
      <w:tr>
        <w:trPr>
          <w:trHeight w:val="250"/>
        </w:trPr>
        <w:tc>
          <w:tcPr>
            <w:tcW w:w="59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5020" w:type="dxa"/>
            <w:vAlign w:val="bottom"/>
            <w:tcBorders>
              <w:bottom w:val="single" w:sz="8" w:color="DADADA"/>
              <w:right w:val="single" w:sz="8" w:color="3F000B"/>
            </w:tcBorders>
            <w:shd w:val="clear" w:color="auto" w:fill="DADADA"/>
          </w:tcPr>
          <w:p>
            <w:pPr>
              <w:jc w:val="right"/>
              <w:ind w:right="930"/>
              <w:spacing w:after="0"/>
              <w:rPr>
                <w:sz w:val="20"/>
                <w:szCs w:val="20"/>
                <w:color w:val="auto"/>
              </w:rPr>
            </w:pPr>
            <w:r>
              <w:rPr>
                <w:rFonts w:ascii="Arial" w:cs="Arial" w:eastAsia="Arial" w:hAnsi="Arial"/>
                <w:sz w:val="18"/>
                <w:szCs w:val="18"/>
                <w:color w:val="auto"/>
              </w:rPr>
              <w:t>65</w:t>
            </w:r>
          </w:p>
        </w:tc>
      </w:tr>
      <w:tr>
        <w:trPr>
          <w:trHeight w:val="243"/>
        </w:trPr>
        <w:tc>
          <w:tcPr>
            <w:tcW w:w="59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5020" w:type="dxa"/>
            <w:vAlign w:val="bottom"/>
            <w:tcBorders>
              <w:right w:val="single" w:sz="8" w:color="3F000B"/>
            </w:tcBorders>
          </w:tcPr>
          <w:p>
            <w:pPr>
              <w:jc w:val="right"/>
              <w:ind w:right="930"/>
              <w:spacing w:after="0"/>
              <w:rPr>
                <w:sz w:val="20"/>
                <w:szCs w:val="20"/>
                <w:color w:val="auto"/>
              </w:rPr>
            </w:pPr>
            <w:r>
              <w:rPr>
                <w:rFonts w:ascii="Arial" w:cs="Arial" w:eastAsia="Arial" w:hAnsi="Arial"/>
                <w:sz w:val="18"/>
                <w:szCs w:val="18"/>
                <w:color w:val="auto"/>
              </w:rPr>
              <w:t>70</w:t>
            </w:r>
          </w:p>
        </w:tc>
      </w:tr>
      <w:tr>
        <w:trPr>
          <w:trHeight w:val="27"/>
        </w:trPr>
        <w:tc>
          <w:tcPr>
            <w:tcW w:w="5940" w:type="dxa"/>
            <w:vAlign w:val="bottom"/>
            <w:tcBorders>
              <w:left w:val="single" w:sz="8" w:color="3F000B"/>
              <w:right w:val="single" w:sz="8" w:color="3F000B"/>
            </w:tcBorders>
          </w:tcPr>
          <w:p>
            <w:pPr>
              <w:spacing w:after="0"/>
              <w:rPr>
                <w:sz w:val="2"/>
                <w:szCs w:val="2"/>
                <w:color w:val="auto"/>
              </w:rPr>
            </w:pPr>
          </w:p>
        </w:tc>
        <w:tc>
          <w:tcPr>
            <w:tcW w:w="5020" w:type="dxa"/>
            <w:vAlign w:val="bottom"/>
            <w:tcBorders>
              <w:right w:val="single" w:sz="8" w:color="3F000B"/>
            </w:tcBorders>
          </w:tcPr>
          <w:p>
            <w:pPr>
              <w:spacing w:after="0"/>
              <w:rPr>
                <w:sz w:val="2"/>
                <w:szCs w:val="2"/>
                <w:color w:val="auto"/>
              </w:rPr>
            </w:pPr>
          </w:p>
        </w:tc>
      </w:tr>
      <w:tr>
        <w:trPr>
          <w:trHeight w:val="250"/>
        </w:trPr>
        <w:tc>
          <w:tcPr>
            <w:tcW w:w="59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Walling</w:t>
            </w:r>
          </w:p>
        </w:tc>
        <w:tc>
          <w:tcPr>
            <w:tcW w:w="5020" w:type="dxa"/>
            <w:vAlign w:val="bottom"/>
            <w:tcBorders>
              <w:bottom w:val="single" w:sz="8" w:color="DADADA"/>
              <w:right w:val="single" w:sz="8" w:color="3F000B"/>
            </w:tcBorders>
            <w:shd w:val="clear" w:color="auto" w:fill="DADADA"/>
          </w:tcPr>
          <w:p>
            <w:pPr>
              <w:jc w:val="right"/>
              <w:ind w:right="930"/>
              <w:spacing w:after="0"/>
              <w:rPr>
                <w:sz w:val="20"/>
                <w:szCs w:val="20"/>
                <w:color w:val="auto"/>
              </w:rPr>
            </w:pPr>
            <w:r>
              <w:rPr>
                <w:rFonts w:ascii="Arial" w:cs="Arial" w:eastAsia="Arial" w:hAnsi="Arial"/>
                <w:sz w:val="18"/>
                <w:szCs w:val="18"/>
                <w:color w:val="auto"/>
              </w:rPr>
              <w:t>70</w:t>
            </w:r>
          </w:p>
        </w:tc>
      </w:tr>
      <w:tr>
        <w:trPr>
          <w:trHeight w:val="243"/>
        </w:trPr>
        <w:tc>
          <w:tcPr>
            <w:tcW w:w="59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West</w:t>
            </w:r>
          </w:p>
        </w:tc>
        <w:tc>
          <w:tcPr>
            <w:tcW w:w="5020" w:type="dxa"/>
            <w:vAlign w:val="bottom"/>
            <w:tcBorders>
              <w:right w:val="single" w:sz="8" w:color="3F000B"/>
            </w:tcBorders>
          </w:tcPr>
          <w:p>
            <w:pPr>
              <w:jc w:val="right"/>
              <w:ind w:right="930"/>
              <w:spacing w:after="0"/>
              <w:rPr>
                <w:sz w:val="20"/>
                <w:szCs w:val="20"/>
                <w:color w:val="auto"/>
              </w:rPr>
            </w:pPr>
            <w:r>
              <w:rPr>
                <w:rFonts w:ascii="Arial" w:cs="Arial" w:eastAsia="Arial" w:hAnsi="Arial"/>
                <w:sz w:val="18"/>
                <w:szCs w:val="18"/>
                <w:color w:val="auto"/>
              </w:rPr>
              <w:t>80</w:t>
            </w:r>
          </w:p>
        </w:tc>
      </w:tr>
      <w:tr>
        <w:trPr>
          <w:trHeight w:val="27"/>
        </w:trPr>
        <w:tc>
          <w:tcPr>
            <w:tcW w:w="5940" w:type="dxa"/>
            <w:vAlign w:val="bottom"/>
            <w:tcBorders>
              <w:left w:val="single" w:sz="8" w:color="3F000B"/>
              <w:bottom w:val="single" w:sz="8" w:color="3F000B"/>
              <w:right w:val="single" w:sz="8" w:color="3F000B"/>
            </w:tcBorders>
          </w:tcPr>
          <w:p>
            <w:pPr>
              <w:spacing w:after="0"/>
              <w:rPr>
                <w:sz w:val="2"/>
                <w:szCs w:val="2"/>
                <w:color w:val="auto"/>
              </w:rPr>
            </w:pPr>
          </w:p>
        </w:tc>
        <w:tc>
          <w:tcPr>
            <w:tcW w:w="5020" w:type="dxa"/>
            <w:vAlign w:val="bottom"/>
            <w:tcBorders>
              <w:bottom w:val="single" w:sz="8" w:color="3F000B"/>
              <w:right w:val="single" w:sz="8" w:color="3F000B"/>
            </w:tcBorders>
          </w:tcPr>
          <w:p>
            <w:pPr>
              <w:spacing w:after="0"/>
              <w:rPr>
                <w:sz w:val="2"/>
                <w:szCs w:val="2"/>
                <w:color w:val="auto"/>
              </w:rPr>
            </w:pPr>
          </w:p>
        </w:tc>
      </w:tr>
    </w:tbl>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determining the target OHIP percentage for each of the NEOs, the Compensation Committee, and the independent directors in the case of our CEO, considered the value of target total cash compensation against market references. Target total cash compensation levels for each of the NEOs fall within an appropriate range relative to the median for comparable positions given each incumbent’s performance, responsibilities and tenure in the role.</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final OHIP award is determined by multiplying the NEO’s base salary, the applicable target percentage and performance scores ranging from 0% to 200% based on Company performance and, with the exception of Ms. Buck, individual performance. The Company financial performance goals are established at the beginning of each year by the Compensation Committee. Individual performance goals also are established at that time, or at the time of hire if later. If performance scores exceed the target objectives, a NEO may receive an OHIP payout greater than his or her target award value. If performance scores are below the target objectives, the NEO’s OHIP payout will be below his or her target award value, subject to no award if performance is below threshold levels.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2020 OHIP Financial Performance Targets and Results (75% - 100% of Total OHIP)</w:t>
      </w:r>
    </w:p>
    <w:p>
      <w:pPr>
        <w:spacing w:after="0" w:line="1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2020 OHIP financial performance targets, our financial performance results for 2020 and the resulting financial performance scores for OHIP were as follows: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333"/>
        </w:trPr>
        <w:tc>
          <w:tcPr>
            <w:tcW w:w="3000" w:type="dxa"/>
            <w:vAlign w:val="bottom"/>
            <w:tcBorders>
              <w:top w:val="single" w:sz="8" w:color="3F000B"/>
              <w:left w:val="single" w:sz="8" w:color="3F000B"/>
              <w:right w:val="single" w:sz="8" w:color="3F000B"/>
            </w:tcBorders>
            <w:shd w:val="clear" w:color="auto" w:fill="3F000B"/>
          </w:tcPr>
          <w:p>
            <w:pPr>
              <w:spacing w:after="0"/>
              <w:rPr>
                <w:sz w:val="24"/>
                <w:szCs w:val="24"/>
                <w:color w:val="auto"/>
              </w:rPr>
            </w:pPr>
          </w:p>
        </w:tc>
        <w:tc>
          <w:tcPr>
            <w:tcW w:w="2640" w:type="dxa"/>
            <w:vAlign w:val="bottom"/>
            <w:tcBorders>
              <w:top w:val="single" w:sz="8" w:color="3F000B"/>
              <w:right w:val="single" w:sz="8" w:color="DADADA"/>
            </w:tcBorders>
            <w:gridSpan w:val="2"/>
            <w:shd w:val="clear" w:color="auto" w:fill="3F000B"/>
          </w:tcPr>
          <w:p>
            <w:pPr>
              <w:jc w:val="right"/>
              <w:ind w:right="790"/>
              <w:spacing w:after="0"/>
              <w:rPr>
                <w:sz w:val="20"/>
                <w:szCs w:val="20"/>
                <w:color w:val="auto"/>
              </w:rPr>
            </w:pPr>
            <w:r>
              <w:rPr>
                <w:rFonts w:ascii="Arial" w:cs="Arial" w:eastAsia="Arial" w:hAnsi="Arial"/>
                <w:sz w:val="18"/>
                <w:szCs w:val="18"/>
                <w:b w:val="1"/>
                <w:bCs w:val="1"/>
                <w:color w:val="FFFFFF"/>
              </w:rPr>
              <w:t>2020 Target</w:t>
            </w:r>
          </w:p>
        </w:tc>
        <w:tc>
          <w:tcPr>
            <w:tcW w:w="2660" w:type="dxa"/>
            <w:vAlign w:val="bottom"/>
            <w:tcBorders>
              <w:top w:val="single" w:sz="8" w:color="3F000B"/>
              <w:right w:val="single" w:sz="8" w:color="DADADA"/>
            </w:tcBorders>
            <w:gridSpan w:val="2"/>
            <w:shd w:val="clear" w:color="auto" w:fill="3F000B"/>
          </w:tcPr>
          <w:p>
            <w:pPr>
              <w:jc w:val="right"/>
              <w:ind w:right="790"/>
              <w:spacing w:after="0"/>
              <w:rPr>
                <w:sz w:val="20"/>
                <w:szCs w:val="20"/>
                <w:color w:val="auto"/>
              </w:rPr>
            </w:pPr>
            <w:r>
              <w:rPr>
                <w:rFonts w:ascii="Arial" w:cs="Arial" w:eastAsia="Arial" w:hAnsi="Arial"/>
                <w:sz w:val="18"/>
                <w:szCs w:val="18"/>
                <w:b w:val="1"/>
                <w:bCs w:val="1"/>
                <w:color w:val="FFFFFF"/>
              </w:rPr>
              <w:t>2020 Actual</w:t>
            </w:r>
          </w:p>
        </w:tc>
        <w:tc>
          <w:tcPr>
            <w:tcW w:w="128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Target</w:t>
            </w:r>
          </w:p>
        </w:tc>
        <w:tc>
          <w:tcPr>
            <w:tcW w:w="146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0" w:type="dxa"/>
            <w:vAlign w:val="bottom"/>
          </w:tcPr>
          <w:p>
            <w:pPr>
              <w:spacing w:after="0"/>
              <w:rPr>
                <w:sz w:val="1"/>
                <w:szCs w:val="1"/>
                <w:color w:val="auto"/>
              </w:rPr>
            </w:pPr>
          </w:p>
        </w:tc>
      </w:tr>
      <w:tr>
        <w:trPr>
          <w:trHeight w:val="93"/>
        </w:trPr>
        <w:tc>
          <w:tcPr>
            <w:tcW w:w="3000" w:type="dxa"/>
            <w:vAlign w:val="bottom"/>
            <w:tcBorders>
              <w:left w:val="single" w:sz="8" w:color="3F000B"/>
              <w:right w:val="single" w:sz="8" w:color="3F000B"/>
            </w:tcBorders>
            <w:shd w:val="clear" w:color="auto" w:fill="3F000B"/>
          </w:tcPr>
          <w:p>
            <w:pPr>
              <w:spacing w:after="0"/>
              <w:rPr>
                <w:sz w:val="8"/>
                <w:szCs w:val="8"/>
                <w:color w:val="auto"/>
              </w:rPr>
            </w:pPr>
          </w:p>
        </w:tc>
        <w:tc>
          <w:tcPr>
            <w:tcW w:w="1380" w:type="dxa"/>
            <w:vAlign w:val="bottom"/>
            <w:tcBorders>
              <w:right w:val="single" w:sz="8" w:color="3F000B"/>
            </w:tcBorders>
            <w:shd w:val="clear" w:color="auto" w:fill="3F000B"/>
          </w:tcPr>
          <w:p>
            <w:pPr>
              <w:spacing w:after="0"/>
              <w:rPr>
                <w:sz w:val="8"/>
                <w:szCs w:val="8"/>
                <w:color w:val="auto"/>
              </w:rPr>
            </w:pPr>
          </w:p>
        </w:tc>
        <w:tc>
          <w:tcPr>
            <w:tcW w:w="1260" w:type="dxa"/>
            <w:vAlign w:val="bottom"/>
            <w:tcBorders>
              <w:right w:val="single" w:sz="8" w:color="DADADA"/>
            </w:tcBorders>
            <w:shd w:val="clear" w:color="auto" w:fill="3F000B"/>
          </w:tcPr>
          <w:p>
            <w:pPr>
              <w:spacing w:after="0"/>
              <w:rPr>
                <w:sz w:val="8"/>
                <w:szCs w:val="8"/>
                <w:color w:val="auto"/>
              </w:rPr>
            </w:pPr>
          </w:p>
        </w:tc>
        <w:tc>
          <w:tcPr>
            <w:tcW w:w="1400" w:type="dxa"/>
            <w:vAlign w:val="bottom"/>
            <w:tcBorders>
              <w:right w:val="single" w:sz="8" w:color="3F000B"/>
            </w:tcBorders>
            <w:shd w:val="clear" w:color="auto" w:fill="3F000B"/>
          </w:tcPr>
          <w:p>
            <w:pPr>
              <w:spacing w:after="0"/>
              <w:rPr>
                <w:sz w:val="8"/>
                <w:szCs w:val="8"/>
                <w:color w:val="auto"/>
              </w:rPr>
            </w:pPr>
          </w:p>
        </w:tc>
        <w:tc>
          <w:tcPr>
            <w:tcW w:w="1260" w:type="dxa"/>
            <w:vAlign w:val="bottom"/>
            <w:tcBorders>
              <w:right w:val="single" w:sz="8" w:color="DADADA"/>
            </w:tcBorders>
            <w:shd w:val="clear" w:color="auto" w:fill="3F000B"/>
          </w:tcPr>
          <w:p>
            <w:pPr>
              <w:spacing w:after="0"/>
              <w:rPr>
                <w:sz w:val="8"/>
                <w:szCs w:val="8"/>
                <w:color w:val="auto"/>
              </w:rPr>
            </w:pPr>
          </w:p>
        </w:tc>
        <w:tc>
          <w:tcPr>
            <w:tcW w:w="128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4"/>
              </w:rPr>
              <w:t>Award</w:t>
            </w:r>
          </w:p>
        </w:tc>
        <w:tc>
          <w:tcPr>
            <w:tcW w:w="146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83"/>
              </w:rPr>
              <w:t>Score</w:t>
            </w:r>
          </w:p>
        </w:tc>
        <w:tc>
          <w:tcPr>
            <w:tcW w:w="0" w:type="dxa"/>
            <w:vAlign w:val="bottom"/>
          </w:tcPr>
          <w:p>
            <w:pPr>
              <w:spacing w:after="0"/>
              <w:rPr>
                <w:sz w:val="1"/>
                <w:szCs w:val="1"/>
                <w:color w:val="auto"/>
              </w:rPr>
            </w:pPr>
          </w:p>
        </w:tc>
      </w:tr>
      <w:tr>
        <w:trPr>
          <w:trHeight w:val="123"/>
        </w:trPr>
        <w:tc>
          <w:tcPr>
            <w:tcW w:w="3000" w:type="dxa"/>
            <w:vAlign w:val="bottom"/>
            <w:tcBorders>
              <w:left w:val="single" w:sz="8" w:color="3F000B"/>
              <w:right w:val="single" w:sz="8" w:color="3F000B"/>
            </w:tcBorders>
            <w:shd w:val="clear" w:color="auto" w:fill="3F000B"/>
          </w:tcPr>
          <w:p>
            <w:pPr>
              <w:spacing w:after="0"/>
              <w:rPr>
                <w:sz w:val="10"/>
                <w:szCs w:val="10"/>
                <w:color w:val="auto"/>
              </w:rPr>
            </w:pPr>
          </w:p>
        </w:tc>
        <w:tc>
          <w:tcPr>
            <w:tcW w:w="1380" w:type="dxa"/>
            <w:vAlign w:val="bottom"/>
            <w:tcBorders>
              <w:right w:val="single" w:sz="8" w:color="DADADA"/>
            </w:tcBorders>
            <w:shd w:val="clear" w:color="auto" w:fill="3F000B"/>
          </w:tcPr>
          <w:p>
            <w:pPr>
              <w:spacing w:after="0"/>
              <w:rPr>
                <w:sz w:val="10"/>
                <w:szCs w:val="10"/>
                <w:color w:val="auto"/>
              </w:rPr>
            </w:pPr>
          </w:p>
        </w:tc>
        <w:tc>
          <w:tcPr>
            <w:tcW w:w="1260" w:type="dxa"/>
            <w:vAlign w:val="bottom"/>
            <w:tcBorders>
              <w:right w:val="single" w:sz="8" w:color="DADADA"/>
            </w:tcBorders>
            <w:shd w:val="clear" w:color="auto" w:fill="3F000B"/>
          </w:tcPr>
          <w:p>
            <w:pPr>
              <w:spacing w:after="0"/>
              <w:rPr>
                <w:sz w:val="10"/>
                <w:szCs w:val="10"/>
                <w:color w:val="auto"/>
              </w:rPr>
            </w:pPr>
          </w:p>
        </w:tc>
        <w:tc>
          <w:tcPr>
            <w:tcW w:w="1400" w:type="dxa"/>
            <w:vAlign w:val="bottom"/>
            <w:tcBorders>
              <w:right w:val="single" w:sz="8" w:color="DADADA"/>
            </w:tcBorders>
            <w:shd w:val="clear" w:color="auto" w:fill="3F000B"/>
          </w:tcPr>
          <w:p>
            <w:pPr>
              <w:spacing w:after="0"/>
              <w:rPr>
                <w:sz w:val="10"/>
                <w:szCs w:val="10"/>
                <w:color w:val="auto"/>
              </w:rPr>
            </w:pPr>
          </w:p>
        </w:tc>
        <w:tc>
          <w:tcPr>
            <w:tcW w:w="1260" w:type="dxa"/>
            <w:vAlign w:val="bottom"/>
            <w:tcBorders>
              <w:right w:val="single" w:sz="8" w:color="DADADA"/>
            </w:tcBorders>
            <w:shd w:val="clear" w:color="auto" w:fill="3F000B"/>
          </w:tcPr>
          <w:p>
            <w:pPr>
              <w:spacing w:after="0"/>
              <w:rPr>
                <w:sz w:val="10"/>
                <w:szCs w:val="10"/>
                <w:color w:val="auto"/>
              </w:rPr>
            </w:pPr>
          </w:p>
        </w:tc>
        <w:tc>
          <w:tcPr>
            <w:tcW w:w="1280" w:type="dxa"/>
            <w:vAlign w:val="bottom"/>
            <w:tcBorders>
              <w:right w:val="single" w:sz="8" w:color="3F000B"/>
            </w:tcBorders>
            <w:vMerge w:val="continue"/>
            <w:shd w:val="clear" w:color="auto" w:fill="3F000B"/>
          </w:tcPr>
          <w:p>
            <w:pPr>
              <w:spacing w:after="0"/>
              <w:rPr>
                <w:sz w:val="10"/>
                <w:szCs w:val="10"/>
                <w:color w:val="auto"/>
              </w:rPr>
            </w:pPr>
          </w:p>
        </w:tc>
        <w:tc>
          <w:tcPr>
            <w:tcW w:w="1460" w:type="dxa"/>
            <w:vAlign w:val="bottom"/>
            <w:tcBorders>
              <w:right w:val="single" w:sz="8" w:color="3F000B"/>
            </w:tcBorders>
            <w:vMerge w:val="continue"/>
            <w:shd w:val="clear" w:color="auto" w:fill="3F000B"/>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000" w:type="dxa"/>
            <w:vAlign w:val="bottom"/>
            <w:tcBorders>
              <w:left w:val="single" w:sz="8" w:color="3F000B"/>
              <w:right w:val="single" w:sz="8" w:color="3F000B"/>
            </w:tcBorders>
            <w:shd w:val="clear" w:color="auto" w:fill="3F000B"/>
          </w:tcPr>
          <w:p>
            <w:pPr>
              <w:ind w:left="1240"/>
              <w:spacing w:after="0"/>
              <w:rPr>
                <w:sz w:val="20"/>
                <w:szCs w:val="20"/>
                <w:color w:val="auto"/>
              </w:rPr>
            </w:pPr>
            <w:r>
              <w:rPr>
                <w:rFonts w:ascii="Arial" w:cs="Arial" w:eastAsia="Arial" w:hAnsi="Arial"/>
                <w:sz w:val="18"/>
                <w:szCs w:val="18"/>
                <w:b w:val="1"/>
                <w:bCs w:val="1"/>
                <w:color w:val="FFFFFF"/>
              </w:rPr>
              <w:t>Metric</w:t>
            </w:r>
          </w:p>
        </w:tc>
        <w:tc>
          <w:tcPr>
            <w:tcW w:w="1380" w:type="dxa"/>
            <w:vAlign w:val="bottom"/>
            <w:tcBorders>
              <w:right w:val="single" w:sz="8" w:color="DADADA"/>
            </w:tcBorders>
            <w:shd w:val="clear" w:color="auto" w:fill="3F000B"/>
          </w:tcPr>
          <w:p>
            <w:pPr>
              <w:jc w:val="right"/>
              <w:ind w:right="510"/>
              <w:spacing w:after="0"/>
              <w:rPr>
                <w:sz w:val="20"/>
                <w:szCs w:val="20"/>
                <w:color w:val="auto"/>
              </w:rPr>
            </w:pPr>
            <w:r>
              <w:rPr>
                <w:rFonts w:ascii="Arial" w:cs="Arial" w:eastAsia="Arial" w:hAnsi="Arial"/>
                <w:sz w:val="18"/>
                <w:szCs w:val="18"/>
                <w:b w:val="1"/>
                <w:bCs w:val="1"/>
                <w:color w:val="FFFFFF"/>
              </w:rPr>
              <w:t>($)</w:t>
            </w:r>
          </w:p>
        </w:tc>
        <w:tc>
          <w:tcPr>
            <w:tcW w:w="1260" w:type="dxa"/>
            <w:vAlign w:val="bottom"/>
            <w:tcBorders>
              <w:right w:val="single" w:sz="8" w:color="DADADA"/>
            </w:tcBorders>
            <w:shd w:val="clear" w:color="auto" w:fill="3F000B"/>
          </w:tcPr>
          <w:p>
            <w:pPr>
              <w:jc w:val="right"/>
              <w:ind w:right="110"/>
              <w:spacing w:after="0"/>
              <w:rPr>
                <w:sz w:val="20"/>
                <w:szCs w:val="20"/>
                <w:color w:val="auto"/>
              </w:rPr>
            </w:pPr>
            <w:r>
              <w:rPr>
                <w:rFonts w:ascii="Arial" w:cs="Arial" w:eastAsia="Arial" w:hAnsi="Arial"/>
                <w:sz w:val="18"/>
                <w:szCs w:val="18"/>
                <w:b w:val="1"/>
                <w:bCs w:val="1"/>
                <w:color w:val="FFFFFF"/>
              </w:rPr>
              <w:t>(% growth)</w:t>
            </w:r>
          </w:p>
        </w:tc>
        <w:tc>
          <w:tcPr>
            <w:tcW w:w="1400" w:type="dxa"/>
            <w:vAlign w:val="bottom"/>
            <w:tcBorders>
              <w:right w:val="single" w:sz="8" w:color="DADADA"/>
            </w:tcBorders>
            <w:shd w:val="clear" w:color="auto" w:fill="3F000B"/>
          </w:tcPr>
          <w:p>
            <w:pPr>
              <w:jc w:val="right"/>
              <w:ind w:right="550"/>
              <w:spacing w:after="0"/>
              <w:rPr>
                <w:sz w:val="20"/>
                <w:szCs w:val="20"/>
                <w:color w:val="auto"/>
              </w:rPr>
            </w:pPr>
            <w:r>
              <w:rPr>
                <w:rFonts w:ascii="Arial" w:cs="Arial" w:eastAsia="Arial" w:hAnsi="Arial"/>
                <w:sz w:val="18"/>
                <w:szCs w:val="18"/>
                <w:b w:val="1"/>
                <w:bCs w:val="1"/>
                <w:color w:val="FFFFFF"/>
              </w:rPr>
              <w:t>($)</w:t>
            </w:r>
          </w:p>
        </w:tc>
        <w:tc>
          <w:tcPr>
            <w:tcW w:w="1260" w:type="dxa"/>
            <w:vAlign w:val="bottom"/>
            <w:tcBorders>
              <w:right w:val="single" w:sz="8" w:color="DADADA"/>
            </w:tcBorders>
            <w:shd w:val="clear" w:color="auto" w:fill="3F000B"/>
          </w:tcPr>
          <w:p>
            <w:pPr>
              <w:jc w:val="right"/>
              <w:ind w:right="110"/>
              <w:spacing w:after="0"/>
              <w:rPr>
                <w:sz w:val="20"/>
                <w:szCs w:val="20"/>
                <w:color w:val="auto"/>
              </w:rPr>
            </w:pPr>
            <w:r>
              <w:rPr>
                <w:rFonts w:ascii="Arial" w:cs="Arial" w:eastAsia="Arial" w:hAnsi="Arial"/>
                <w:sz w:val="18"/>
                <w:szCs w:val="18"/>
                <w:b w:val="1"/>
                <w:bCs w:val="1"/>
                <w:color w:val="FFFFFF"/>
              </w:rPr>
              <w:t>(% growth)</w:t>
            </w:r>
          </w:p>
        </w:tc>
        <w:tc>
          <w:tcPr>
            <w:tcW w:w="12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rPr>
              <w:t>(%)</w:t>
            </w:r>
          </w:p>
        </w:tc>
        <w:tc>
          <w:tcPr>
            <w:tcW w:w="14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67"/>
        </w:trPr>
        <w:tc>
          <w:tcPr>
            <w:tcW w:w="3000" w:type="dxa"/>
            <w:vAlign w:val="bottom"/>
            <w:tcBorders>
              <w:left w:val="single" w:sz="8" w:color="3F000B"/>
              <w:bottom w:val="single" w:sz="8" w:color="3F000B"/>
              <w:right w:val="single" w:sz="8" w:color="3F000B"/>
            </w:tcBorders>
            <w:shd w:val="clear" w:color="auto" w:fill="3F000B"/>
          </w:tcPr>
          <w:p>
            <w:pPr>
              <w:spacing w:after="0"/>
              <w:rPr>
                <w:sz w:val="5"/>
                <w:szCs w:val="5"/>
                <w:color w:val="auto"/>
              </w:rPr>
            </w:pPr>
          </w:p>
        </w:tc>
        <w:tc>
          <w:tcPr>
            <w:tcW w:w="1380" w:type="dxa"/>
            <w:vAlign w:val="bottom"/>
            <w:tcBorders>
              <w:bottom w:val="single" w:sz="8" w:color="3F000B"/>
              <w:right w:val="single" w:sz="8" w:color="DADADA"/>
            </w:tcBorders>
            <w:shd w:val="clear" w:color="auto" w:fill="3F000B"/>
          </w:tcPr>
          <w:p>
            <w:pPr>
              <w:spacing w:after="0"/>
              <w:rPr>
                <w:sz w:val="5"/>
                <w:szCs w:val="5"/>
                <w:color w:val="auto"/>
              </w:rPr>
            </w:pPr>
          </w:p>
        </w:tc>
        <w:tc>
          <w:tcPr>
            <w:tcW w:w="1260" w:type="dxa"/>
            <w:vAlign w:val="bottom"/>
            <w:tcBorders>
              <w:bottom w:val="single" w:sz="8" w:color="3F000B"/>
              <w:right w:val="single" w:sz="8" w:color="DADADA"/>
            </w:tcBorders>
            <w:shd w:val="clear" w:color="auto" w:fill="3F000B"/>
          </w:tcPr>
          <w:p>
            <w:pPr>
              <w:spacing w:after="0"/>
              <w:rPr>
                <w:sz w:val="5"/>
                <w:szCs w:val="5"/>
                <w:color w:val="auto"/>
              </w:rPr>
            </w:pPr>
          </w:p>
        </w:tc>
        <w:tc>
          <w:tcPr>
            <w:tcW w:w="1400" w:type="dxa"/>
            <w:vAlign w:val="bottom"/>
            <w:tcBorders>
              <w:bottom w:val="single" w:sz="8" w:color="3F000B"/>
              <w:right w:val="single" w:sz="8" w:color="DADADA"/>
            </w:tcBorders>
            <w:shd w:val="clear" w:color="auto" w:fill="3F000B"/>
          </w:tcPr>
          <w:p>
            <w:pPr>
              <w:spacing w:after="0"/>
              <w:rPr>
                <w:sz w:val="5"/>
                <w:szCs w:val="5"/>
                <w:color w:val="auto"/>
              </w:rPr>
            </w:pPr>
          </w:p>
        </w:tc>
        <w:tc>
          <w:tcPr>
            <w:tcW w:w="1260" w:type="dxa"/>
            <w:vAlign w:val="bottom"/>
            <w:tcBorders>
              <w:bottom w:val="single" w:sz="8" w:color="3F000B"/>
              <w:right w:val="single" w:sz="8" w:color="DADADA"/>
            </w:tcBorders>
            <w:shd w:val="clear" w:color="auto" w:fill="3F000B"/>
          </w:tcPr>
          <w:p>
            <w:pPr>
              <w:spacing w:after="0"/>
              <w:rPr>
                <w:sz w:val="5"/>
                <w:szCs w:val="5"/>
                <w:color w:val="auto"/>
              </w:rPr>
            </w:pPr>
          </w:p>
        </w:tc>
        <w:tc>
          <w:tcPr>
            <w:tcW w:w="1280" w:type="dxa"/>
            <w:vAlign w:val="bottom"/>
            <w:tcBorders>
              <w:bottom w:val="single" w:sz="8" w:color="3F000B"/>
              <w:right w:val="single" w:sz="8" w:color="3F000B"/>
            </w:tcBorders>
            <w:shd w:val="clear" w:color="auto" w:fill="3F000B"/>
          </w:tcPr>
          <w:p>
            <w:pPr>
              <w:spacing w:after="0"/>
              <w:rPr>
                <w:sz w:val="5"/>
                <w:szCs w:val="5"/>
                <w:color w:val="auto"/>
              </w:rPr>
            </w:pPr>
          </w:p>
        </w:tc>
        <w:tc>
          <w:tcPr>
            <w:tcW w:w="1460" w:type="dxa"/>
            <w:vAlign w:val="bottom"/>
            <w:tcBorders>
              <w:bottom w:val="single" w:sz="8" w:color="3F000B"/>
              <w:right w:val="single" w:sz="8" w:color="3F000B"/>
            </w:tcBorders>
            <w:shd w:val="clear" w:color="auto" w:fill="3F000B"/>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0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13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8.234 billion</w:t>
            </w:r>
          </w:p>
        </w:tc>
        <w:tc>
          <w:tcPr>
            <w:tcW w:w="12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3.1</w:t>
            </w:r>
          </w:p>
        </w:tc>
        <w:tc>
          <w:tcPr>
            <w:tcW w:w="140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8.199 billion</w:t>
            </w:r>
          </w:p>
        </w:tc>
        <w:tc>
          <w:tcPr>
            <w:tcW w:w="12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2.7</w:t>
            </w:r>
          </w:p>
        </w:tc>
        <w:tc>
          <w:tcPr>
            <w:tcW w:w="12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50.00</w:t>
            </w:r>
          </w:p>
        </w:tc>
        <w:tc>
          <w:tcPr>
            <w:tcW w:w="14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70"/>
        </w:trPr>
        <w:tc>
          <w:tcPr>
            <w:tcW w:w="30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w w:val="93"/>
              </w:rPr>
              <w:t>Adjusted Earnings per Share-Diluted</w:t>
            </w:r>
            <w:r>
              <w:rPr>
                <w:rFonts w:ascii="Arial" w:cs="Arial" w:eastAsia="Arial" w:hAnsi="Arial"/>
                <w:sz w:val="23"/>
                <w:szCs w:val="23"/>
                <w:color w:val="auto"/>
                <w:w w:val="93"/>
                <w:vertAlign w:val="superscript"/>
              </w:rPr>
              <w:t>(2)</w:t>
            </w:r>
          </w:p>
        </w:tc>
        <w:tc>
          <w:tcPr>
            <w:tcW w:w="138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6.19</w:t>
            </w:r>
          </w:p>
        </w:tc>
        <w:tc>
          <w:tcPr>
            <w:tcW w:w="126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7.1</w:t>
            </w:r>
          </w:p>
        </w:tc>
        <w:tc>
          <w:tcPr>
            <w:tcW w:w="140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6.29</w:t>
            </w:r>
          </w:p>
        </w:tc>
        <w:tc>
          <w:tcPr>
            <w:tcW w:w="126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8.8</w:t>
            </w:r>
          </w:p>
        </w:tc>
        <w:tc>
          <w:tcPr>
            <w:tcW w:w="128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25.00</w:t>
            </w:r>
          </w:p>
        </w:tc>
        <w:tc>
          <w:tcPr>
            <w:tcW w:w="146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3000" w:type="dxa"/>
            <w:vAlign w:val="bottom"/>
            <w:tcBorders>
              <w:left w:val="single" w:sz="8" w:color="3F000B"/>
              <w:bottom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EBIT Margin %</w:t>
            </w:r>
            <w:r>
              <w:rPr>
                <w:rFonts w:ascii="Arial" w:cs="Arial" w:eastAsia="Arial" w:hAnsi="Arial"/>
                <w:sz w:val="23"/>
                <w:szCs w:val="23"/>
                <w:color w:val="auto"/>
                <w:vertAlign w:val="superscript"/>
              </w:rPr>
              <w:t>(3)</w:t>
            </w:r>
          </w:p>
        </w:tc>
        <w:tc>
          <w:tcPr>
            <w:tcW w:w="138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rPr>
              <w:t>21.79%</w:t>
            </w:r>
          </w:p>
        </w:tc>
        <w:tc>
          <w:tcPr>
            <w:tcW w:w="126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w w:val="99"/>
              </w:rPr>
              <w:t>65 basis points</w:t>
            </w:r>
          </w:p>
        </w:tc>
        <w:tc>
          <w:tcPr>
            <w:tcW w:w="140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rPr>
              <w:t>22.43%</w:t>
            </w:r>
          </w:p>
        </w:tc>
        <w:tc>
          <w:tcPr>
            <w:tcW w:w="126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w w:val="92"/>
              </w:rPr>
              <w:t>129 basis points</w:t>
            </w:r>
          </w:p>
        </w:tc>
        <w:tc>
          <w:tcPr>
            <w:tcW w:w="1280" w:type="dxa"/>
            <w:vAlign w:val="bottom"/>
            <w:tcBorders>
              <w:bottom w:val="single" w:sz="8" w:color="3F000B"/>
              <w:right w:val="single" w:sz="8" w:color="3F000B"/>
            </w:tcBorders>
          </w:tcPr>
          <w:p>
            <w:pPr>
              <w:jc w:val="right"/>
              <w:ind w:right="10"/>
              <w:spacing w:after="0"/>
              <w:rPr>
                <w:sz w:val="20"/>
                <w:szCs w:val="20"/>
                <w:color w:val="auto"/>
              </w:rPr>
            </w:pPr>
            <w:r>
              <w:rPr>
                <w:rFonts w:ascii="Arial" w:cs="Arial" w:eastAsia="Arial" w:hAnsi="Arial"/>
                <w:sz w:val="18"/>
                <w:szCs w:val="18"/>
                <w:color w:val="auto"/>
              </w:rPr>
              <w:t>25.00</w:t>
            </w:r>
          </w:p>
        </w:tc>
        <w:tc>
          <w:tcPr>
            <w:tcW w:w="1460" w:type="dxa"/>
            <w:vAlign w:val="bottom"/>
            <w:tcBorders>
              <w:bottom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3000" w:type="dxa"/>
            <w:vAlign w:val="bottom"/>
            <w:tcBorders>
              <w:left w:val="single" w:sz="8" w:color="3F000B"/>
              <w:bottom w:val="single" w:sz="8" w:color="DADADA"/>
              <w:right w:val="single" w:sz="8" w:color="DADADA"/>
            </w:tcBorders>
            <w:shd w:val="clear" w:color="auto" w:fill="DADADA"/>
          </w:tcPr>
          <w:p>
            <w:pPr>
              <w:ind w:left="40"/>
              <w:spacing w:after="0"/>
              <w:rPr>
                <w:sz w:val="20"/>
                <w:szCs w:val="20"/>
                <w:color w:val="auto"/>
              </w:rPr>
            </w:pPr>
            <w:r>
              <w:rPr>
                <w:rFonts w:ascii="Arial" w:cs="Arial" w:eastAsia="Arial" w:hAnsi="Arial"/>
                <w:sz w:val="18"/>
                <w:szCs w:val="18"/>
                <w:b w:val="1"/>
                <w:bCs w:val="1"/>
                <w:color w:val="auto"/>
              </w:rPr>
              <w:t>Total OHIP Company Score</w:t>
            </w:r>
          </w:p>
        </w:tc>
        <w:tc>
          <w:tcPr>
            <w:tcW w:w="1380" w:type="dxa"/>
            <w:vAlign w:val="bottom"/>
            <w:tcBorders>
              <w:bottom w:val="single" w:sz="8" w:color="DADADA"/>
              <w:right w:val="single" w:sz="8" w:color="DADADA"/>
            </w:tcBorders>
            <w:shd w:val="clear" w:color="auto" w:fill="DADADA"/>
          </w:tcPr>
          <w:p>
            <w:pPr>
              <w:spacing w:after="0"/>
              <w:rPr>
                <w:sz w:val="21"/>
                <w:szCs w:val="21"/>
                <w:color w:val="auto"/>
              </w:rPr>
            </w:pPr>
          </w:p>
        </w:tc>
        <w:tc>
          <w:tcPr>
            <w:tcW w:w="1260" w:type="dxa"/>
            <w:vAlign w:val="bottom"/>
            <w:tcBorders>
              <w:bottom w:val="single" w:sz="8" w:color="DADADA"/>
              <w:right w:val="single" w:sz="8" w:color="DADADA"/>
            </w:tcBorders>
            <w:shd w:val="clear" w:color="auto" w:fill="DADADA"/>
          </w:tcPr>
          <w:p>
            <w:pPr>
              <w:spacing w:after="0"/>
              <w:rPr>
                <w:sz w:val="21"/>
                <w:szCs w:val="21"/>
                <w:color w:val="auto"/>
              </w:rPr>
            </w:pPr>
          </w:p>
        </w:tc>
        <w:tc>
          <w:tcPr>
            <w:tcW w:w="1400" w:type="dxa"/>
            <w:vAlign w:val="bottom"/>
            <w:tcBorders>
              <w:bottom w:val="single" w:sz="8" w:color="DADADA"/>
              <w:right w:val="single" w:sz="8" w:color="DADADA"/>
            </w:tcBorders>
            <w:shd w:val="clear" w:color="auto" w:fill="DADADA"/>
          </w:tcPr>
          <w:p>
            <w:pPr>
              <w:spacing w:after="0"/>
              <w:rPr>
                <w:sz w:val="21"/>
                <w:szCs w:val="21"/>
                <w:color w:val="auto"/>
              </w:rPr>
            </w:pPr>
          </w:p>
        </w:tc>
        <w:tc>
          <w:tcPr>
            <w:tcW w:w="1260" w:type="dxa"/>
            <w:vAlign w:val="bottom"/>
            <w:tcBorders>
              <w:bottom w:val="single" w:sz="8" w:color="DADADA"/>
              <w:right w:val="single" w:sz="8" w:color="3F000B"/>
            </w:tcBorders>
            <w:shd w:val="clear" w:color="auto" w:fill="DADADA"/>
          </w:tcPr>
          <w:p>
            <w:pPr>
              <w:spacing w:after="0"/>
              <w:rPr>
                <w:sz w:val="21"/>
                <w:szCs w:val="21"/>
                <w:color w:val="auto"/>
              </w:rPr>
            </w:pPr>
          </w:p>
        </w:tc>
        <w:tc>
          <w:tcPr>
            <w:tcW w:w="12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b w:val="1"/>
                <w:bCs w:val="1"/>
                <w:color w:val="auto"/>
              </w:rPr>
              <w:t>100.00</w:t>
            </w:r>
          </w:p>
        </w:tc>
        <w:tc>
          <w:tcPr>
            <w:tcW w:w="14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b w:val="1"/>
                <w:bCs w:val="1"/>
                <w:color w:val="auto"/>
              </w:rPr>
              <w:t>149.09</w:t>
            </w:r>
          </w:p>
        </w:tc>
        <w:tc>
          <w:tcPr>
            <w:tcW w:w="0" w:type="dxa"/>
            <w:vAlign w:val="bottom"/>
          </w:tcPr>
          <w:p>
            <w:pPr>
              <w:spacing w:after="0"/>
              <w:rPr>
                <w:sz w:val="1"/>
                <w:szCs w:val="1"/>
                <w:color w:val="auto"/>
              </w:rPr>
            </w:pPr>
          </w:p>
        </w:tc>
      </w:tr>
      <w:tr>
        <w:trPr>
          <w:trHeight w:val="20"/>
        </w:trPr>
        <w:tc>
          <w:tcPr>
            <w:tcW w:w="3000" w:type="dxa"/>
            <w:vAlign w:val="bottom"/>
            <w:tcBorders>
              <w:left w:val="single" w:sz="8" w:color="3F000B"/>
              <w:right w:val="single" w:sz="8" w:color="3F000B"/>
            </w:tcBorders>
            <w:shd w:val="clear" w:color="auto" w:fill="3F000B"/>
          </w:tcPr>
          <w:p>
            <w:pPr>
              <w:spacing w:after="0" w:line="20" w:lineRule="exact"/>
              <w:rPr>
                <w:sz w:val="1"/>
                <w:szCs w:val="1"/>
                <w:color w:val="auto"/>
              </w:rPr>
            </w:pPr>
          </w:p>
        </w:tc>
        <w:tc>
          <w:tcPr>
            <w:tcW w:w="1380" w:type="dxa"/>
            <w:vAlign w:val="bottom"/>
            <w:tcBorders>
              <w:right w:val="single" w:sz="8" w:color="3F000B"/>
            </w:tcBorders>
            <w:shd w:val="clear" w:color="auto" w:fill="3F000B"/>
          </w:tcPr>
          <w:p>
            <w:pPr>
              <w:spacing w:after="0" w:line="20" w:lineRule="exact"/>
              <w:rPr>
                <w:sz w:val="1"/>
                <w:szCs w:val="1"/>
                <w:color w:val="auto"/>
              </w:rPr>
            </w:pPr>
          </w:p>
        </w:tc>
        <w:tc>
          <w:tcPr>
            <w:tcW w:w="1260" w:type="dxa"/>
            <w:vAlign w:val="bottom"/>
            <w:tcBorders>
              <w:right w:val="single" w:sz="8" w:color="3F000B"/>
            </w:tcBorders>
            <w:shd w:val="clear" w:color="auto" w:fill="3F000B"/>
          </w:tcPr>
          <w:p>
            <w:pPr>
              <w:spacing w:after="0" w:line="20" w:lineRule="exact"/>
              <w:rPr>
                <w:sz w:val="1"/>
                <w:szCs w:val="1"/>
                <w:color w:val="auto"/>
              </w:rPr>
            </w:pPr>
          </w:p>
        </w:tc>
        <w:tc>
          <w:tcPr>
            <w:tcW w:w="1400" w:type="dxa"/>
            <w:vAlign w:val="bottom"/>
            <w:tcBorders>
              <w:right w:val="single" w:sz="8" w:color="3F000B"/>
            </w:tcBorders>
            <w:shd w:val="clear" w:color="auto" w:fill="3F000B"/>
          </w:tcPr>
          <w:p>
            <w:pPr>
              <w:spacing w:after="0" w:line="20" w:lineRule="exact"/>
              <w:rPr>
                <w:sz w:val="1"/>
                <w:szCs w:val="1"/>
                <w:color w:val="auto"/>
              </w:rPr>
            </w:pPr>
          </w:p>
        </w:tc>
        <w:tc>
          <w:tcPr>
            <w:tcW w:w="1260" w:type="dxa"/>
            <w:vAlign w:val="bottom"/>
            <w:tcBorders>
              <w:right w:val="single" w:sz="8" w:color="3F000B"/>
            </w:tcBorders>
            <w:shd w:val="clear" w:color="auto" w:fill="3F000B"/>
          </w:tcPr>
          <w:p>
            <w:pPr>
              <w:spacing w:after="0" w:line="20" w:lineRule="exact"/>
              <w:rPr>
                <w:sz w:val="1"/>
                <w:szCs w:val="1"/>
                <w:color w:val="auto"/>
              </w:rPr>
            </w:pPr>
          </w:p>
        </w:tc>
        <w:tc>
          <w:tcPr>
            <w:tcW w:w="1280" w:type="dxa"/>
            <w:vAlign w:val="bottom"/>
            <w:tcBorders>
              <w:right w:val="single" w:sz="8" w:color="3F000B"/>
            </w:tcBorders>
            <w:shd w:val="clear" w:color="auto" w:fill="3F000B"/>
          </w:tcPr>
          <w:p>
            <w:pPr>
              <w:spacing w:after="0" w:line="20" w:lineRule="exact"/>
              <w:rPr>
                <w:sz w:val="1"/>
                <w:szCs w:val="1"/>
                <w:color w:val="auto"/>
              </w:rPr>
            </w:pPr>
          </w:p>
        </w:tc>
        <w:tc>
          <w:tcPr>
            <w:tcW w:w="1460" w:type="dxa"/>
            <w:vAlign w:val="bottom"/>
            <w:tcBorders>
              <w:right w:val="single" w:sz="8" w:color="3F000B"/>
            </w:tcBorders>
            <w:shd w:val="clear" w:color="auto" w:fill="3F000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-710565</wp:posOffset>
            </wp:positionV>
            <wp:extent cx="260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-710565</wp:posOffset>
            </wp:positionV>
            <wp:extent cx="26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right="60" w:hanging="332"/>
        <w:spacing w:after="0" w:line="252" w:lineRule="auto"/>
        <w:tabs>
          <w:tab w:leader="none" w:pos="332" w:val="left"/>
        </w:tabs>
        <w:numPr>
          <w:ilvl w:val="0"/>
          <w:numId w:val="134"/>
        </w:numPr>
        <w:rPr>
          <w:rFonts w:ascii="Arial" w:cs="Arial" w:eastAsia="Arial" w:hAnsi="Arial"/>
          <w:sz w:val="14"/>
          <w:szCs w:val="14"/>
          <w:color w:val="auto"/>
        </w:rPr>
      </w:pPr>
      <w:r>
        <w:rPr>
          <w:rFonts w:ascii="Arial" w:cs="Arial" w:eastAsia="Arial" w:hAnsi="Arial"/>
          <w:sz w:val="14"/>
          <w:szCs w:val="14"/>
          <w:color w:val="auto"/>
        </w:rPr>
        <w:t>For purposes of determining the Company performance score, net sales is measured on a constant currency basis, further adjusted to reflect the impact of divestitures and acquisitions as compared to target, which is a non-GAAP performance measure. To calculate net sales on a constant currency basis, net sales for the current fiscal year period for entities reporting in currencies other than the U.S. dollar are translated into U.S. dollars at the average rates during the comparable period of the prior fiscal year. For more information on our use of non-GAAP performance measures, please see footnote (1) in the section entitled “Executive Summary.”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111" w:right="339" w:bottom="1440" w:gutter="0" w:footer="0" w:header="0"/>
        </w:sectPr>
      </w:pPr>
    </w:p>
    <w:bookmarkStart w:id="60" w:name="page61"/>
    <w:bookmarkEnd w:id="60"/>
    <w:p>
      <w:pPr>
        <w:ind w:left="340" w:right="140" w:hanging="332"/>
        <w:spacing w:after="0" w:line="257" w:lineRule="auto"/>
        <w:tabs>
          <w:tab w:leader="none" w:pos="33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For purposes of determining the Company performance score, adjusted earnings per share-diluted as determined for financial reporting purposes, which is a non-GAAP performance measure, is further adjusted to reflect the impact of divestitures and acquisitions as compared to target. For more information regarding how we define adjusted earnings per share-diluted, please see footnote (1) in the section entitled “Executive Summary.”</w:t>
      </w:r>
    </w:p>
    <w:p>
      <w:pPr>
        <w:spacing w:after="0" w:line="76" w:lineRule="exact"/>
        <w:rPr>
          <w:rFonts w:ascii="Arial" w:cs="Arial" w:eastAsia="Arial" w:hAnsi="Arial"/>
          <w:sz w:val="14"/>
          <w:szCs w:val="14"/>
          <w:color w:val="auto"/>
        </w:rPr>
      </w:pPr>
    </w:p>
    <w:p>
      <w:pPr>
        <w:ind w:left="340" w:right="180" w:hanging="332"/>
        <w:spacing w:after="0" w:line="252" w:lineRule="auto"/>
        <w:tabs>
          <w:tab w:leader="none" w:pos="33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EBIT Margin is a non-GAAP performance measure. We define EBIT margin as the adjusted operating margin which excludes certain one-time items impacting comparability and further adjusted to reflect the impact of divestitures and acquisitions as compared to target. For more information regarding our use of non-GAAP performance measures and how we define adjusted operating margin, please see the Company’s earnings release on Form 8-K dated February 4, 2021. EBIT Margin performance is measured in basis points, which are defined as a unit of measure used to describe the rate change (i.e. one basis point is equivalent to 0.01%).</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earlier, for 2020 the Compensation Committee increased the weighting of financial performance metrics from 75% to 100% and removed the individual performance component of Ms. Buck’s target award. This change enhanced the pay-for-performance alignment between the CEO’s OHIP payout and objective, financial performance results. For Ms. Buck, based upon the Company financial score of 149.09%, she earned the following 2020 OHIP award:</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60" w:type="dxa"/>
            <w:vAlign w:val="bottom"/>
            <w:tcBorders>
              <w:top w:val="single" w:sz="8" w:color="3F000B"/>
              <w:left w:val="single" w:sz="8" w:color="3F000B"/>
              <w:right w:val="single" w:sz="8" w:color="DADADA"/>
            </w:tcBorders>
            <w:shd w:val="clear" w:color="auto" w:fill="3F000B"/>
          </w:tcPr>
          <w:p>
            <w:pPr>
              <w:spacing w:after="0"/>
              <w:rPr>
                <w:sz w:val="22"/>
                <w:szCs w:val="22"/>
                <w:color w:val="auto"/>
              </w:rPr>
            </w:pPr>
          </w:p>
        </w:tc>
        <w:tc>
          <w:tcPr>
            <w:tcW w:w="1980" w:type="dxa"/>
            <w:vAlign w:val="bottom"/>
            <w:tcBorders>
              <w:top w:val="single" w:sz="8" w:color="3F000B"/>
            </w:tcBorders>
            <w:shd w:val="clear" w:color="auto" w:fill="3F000B"/>
          </w:tcPr>
          <w:p>
            <w:pPr>
              <w:spacing w:after="0"/>
              <w:rPr>
                <w:sz w:val="22"/>
                <w:szCs w:val="22"/>
                <w:color w:val="auto"/>
              </w:rPr>
            </w:pPr>
          </w:p>
        </w:tc>
        <w:tc>
          <w:tcPr>
            <w:tcW w:w="740" w:type="dxa"/>
            <w:vAlign w:val="bottom"/>
            <w:tcBorders>
              <w:top w:val="single" w:sz="8" w:color="3F000B"/>
              <w:right w:val="single" w:sz="8" w:color="DADADA"/>
            </w:tcBorders>
            <w:shd w:val="clear" w:color="auto" w:fill="3F000B"/>
          </w:tcPr>
          <w:p>
            <w:pPr>
              <w:spacing w:after="0"/>
              <w:rPr>
                <w:sz w:val="22"/>
                <w:szCs w:val="22"/>
                <w:color w:val="auto"/>
              </w:rPr>
            </w:pPr>
          </w:p>
        </w:tc>
        <w:tc>
          <w:tcPr>
            <w:tcW w:w="2720" w:type="dxa"/>
            <w:vAlign w:val="bottom"/>
            <w:tcBorders>
              <w:top w:val="single" w:sz="8" w:color="3F000B"/>
              <w:right w:val="single" w:sz="8" w:color="DADADA"/>
            </w:tcBorders>
            <w:shd w:val="clear" w:color="auto" w:fill="3F000B"/>
          </w:tcPr>
          <w:p>
            <w:pPr>
              <w:spacing w:after="0"/>
              <w:rPr>
                <w:sz w:val="22"/>
                <w:szCs w:val="22"/>
                <w:color w:val="auto"/>
              </w:rPr>
            </w:pPr>
          </w:p>
        </w:tc>
        <w:tc>
          <w:tcPr>
            <w:tcW w:w="2740" w:type="dxa"/>
            <w:vAlign w:val="bottom"/>
            <w:tcBorders>
              <w:top w:val="single" w:sz="8" w:color="3F000B"/>
              <w:right w:val="single" w:sz="8" w:color="3F000B"/>
            </w:tcBorders>
            <w:shd w:val="clear" w:color="auto" w:fill="3F000B"/>
          </w:tcPr>
          <w:p>
            <w:pPr>
              <w:jc w:val="right"/>
              <w:ind w:right="1110"/>
              <w:spacing w:after="0"/>
              <w:rPr>
                <w:sz w:val="20"/>
                <w:szCs w:val="20"/>
                <w:color w:val="auto"/>
              </w:rPr>
            </w:pPr>
            <w:r>
              <w:rPr>
                <w:rFonts w:ascii="Arial" w:cs="Arial" w:eastAsia="Arial" w:hAnsi="Arial"/>
                <w:sz w:val="18"/>
                <w:szCs w:val="18"/>
                <w:b w:val="1"/>
                <w:bCs w:val="1"/>
                <w:color w:val="FFFFFF"/>
              </w:rPr>
              <w:t>2020</w:t>
            </w:r>
          </w:p>
        </w:tc>
      </w:tr>
      <w:tr>
        <w:trPr>
          <w:trHeight w:val="257"/>
        </w:trPr>
        <w:tc>
          <w:tcPr>
            <w:tcW w:w="3060" w:type="dxa"/>
            <w:vAlign w:val="bottom"/>
            <w:tcBorders>
              <w:left w:val="single" w:sz="8" w:color="3F000B"/>
              <w:right w:val="single" w:sz="8" w:color="DADADA"/>
            </w:tcBorders>
            <w:shd w:val="clear" w:color="auto" w:fill="3F000B"/>
          </w:tcPr>
          <w:p>
            <w:pPr>
              <w:spacing w:after="0"/>
              <w:rPr>
                <w:sz w:val="22"/>
                <w:szCs w:val="22"/>
                <w:color w:val="auto"/>
              </w:rPr>
            </w:pPr>
          </w:p>
        </w:tc>
        <w:tc>
          <w:tcPr>
            <w:tcW w:w="1980" w:type="dxa"/>
            <w:vAlign w:val="bottom"/>
            <w:shd w:val="clear" w:color="auto" w:fill="3F000B"/>
          </w:tcPr>
          <w:p>
            <w:pPr>
              <w:jc w:val="center"/>
              <w:ind w:left="610"/>
              <w:spacing w:after="0"/>
              <w:rPr>
                <w:sz w:val="20"/>
                <w:szCs w:val="20"/>
                <w:color w:val="auto"/>
              </w:rPr>
            </w:pPr>
            <w:r>
              <w:rPr>
                <w:rFonts w:ascii="Arial" w:cs="Arial" w:eastAsia="Arial" w:hAnsi="Arial"/>
                <w:sz w:val="18"/>
                <w:szCs w:val="18"/>
                <w:b w:val="1"/>
                <w:bCs w:val="1"/>
                <w:color w:val="FFFFFF"/>
                <w:w w:val="94"/>
              </w:rPr>
              <w:t>Award</w:t>
            </w:r>
          </w:p>
        </w:tc>
        <w:tc>
          <w:tcPr>
            <w:tcW w:w="740" w:type="dxa"/>
            <w:vAlign w:val="bottom"/>
            <w:tcBorders>
              <w:right w:val="single" w:sz="8" w:color="DADADA"/>
            </w:tcBorders>
            <w:shd w:val="clear" w:color="auto" w:fill="3F000B"/>
          </w:tcPr>
          <w:p>
            <w:pPr>
              <w:spacing w:after="0"/>
              <w:rPr>
                <w:sz w:val="22"/>
                <w:szCs w:val="22"/>
                <w:color w:val="auto"/>
              </w:rPr>
            </w:pPr>
          </w:p>
        </w:tc>
        <w:tc>
          <w:tcPr>
            <w:tcW w:w="27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Award</w:t>
            </w:r>
          </w:p>
        </w:tc>
        <w:tc>
          <w:tcPr>
            <w:tcW w:w="27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rPr>
              <w:t>OHIP</w:t>
            </w:r>
          </w:p>
        </w:tc>
      </w:tr>
      <w:tr>
        <w:trPr>
          <w:trHeight w:val="265"/>
        </w:trPr>
        <w:tc>
          <w:tcPr>
            <w:tcW w:w="3060" w:type="dxa"/>
            <w:vAlign w:val="bottom"/>
            <w:tcBorders>
              <w:left w:val="single" w:sz="8" w:color="3F000B"/>
              <w:right w:val="single" w:sz="8" w:color="DADADA"/>
            </w:tcBorders>
            <w:shd w:val="clear" w:color="auto" w:fill="3F000B"/>
          </w:tcPr>
          <w:p>
            <w:pPr>
              <w:spacing w:after="0"/>
              <w:rPr>
                <w:sz w:val="23"/>
                <w:szCs w:val="23"/>
                <w:color w:val="auto"/>
              </w:rPr>
            </w:pPr>
          </w:p>
        </w:tc>
        <w:tc>
          <w:tcPr>
            <w:tcW w:w="1980" w:type="dxa"/>
            <w:vAlign w:val="bottom"/>
            <w:shd w:val="clear" w:color="auto" w:fill="3F000B"/>
          </w:tcPr>
          <w:p>
            <w:pPr>
              <w:jc w:val="center"/>
              <w:ind w:left="630"/>
              <w:spacing w:after="0"/>
              <w:rPr>
                <w:sz w:val="20"/>
                <w:szCs w:val="20"/>
                <w:color w:val="auto"/>
              </w:rPr>
            </w:pPr>
            <w:r>
              <w:rPr>
                <w:rFonts w:ascii="Arial" w:cs="Arial" w:eastAsia="Arial" w:hAnsi="Arial"/>
                <w:sz w:val="18"/>
                <w:szCs w:val="18"/>
                <w:b w:val="1"/>
                <w:bCs w:val="1"/>
                <w:color w:val="FFFFFF"/>
                <w:w w:val="90"/>
              </w:rPr>
              <w:t>Target</w:t>
            </w:r>
          </w:p>
        </w:tc>
        <w:tc>
          <w:tcPr>
            <w:tcW w:w="740" w:type="dxa"/>
            <w:vAlign w:val="bottom"/>
            <w:tcBorders>
              <w:right w:val="single" w:sz="8" w:color="DADADA"/>
            </w:tcBorders>
            <w:shd w:val="clear" w:color="auto" w:fill="3F000B"/>
          </w:tcPr>
          <w:p>
            <w:pPr>
              <w:spacing w:after="0"/>
              <w:rPr>
                <w:sz w:val="23"/>
                <w:szCs w:val="23"/>
                <w:color w:val="auto"/>
              </w:rPr>
            </w:pPr>
          </w:p>
        </w:tc>
        <w:tc>
          <w:tcPr>
            <w:tcW w:w="27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5"/>
              </w:rPr>
              <w:t>Target</w:t>
            </w:r>
            <w:r>
              <w:rPr>
                <w:rFonts w:ascii="Arial" w:cs="Arial" w:eastAsia="Arial" w:hAnsi="Arial"/>
                <w:sz w:val="21"/>
                <w:szCs w:val="21"/>
                <w:b w:val="1"/>
                <w:bCs w:val="1"/>
                <w:color w:val="FFFFFF"/>
                <w:w w:val="85"/>
                <w:vertAlign w:val="superscript"/>
              </w:rPr>
              <w:t>(1)</w:t>
            </w:r>
          </w:p>
        </w:tc>
        <w:tc>
          <w:tcPr>
            <w:tcW w:w="27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4"/>
              </w:rPr>
              <w:t>Award</w:t>
            </w:r>
          </w:p>
        </w:tc>
      </w:tr>
      <w:tr>
        <w:trPr>
          <w:trHeight w:val="234"/>
        </w:trPr>
        <w:tc>
          <w:tcPr>
            <w:tcW w:w="3060" w:type="dxa"/>
            <w:vAlign w:val="bottom"/>
            <w:tcBorders>
              <w:left w:val="single" w:sz="8" w:color="3F000B"/>
              <w:right w:val="single" w:sz="8" w:color="DADADA"/>
            </w:tcBorders>
            <w:shd w:val="clear" w:color="auto" w:fill="3F000B"/>
          </w:tcPr>
          <w:p>
            <w:pPr>
              <w:ind w:left="1300"/>
              <w:spacing w:after="0"/>
              <w:rPr>
                <w:sz w:val="20"/>
                <w:szCs w:val="20"/>
                <w:color w:val="auto"/>
              </w:rPr>
            </w:pPr>
            <w:r>
              <w:rPr>
                <w:rFonts w:ascii="Arial" w:cs="Arial" w:eastAsia="Arial" w:hAnsi="Arial"/>
                <w:sz w:val="18"/>
                <w:szCs w:val="18"/>
                <w:b w:val="1"/>
                <w:bCs w:val="1"/>
                <w:color w:val="FFFFFF"/>
              </w:rPr>
              <w:t>Name</w:t>
            </w:r>
          </w:p>
        </w:tc>
        <w:tc>
          <w:tcPr>
            <w:tcW w:w="1980" w:type="dxa"/>
            <w:vAlign w:val="bottom"/>
            <w:shd w:val="clear" w:color="auto" w:fill="3F000B"/>
          </w:tcPr>
          <w:p>
            <w:pPr>
              <w:jc w:val="center"/>
              <w:ind w:left="630"/>
              <w:spacing w:after="0"/>
              <w:rPr>
                <w:sz w:val="20"/>
                <w:szCs w:val="20"/>
                <w:color w:val="auto"/>
              </w:rPr>
            </w:pPr>
            <w:r>
              <w:rPr>
                <w:rFonts w:ascii="Arial" w:cs="Arial" w:eastAsia="Arial" w:hAnsi="Arial"/>
                <w:sz w:val="18"/>
                <w:szCs w:val="18"/>
                <w:b w:val="1"/>
                <w:bCs w:val="1"/>
                <w:color w:val="FFFFFF"/>
              </w:rPr>
              <w:t>(%)</w:t>
            </w:r>
          </w:p>
        </w:tc>
        <w:tc>
          <w:tcPr>
            <w:tcW w:w="740" w:type="dxa"/>
            <w:vAlign w:val="bottom"/>
            <w:tcBorders>
              <w:right w:val="single" w:sz="8" w:color="DADADA"/>
            </w:tcBorders>
            <w:shd w:val="clear" w:color="auto" w:fill="3F000B"/>
          </w:tcPr>
          <w:p>
            <w:pPr>
              <w:spacing w:after="0"/>
              <w:rPr>
                <w:sz w:val="20"/>
                <w:szCs w:val="20"/>
                <w:color w:val="auto"/>
              </w:rPr>
            </w:pPr>
          </w:p>
        </w:tc>
        <w:tc>
          <w:tcPr>
            <w:tcW w:w="27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2740" w:type="dxa"/>
            <w:vAlign w:val="bottom"/>
            <w:tcBorders>
              <w:right w:val="single" w:sz="8" w:color="3F000B"/>
            </w:tcBorders>
            <w:shd w:val="clear" w:color="auto" w:fill="3F000B"/>
          </w:tcPr>
          <w:p>
            <w:pPr>
              <w:jc w:val="right"/>
              <w:ind w:right="1190"/>
              <w:spacing w:after="0"/>
              <w:rPr>
                <w:sz w:val="20"/>
                <w:szCs w:val="20"/>
                <w:color w:val="auto"/>
              </w:rPr>
            </w:pPr>
            <w:r>
              <w:rPr>
                <w:rFonts w:ascii="Arial" w:cs="Arial" w:eastAsia="Arial" w:hAnsi="Arial"/>
                <w:sz w:val="18"/>
                <w:szCs w:val="18"/>
                <w:b w:val="1"/>
                <w:bCs w:val="1"/>
                <w:color w:val="FFFFFF"/>
              </w:rPr>
              <w:t>($)</w:t>
            </w:r>
          </w:p>
        </w:tc>
      </w:tr>
      <w:tr>
        <w:trPr>
          <w:trHeight w:val="68"/>
        </w:trPr>
        <w:tc>
          <w:tcPr>
            <w:tcW w:w="3060" w:type="dxa"/>
            <w:vAlign w:val="bottom"/>
            <w:tcBorders>
              <w:left w:val="single" w:sz="8" w:color="3F000B"/>
              <w:right w:val="single" w:sz="8" w:color="DADADA"/>
            </w:tcBorders>
            <w:shd w:val="clear" w:color="auto" w:fill="3F000B"/>
          </w:tcPr>
          <w:p>
            <w:pPr>
              <w:spacing w:after="0"/>
              <w:rPr>
                <w:sz w:val="5"/>
                <w:szCs w:val="5"/>
                <w:color w:val="auto"/>
              </w:rPr>
            </w:pPr>
          </w:p>
        </w:tc>
        <w:tc>
          <w:tcPr>
            <w:tcW w:w="1980" w:type="dxa"/>
            <w:vAlign w:val="bottom"/>
            <w:shd w:val="clear" w:color="auto" w:fill="3F000B"/>
          </w:tcPr>
          <w:p>
            <w:pPr>
              <w:spacing w:after="0"/>
              <w:rPr>
                <w:sz w:val="5"/>
                <w:szCs w:val="5"/>
                <w:color w:val="auto"/>
              </w:rPr>
            </w:pPr>
          </w:p>
        </w:tc>
        <w:tc>
          <w:tcPr>
            <w:tcW w:w="740" w:type="dxa"/>
            <w:vAlign w:val="bottom"/>
            <w:tcBorders>
              <w:right w:val="single" w:sz="8" w:color="DADADA"/>
            </w:tcBorders>
            <w:shd w:val="clear" w:color="auto" w:fill="3F000B"/>
          </w:tcPr>
          <w:p>
            <w:pPr>
              <w:spacing w:after="0"/>
              <w:rPr>
                <w:sz w:val="5"/>
                <w:szCs w:val="5"/>
                <w:color w:val="auto"/>
              </w:rPr>
            </w:pPr>
          </w:p>
        </w:tc>
        <w:tc>
          <w:tcPr>
            <w:tcW w:w="2720" w:type="dxa"/>
            <w:vAlign w:val="bottom"/>
            <w:tcBorders>
              <w:right w:val="single" w:sz="8" w:color="DADADA"/>
            </w:tcBorders>
            <w:shd w:val="clear" w:color="auto" w:fill="3F000B"/>
          </w:tcPr>
          <w:p>
            <w:pPr>
              <w:spacing w:after="0"/>
              <w:rPr>
                <w:sz w:val="5"/>
                <w:szCs w:val="5"/>
                <w:color w:val="auto"/>
              </w:rPr>
            </w:pPr>
          </w:p>
        </w:tc>
        <w:tc>
          <w:tcPr>
            <w:tcW w:w="2740" w:type="dxa"/>
            <w:vAlign w:val="bottom"/>
            <w:tcBorders>
              <w:bottom w:val="single" w:sz="8" w:color="3F000B"/>
              <w:right w:val="single" w:sz="8" w:color="3F000B"/>
            </w:tcBorders>
            <w:shd w:val="clear" w:color="auto" w:fill="3F000B"/>
          </w:tcPr>
          <w:p>
            <w:pPr>
              <w:spacing w:after="0"/>
              <w:rPr>
                <w:sz w:val="5"/>
                <w:szCs w:val="5"/>
                <w:color w:val="auto"/>
              </w:rPr>
            </w:pPr>
          </w:p>
        </w:tc>
      </w:tr>
      <w:tr>
        <w:trPr>
          <w:trHeight w:val="237"/>
        </w:trPr>
        <w:tc>
          <w:tcPr>
            <w:tcW w:w="30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1980" w:type="dxa"/>
            <w:vAlign w:val="bottom"/>
          </w:tcPr>
          <w:p>
            <w:pPr>
              <w:spacing w:after="0"/>
              <w:rPr>
                <w:sz w:val="20"/>
                <w:szCs w:val="20"/>
                <w:color w:val="auto"/>
              </w:rPr>
            </w:pPr>
          </w:p>
        </w:tc>
        <w:tc>
          <w:tcPr>
            <w:tcW w:w="7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150</w:t>
            </w:r>
          </w:p>
        </w:tc>
        <w:tc>
          <w:tcPr>
            <w:tcW w:w="27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1,801,586</w:t>
            </w:r>
          </w:p>
        </w:tc>
        <w:tc>
          <w:tcPr>
            <w:tcW w:w="27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2,685,985</w:t>
            </w:r>
          </w:p>
        </w:tc>
      </w:tr>
      <w:tr>
        <w:trPr>
          <w:trHeight w:val="27"/>
        </w:trPr>
        <w:tc>
          <w:tcPr>
            <w:tcW w:w="3060" w:type="dxa"/>
            <w:vAlign w:val="bottom"/>
            <w:tcBorders>
              <w:left w:val="single" w:sz="8" w:color="3F000B"/>
              <w:bottom w:val="single" w:sz="8" w:color="3F000B"/>
              <w:right w:val="single" w:sz="8" w:color="3F000B"/>
            </w:tcBorders>
          </w:tcPr>
          <w:p>
            <w:pPr>
              <w:spacing w:after="0"/>
              <w:rPr>
                <w:sz w:val="2"/>
                <w:szCs w:val="2"/>
                <w:color w:val="auto"/>
              </w:rPr>
            </w:pPr>
          </w:p>
        </w:tc>
        <w:tc>
          <w:tcPr>
            <w:tcW w:w="1980" w:type="dxa"/>
            <w:vAlign w:val="bottom"/>
            <w:tcBorders>
              <w:bottom w:val="single" w:sz="8" w:color="3F000B"/>
            </w:tcBorders>
          </w:tcPr>
          <w:p>
            <w:pPr>
              <w:spacing w:after="0"/>
              <w:rPr>
                <w:sz w:val="2"/>
                <w:szCs w:val="2"/>
                <w:color w:val="auto"/>
              </w:rPr>
            </w:pPr>
          </w:p>
        </w:tc>
        <w:tc>
          <w:tcPr>
            <w:tcW w:w="740" w:type="dxa"/>
            <w:vAlign w:val="bottom"/>
            <w:tcBorders>
              <w:bottom w:val="single" w:sz="8" w:color="3F000B"/>
              <w:right w:val="single" w:sz="8" w:color="3F000B"/>
            </w:tcBorders>
          </w:tcPr>
          <w:p>
            <w:pPr>
              <w:spacing w:after="0"/>
              <w:rPr>
                <w:sz w:val="2"/>
                <w:szCs w:val="2"/>
                <w:color w:val="auto"/>
              </w:rPr>
            </w:pPr>
          </w:p>
        </w:tc>
        <w:tc>
          <w:tcPr>
            <w:tcW w:w="2720" w:type="dxa"/>
            <w:vAlign w:val="bottom"/>
            <w:tcBorders>
              <w:bottom w:val="single" w:sz="8" w:color="3F000B"/>
              <w:right w:val="single" w:sz="8" w:color="3F000B"/>
            </w:tcBorders>
          </w:tcPr>
          <w:p>
            <w:pPr>
              <w:spacing w:after="0"/>
              <w:rPr>
                <w:sz w:val="2"/>
                <w:szCs w:val="2"/>
                <w:color w:val="auto"/>
              </w:rPr>
            </w:pPr>
          </w:p>
        </w:tc>
        <w:tc>
          <w:tcPr>
            <w:tcW w:w="2740" w:type="dxa"/>
            <w:vAlign w:val="bottom"/>
            <w:tcBorders>
              <w:bottom w:val="single" w:sz="8" w:color="3F000B"/>
              <w:right w:val="single" w:sz="8" w:color="3F000B"/>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w:t>
      </w:r>
    </w:p>
    <w:p>
      <w:pPr>
        <w:spacing w:after="0" w:line="171"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Target award is based upon actual salary received in 2020.</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2020 OHIP Individual Performance Results (0% - 25% of Total OHIP)</w:t>
      </w:r>
    </w:p>
    <w:p>
      <w:pPr>
        <w:spacing w:after="0" w:line="15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With the exception of Ms. Buck, the remaining 25% of each NEO’s 2020 OHIP award was based upon individual performance toward achievement of individual performance goals focused on strategic priorities applicable to the NEO’s position, but tied to the overall Company’s top priorities for the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Steven E. Voskuil, Senior Vice President, CFO</w:t>
      </w:r>
    </w:p>
    <w:p>
      <w:pPr>
        <w:spacing w:after="0" w:line="12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Mr. Voskuil led the development and execution of the COVID-19 financial plan that enabled strong financial results. Mr. Voskuil also led initiatives that advanced our strategic planning and Mergers and Acquisitions (“M&amp;A”) capabilities and kept the Enterprise Resource Planning program on track to deliver a contemporized technology system to support enterprise goals.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Charles Raup, President, U.S.</w:t>
      </w:r>
    </w:p>
    <w:p>
      <w:pPr>
        <w:spacing w:after="0" w:line="12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Mr. Raup successfully deployed strategies focused on delivering sustainable, profitable growth and market share gains, achieving the financial objectives for the U.S. market. Mr. Raup also set the foundation to deliver our strategic plan objectives through advanced commercial capabilities.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Jason Reiman, Senior Vice President, Chief Supply Chain Officer</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Mr. Reiman led the development and execution of the Company’s response to safely make and distribute our products during COVID-19. He also successfully delivered key milestones of Hershey’s next generation Supply Chain, focused on delivering an agile supply chain network to expand margins and enable enterprise growth through expanding manufacturing capacity, improving fulfillment and developing supply chain capabilities.</w:t>
      </w: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Damien Atkins, Former Senior Vice President, General Counsel and Secretary</w:t>
      </w:r>
    </w:p>
    <w:p>
      <w:pPr>
        <w:spacing w:after="0" w:line="12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Mr. Atkins successfully executed the duties of the Senior Vice President, General Counsel and Secretary role, including advancing compliance, government relations and legal capabilities.</w:t>
      </w: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Kevin R. Walling, Former Senior Vice President, Chief Human Resources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Mr. Walling successfully executed and transitioned the key accountabilities of the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890"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3F000B"/>
        </w:rPr>
        <w:t>Mary Beth West, Former Senior Vice President, Chief Growth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Ms. West successfully executed and transitioned the key accountabilities of the Chief Growth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w:t>
      </w:r>
    </w:p>
    <w:p>
      <w:pPr>
        <w:spacing w:after="0" w:line="1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Ms. Buck provided the Compensation Committee with her assessment of each NEO’s 2020 performance and achievement in relation to their performance goals. Based upon those assessments, Ms. Buck recommended, and the Compensation Committee approved, the individual performance awards and total OHIP payouts as shown in the table below.</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upon a 75% weight for the Company financial score of 149.09% of target and a 25% weight for individual performance, our other NEOs earned the following 2020 OHIP awards: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40" w:type="dxa"/>
            <w:vAlign w:val="bottom"/>
            <w:tcBorders>
              <w:top w:val="single" w:sz="8" w:color="3F000B"/>
              <w:left w:val="single" w:sz="8" w:color="3F000B"/>
              <w:right w:val="single" w:sz="8" w:color="DADADA"/>
            </w:tcBorders>
            <w:shd w:val="clear" w:color="auto" w:fill="3F000B"/>
          </w:tcPr>
          <w:p>
            <w:pPr>
              <w:spacing w:after="0"/>
              <w:rPr>
                <w:sz w:val="22"/>
                <w:szCs w:val="22"/>
                <w:color w:val="auto"/>
              </w:rPr>
            </w:pPr>
          </w:p>
        </w:tc>
        <w:tc>
          <w:tcPr>
            <w:tcW w:w="1060" w:type="dxa"/>
            <w:vAlign w:val="bottom"/>
            <w:tcBorders>
              <w:top w:val="single" w:sz="8" w:color="3F000B"/>
            </w:tcBorders>
            <w:shd w:val="clear" w:color="auto" w:fill="3F000B"/>
          </w:tcPr>
          <w:p>
            <w:pPr>
              <w:spacing w:after="0"/>
              <w:rPr>
                <w:sz w:val="22"/>
                <w:szCs w:val="22"/>
                <w:color w:val="auto"/>
              </w:rPr>
            </w:pPr>
          </w:p>
        </w:tc>
        <w:tc>
          <w:tcPr>
            <w:tcW w:w="380" w:type="dxa"/>
            <w:vAlign w:val="bottom"/>
            <w:tcBorders>
              <w:top w:val="single" w:sz="8" w:color="3F000B"/>
              <w:right w:val="single" w:sz="8" w:color="DADADA"/>
            </w:tcBorders>
            <w:shd w:val="clear" w:color="auto" w:fill="3F000B"/>
          </w:tcPr>
          <w:p>
            <w:pPr>
              <w:spacing w:after="0"/>
              <w:rPr>
                <w:sz w:val="22"/>
                <w:szCs w:val="22"/>
                <w:color w:val="auto"/>
              </w:rPr>
            </w:pPr>
          </w:p>
        </w:tc>
        <w:tc>
          <w:tcPr>
            <w:tcW w:w="1440" w:type="dxa"/>
            <w:vAlign w:val="bottom"/>
            <w:tcBorders>
              <w:top w:val="single" w:sz="8" w:color="3F000B"/>
              <w:right w:val="single" w:sz="8" w:color="DADADA"/>
            </w:tcBorders>
            <w:shd w:val="clear" w:color="auto" w:fill="3F000B"/>
          </w:tcPr>
          <w:p>
            <w:pPr>
              <w:spacing w:after="0"/>
              <w:rPr>
                <w:sz w:val="22"/>
                <w:szCs w:val="22"/>
                <w:color w:val="auto"/>
              </w:rPr>
            </w:pPr>
          </w:p>
        </w:tc>
        <w:tc>
          <w:tcPr>
            <w:tcW w:w="166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Company</w:t>
            </w:r>
          </w:p>
        </w:tc>
        <w:tc>
          <w:tcPr>
            <w:tcW w:w="1620" w:type="dxa"/>
            <w:vAlign w:val="bottom"/>
            <w:tcBorders>
              <w:top w:val="single" w:sz="8" w:color="3F000B"/>
              <w:right w:val="single" w:sz="8" w:color="DADADA"/>
            </w:tcBorders>
            <w:shd w:val="clear" w:color="auto" w:fill="3F000B"/>
          </w:tcPr>
          <w:p>
            <w:pPr>
              <w:spacing w:after="0"/>
              <w:rPr>
                <w:sz w:val="22"/>
                <w:szCs w:val="22"/>
                <w:color w:val="auto"/>
              </w:rPr>
            </w:pPr>
          </w:p>
        </w:tc>
        <w:tc>
          <w:tcPr>
            <w:tcW w:w="1960" w:type="dxa"/>
            <w:vAlign w:val="bottom"/>
            <w:tcBorders>
              <w:top w:val="single" w:sz="8" w:color="3F000B"/>
              <w:right w:val="single" w:sz="8" w:color="3F000B"/>
            </w:tcBorders>
            <w:shd w:val="clear" w:color="auto" w:fill="3F000B"/>
          </w:tcPr>
          <w:p>
            <w:pPr>
              <w:spacing w:after="0"/>
              <w:rPr>
                <w:sz w:val="22"/>
                <w:szCs w:val="22"/>
                <w:color w:val="auto"/>
              </w:rPr>
            </w:pPr>
          </w:p>
        </w:tc>
      </w:tr>
      <w:tr>
        <w:trPr>
          <w:trHeight w:val="256"/>
        </w:trPr>
        <w:tc>
          <w:tcPr>
            <w:tcW w:w="3040" w:type="dxa"/>
            <w:vAlign w:val="bottom"/>
            <w:tcBorders>
              <w:left w:val="single" w:sz="8" w:color="3F000B"/>
              <w:right w:val="single" w:sz="8" w:color="DADADA"/>
            </w:tcBorders>
            <w:shd w:val="clear" w:color="auto" w:fill="3F000B"/>
          </w:tcPr>
          <w:p>
            <w:pPr>
              <w:spacing w:after="0"/>
              <w:rPr>
                <w:sz w:val="22"/>
                <w:szCs w:val="22"/>
                <w:color w:val="auto"/>
              </w:rPr>
            </w:pPr>
          </w:p>
        </w:tc>
        <w:tc>
          <w:tcPr>
            <w:tcW w:w="1060" w:type="dxa"/>
            <w:vAlign w:val="bottom"/>
            <w:shd w:val="clear" w:color="auto" w:fill="3F000B"/>
          </w:tcPr>
          <w:p>
            <w:pPr>
              <w:spacing w:after="0"/>
              <w:rPr>
                <w:sz w:val="22"/>
                <w:szCs w:val="22"/>
                <w:color w:val="auto"/>
              </w:rPr>
            </w:pPr>
          </w:p>
        </w:tc>
        <w:tc>
          <w:tcPr>
            <w:tcW w:w="380" w:type="dxa"/>
            <w:vAlign w:val="bottom"/>
            <w:tcBorders>
              <w:right w:val="single" w:sz="8" w:color="DADADA"/>
            </w:tcBorders>
            <w:shd w:val="clear" w:color="auto" w:fill="3F000B"/>
          </w:tcPr>
          <w:p>
            <w:pPr>
              <w:spacing w:after="0"/>
              <w:rPr>
                <w:sz w:val="22"/>
                <w:szCs w:val="22"/>
                <w:color w:val="auto"/>
              </w:rPr>
            </w:pPr>
          </w:p>
        </w:tc>
        <w:tc>
          <w:tcPr>
            <w:tcW w:w="1440" w:type="dxa"/>
            <w:vAlign w:val="bottom"/>
            <w:tcBorders>
              <w:right w:val="single" w:sz="8" w:color="DADADA"/>
            </w:tcBorders>
            <w:shd w:val="clear" w:color="auto" w:fill="3F000B"/>
          </w:tcPr>
          <w:p>
            <w:pPr>
              <w:spacing w:after="0"/>
              <w:rPr>
                <w:sz w:val="22"/>
                <w:szCs w:val="22"/>
                <w:color w:val="auto"/>
              </w:rPr>
            </w:pPr>
          </w:p>
        </w:tc>
        <w:tc>
          <w:tcPr>
            <w:tcW w:w="16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Financial</w:t>
            </w:r>
          </w:p>
        </w:tc>
        <w:tc>
          <w:tcPr>
            <w:tcW w:w="16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Individual</w:t>
            </w:r>
          </w:p>
        </w:tc>
        <w:tc>
          <w:tcPr>
            <w:tcW w:w="1960" w:type="dxa"/>
            <w:vAlign w:val="bottom"/>
            <w:tcBorders>
              <w:right w:val="single" w:sz="8" w:color="3F000B"/>
            </w:tcBorders>
            <w:shd w:val="clear" w:color="auto" w:fill="3F000B"/>
          </w:tcPr>
          <w:p>
            <w:pPr>
              <w:spacing w:after="0"/>
              <w:rPr>
                <w:sz w:val="22"/>
                <w:szCs w:val="22"/>
                <w:color w:val="auto"/>
              </w:rPr>
            </w:pPr>
          </w:p>
        </w:tc>
      </w:tr>
      <w:tr>
        <w:trPr>
          <w:trHeight w:val="243"/>
        </w:trPr>
        <w:tc>
          <w:tcPr>
            <w:tcW w:w="3040" w:type="dxa"/>
            <w:vAlign w:val="bottom"/>
            <w:tcBorders>
              <w:left w:val="single" w:sz="8" w:color="3F000B"/>
              <w:right w:val="single" w:sz="8" w:color="DADADA"/>
            </w:tcBorders>
            <w:shd w:val="clear" w:color="auto" w:fill="3F000B"/>
          </w:tcPr>
          <w:p>
            <w:pPr>
              <w:spacing w:after="0"/>
              <w:rPr>
                <w:sz w:val="21"/>
                <w:szCs w:val="21"/>
                <w:color w:val="auto"/>
              </w:rPr>
            </w:pPr>
          </w:p>
        </w:tc>
        <w:tc>
          <w:tcPr>
            <w:tcW w:w="1060" w:type="dxa"/>
            <w:vAlign w:val="bottom"/>
            <w:shd w:val="clear" w:color="auto" w:fill="3F000B"/>
          </w:tcPr>
          <w:p>
            <w:pPr>
              <w:spacing w:after="0"/>
              <w:rPr>
                <w:sz w:val="21"/>
                <w:szCs w:val="21"/>
                <w:color w:val="auto"/>
              </w:rPr>
            </w:pPr>
          </w:p>
        </w:tc>
        <w:tc>
          <w:tcPr>
            <w:tcW w:w="380" w:type="dxa"/>
            <w:vAlign w:val="bottom"/>
            <w:tcBorders>
              <w:right w:val="single" w:sz="8" w:color="DADADA"/>
            </w:tcBorders>
            <w:shd w:val="clear" w:color="auto" w:fill="3F000B"/>
          </w:tcPr>
          <w:p>
            <w:pPr>
              <w:spacing w:after="0"/>
              <w:rPr>
                <w:sz w:val="21"/>
                <w:szCs w:val="21"/>
                <w:color w:val="auto"/>
              </w:rPr>
            </w:pPr>
          </w:p>
        </w:tc>
        <w:tc>
          <w:tcPr>
            <w:tcW w:w="1440" w:type="dxa"/>
            <w:vAlign w:val="bottom"/>
            <w:tcBorders>
              <w:right w:val="single" w:sz="8" w:color="DADADA"/>
            </w:tcBorders>
            <w:shd w:val="clear" w:color="auto" w:fill="3F000B"/>
          </w:tcPr>
          <w:p>
            <w:pPr>
              <w:spacing w:after="0"/>
              <w:rPr>
                <w:sz w:val="21"/>
                <w:szCs w:val="21"/>
                <w:color w:val="auto"/>
              </w:rPr>
            </w:pPr>
          </w:p>
        </w:tc>
        <w:tc>
          <w:tcPr>
            <w:tcW w:w="16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16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1960" w:type="dxa"/>
            <w:vAlign w:val="bottom"/>
            <w:tcBorders>
              <w:right w:val="single" w:sz="8" w:color="3F000B"/>
            </w:tcBorders>
            <w:shd w:val="clear" w:color="auto" w:fill="3F000B"/>
          </w:tcPr>
          <w:p>
            <w:pPr>
              <w:jc w:val="right"/>
              <w:ind w:right="710"/>
              <w:spacing w:after="0"/>
              <w:rPr>
                <w:sz w:val="20"/>
                <w:szCs w:val="20"/>
                <w:color w:val="auto"/>
              </w:rPr>
            </w:pPr>
            <w:r>
              <w:rPr>
                <w:rFonts w:ascii="Arial" w:cs="Arial" w:eastAsia="Arial" w:hAnsi="Arial"/>
                <w:sz w:val="18"/>
                <w:szCs w:val="18"/>
                <w:b w:val="1"/>
                <w:bCs w:val="1"/>
                <w:color w:val="FFFFFF"/>
              </w:rPr>
              <w:t>2020</w:t>
            </w:r>
          </w:p>
        </w:tc>
      </w:tr>
      <w:tr>
        <w:trPr>
          <w:trHeight w:val="257"/>
        </w:trPr>
        <w:tc>
          <w:tcPr>
            <w:tcW w:w="3040" w:type="dxa"/>
            <w:vAlign w:val="bottom"/>
            <w:tcBorders>
              <w:left w:val="single" w:sz="8" w:color="3F000B"/>
              <w:right w:val="single" w:sz="8" w:color="DADADA"/>
            </w:tcBorders>
            <w:shd w:val="clear" w:color="auto" w:fill="3F000B"/>
          </w:tcPr>
          <w:p>
            <w:pPr>
              <w:spacing w:after="0"/>
              <w:rPr>
                <w:sz w:val="22"/>
                <w:szCs w:val="22"/>
                <w:color w:val="auto"/>
              </w:rPr>
            </w:pPr>
          </w:p>
        </w:tc>
        <w:tc>
          <w:tcPr>
            <w:tcW w:w="1060" w:type="dxa"/>
            <w:vAlign w:val="bottom"/>
            <w:shd w:val="clear" w:color="auto" w:fill="3F000B"/>
          </w:tcPr>
          <w:p>
            <w:pPr>
              <w:jc w:val="center"/>
              <w:ind w:left="250"/>
              <w:spacing w:after="0"/>
              <w:rPr>
                <w:sz w:val="20"/>
                <w:szCs w:val="20"/>
                <w:color w:val="auto"/>
              </w:rPr>
            </w:pPr>
            <w:r>
              <w:rPr>
                <w:rFonts w:ascii="Arial" w:cs="Arial" w:eastAsia="Arial" w:hAnsi="Arial"/>
                <w:sz w:val="18"/>
                <w:szCs w:val="18"/>
                <w:b w:val="1"/>
                <w:bCs w:val="1"/>
                <w:color w:val="FFFFFF"/>
                <w:w w:val="94"/>
              </w:rPr>
              <w:t>Award</w:t>
            </w:r>
          </w:p>
        </w:tc>
        <w:tc>
          <w:tcPr>
            <w:tcW w:w="380" w:type="dxa"/>
            <w:vAlign w:val="bottom"/>
            <w:tcBorders>
              <w:right w:val="single" w:sz="8" w:color="DADADA"/>
            </w:tcBorders>
            <w:shd w:val="clear" w:color="auto" w:fill="3F000B"/>
          </w:tcPr>
          <w:p>
            <w:pPr>
              <w:spacing w:after="0"/>
              <w:rPr>
                <w:sz w:val="22"/>
                <w:szCs w:val="22"/>
                <w:color w:val="auto"/>
              </w:rPr>
            </w:pP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4"/>
              </w:rPr>
              <w:t>Award</w:t>
            </w:r>
          </w:p>
        </w:tc>
        <w:tc>
          <w:tcPr>
            <w:tcW w:w="16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6"/>
              </w:rPr>
              <w:t>Award (75%</w:t>
            </w:r>
          </w:p>
        </w:tc>
        <w:tc>
          <w:tcPr>
            <w:tcW w:w="16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6"/>
              </w:rPr>
              <w:t>Award (25%</w:t>
            </w:r>
          </w:p>
        </w:tc>
        <w:tc>
          <w:tcPr>
            <w:tcW w:w="1960" w:type="dxa"/>
            <w:vAlign w:val="bottom"/>
            <w:tcBorders>
              <w:right w:val="single" w:sz="8" w:color="3F000B"/>
            </w:tcBorders>
            <w:shd w:val="clear" w:color="auto" w:fill="3F000B"/>
          </w:tcPr>
          <w:p>
            <w:pPr>
              <w:jc w:val="right"/>
              <w:ind w:right="670"/>
              <w:spacing w:after="0"/>
              <w:rPr>
                <w:sz w:val="20"/>
                <w:szCs w:val="20"/>
                <w:color w:val="auto"/>
              </w:rPr>
            </w:pPr>
            <w:r>
              <w:rPr>
                <w:rFonts w:ascii="Arial" w:cs="Arial" w:eastAsia="Arial" w:hAnsi="Arial"/>
                <w:sz w:val="18"/>
                <w:szCs w:val="18"/>
                <w:b w:val="1"/>
                <w:bCs w:val="1"/>
                <w:color w:val="FFFFFF"/>
              </w:rPr>
              <w:t>OHIP</w:t>
            </w:r>
          </w:p>
        </w:tc>
      </w:tr>
      <w:tr>
        <w:trPr>
          <w:trHeight w:val="256"/>
        </w:trPr>
        <w:tc>
          <w:tcPr>
            <w:tcW w:w="3040" w:type="dxa"/>
            <w:vAlign w:val="bottom"/>
            <w:tcBorders>
              <w:left w:val="single" w:sz="8" w:color="3F000B"/>
              <w:right w:val="single" w:sz="8" w:color="DADADA"/>
            </w:tcBorders>
            <w:shd w:val="clear" w:color="auto" w:fill="3F000B"/>
          </w:tcPr>
          <w:p>
            <w:pPr>
              <w:spacing w:after="0"/>
              <w:rPr>
                <w:sz w:val="22"/>
                <w:szCs w:val="22"/>
                <w:color w:val="auto"/>
              </w:rPr>
            </w:pPr>
          </w:p>
        </w:tc>
        <w:tc>
          <w:tcPr>
            <w:tcW w:w="1060" w:type="dxa"/>
            <w:vAlign w:val="bottom"/>
            <w:shd w:val="clear" w:color="auto" w:fill="3F000B"/>
          </w:tcPr>
          <w:p>
            <w:pPr>
              <w:jc w:val="center"/>
              <w:ind w:left="270"/>
              <w:spacing w:after="0"/>
              <w:rPr>
                <w:sz w:val="20"/>
                <w:szCs w:val="20"/>
                <w:color w:val="auto"/>
              </w:rPr>
            </w:pPr>
            <w:r>
              <w:rPr>
                <w:rFonts w:ascii="Arial" w:cs="Arial" w:eastAsia="Arial" w:hAnsi="Arial"/>
                <w:sz w:val="18"/>
                <w:szCs w:val="18"/>
                <w:b w:val="1"/>
                <w:bCs w:val="1"/>
                <w:color w:val="FFFFFF"/>
                <w:w w:val="90"/>
              </w:rPr>
              <w:t>Target</w:t>
            </w:r>
          </w:p>
        </w:tc>
        <w:tc>
          <w:tcPr>
            <w:tcW w:w="380" w:type="dxa"/>
            <w:vAlign w:val="bottom"/>
            <w:tcBorders>
              <w:right w:val="single" w:sz="8" w:color="DADADA"/>
            </w:tcBorders>
            <w:shd w:val="clear" w:color="auto" w:fill="3F000B"/>
          </w:tcPr>
          <w:p>
            <w:pPr>
              <w:spacing w:after="0"/>
              <w:rPr>
                <w:sz w:val="22"/>
                <w:szCs w:val="22"/>
                <w:color w:val="auto"/>
              </w:rPr>
            </w:pP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Target</w:t>
            </w:r>
            <w:r>
              <w:rPr>
                <w:rFonts w:ascii="Arial" w:cs="Arial" w:eastAsia="Arial" w:hAnsi="Arial"/>
                <w:sz w:val="10"/>
                <w:szCs w:val="10"/>
                <w:b w:val="1"/>
                <w:bCs w:val="1"/>
                <w:color w:val="FFFFFF"/>
                <w:w w:val="92"/>
              </w:rPr>
              <w:t>(1)</w:t>
            </w:r>
          </w:p>
        </w:tc>
        <w:tc>
          <w:tcPr>
            <w:tcW w:w="16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Weighting)</w:t>
            </w:r>
          </w:p>
        </w:tc>
        <w:tc>
          <w:tcPr>
            <w:tcW w:w="16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Weighting)</w:t>
            </w:r>
          </w:p>
        </w:tc>
        <w:tc>
          <w:tcPr>
            <w:tcW w:w="1960" w:type="dxa"/>
            <w:vAlign w:val="bottom"/>
            <w:tcBorders>
              <w:right w:val="single" w:sz="8" w:color="3F000B"/>
            </w:tcBorders>
            <w:shd w:val="clear" w:color="auto" w:fill="3F000B"/>
          </w:tcPr>
          <w:p>
            <w:pPr>
              <w:jc w:val="right"/>
              <w:ind w:right="630"/>
              <w:spacing w:after="0"/>
              <w:rPr>
                <w:sz w:val="20"/>
                <w:szCs w:val="20"/>
                <w:color w:val="auto"/>
              </w:rPr>
            </w:pPr>
            <w:r>
              <w:rPr>
                <w:rFonts w:ascii="Arial" w:cs="Arial" w:eastAsia="Arial" w:hAnsi="Arial"/>
                <w:sz w:val="18"/>
                <w:szCs w:val="18"/>
                <w:b w:val="1"/>
                <w:bCs w:val="1"/>
                <w:color w:val="FFFFFF"/>
              </w:rPr>
              <w:t>Award</w:t>
            </w:r>
          </w:p>
        </w:tc>
      </w:tr>
      <w:tr>
        <w:trPr>
          <w:trHeight w:val="243"/>
        </w:trPr>
        <w:tc>
          <w:tcPr>
            <w:tcW w:w="3040" w:type="dxa"/>
            <w:vAlign w:val="bottom"/>
            <w:tcBorders>
              <w:left w:val="single" w:sz="8" w:color="3F000B"/>
              <w:right w:val="single" w:sz="8" w:color="DADADA"/>
            </w:tcBorders>
            <w:shd w:val="clear" w:color="auto" w:fill="3F000B"/>
          </w:tcPr>
          <w:p>
            <w:pPr>
              <w:ind w:left="1300"/>
              <w:spacing w:after="0"/>
              <w:rPr>
                <w:sz w:val="20"/>
                <w:szCs w:val="20"/>
                <w:color w:val="auto"/>
              </w:rPr>
            </w:pPr>
            <w:r>
              <w:rPr>
                <w:rFonts w:ascii="Arial" w:cs="Arial" w:eastAsia="Arial" w:hAnsi="Arial"/>
                <w:sz w:val="18"/>
                <w:szCs w:val="18"/>
                <w:b w:val="1"/>
                <w:bCs w:val="1"/>
                <w:color w:val="FFFFFF"/>
              </w:rPr>
              <w:t>Name</w:t>
            </w:r>
          </w:p>
        </w:tc>
        <w:tc>
          <w:tcPr>
            <w:tcW w:w="1060" w:type="dxa"/>
            <w:vAlign w:val="bottom"/>
            <w:shd w:val="clear" w:color="auto" w:fill="3F000B"/>
          </w:tcPr>
          <w:p>
            <w:pPr>
              <w:jc w:val="center"/>
              <w:ind w:left="270"/>
              <w:spacing w:after="0"/>
              <w:rPr>
                <w:sz w:val="20"/>
                <w:szCs w:val="20"/>
                <w:color w:val="auto"/>
              </w:rPr>
            </w:pPr>
            <w:r>
              <w:rPr>
                <w:rFonts w:ascii="Arial" w:cs="Arial" w:eastAsia="Arial" w:hAnsi="Arial"/>
                <w:sz w:val="18"/>
                <w:szCs w:val="18"/>
                <w:b w:val="1"/>
                <w:bCs w:val="1"/>
                <w:color w:val="FFFFFF"/>
              </w:rPr>
              <w:t>(%)</w:t>
            </w:r>
          </w:p>
        </w:tc>
        <w:tc>
          <w:tcPr>
            <w:tcW w:w="380" w:type="dxa"/>
            <w:vAlign w:val="bottom"/>
            <w:tcBorders>
              <w:right w:val="single" w:sz="8" w:color="DADADA"/>
            </w:tcBorders>
            <w:shd w:val="clear" w:color="auto" w:fill="3F000B"/>
          </w:tcPr>
          <w:p>
            <w:pPr>
              <w:spacing w:after="0"/>
              <w:rPr>
                <w:sz w:val="21"/>
                <w:szCs w:val="21"/>
                <w:color w:val="auto"/>
              </w:rPr>
            </w:pPr>
          </w:p>
        </w:tc>
        <w:tc>
          <w:tcPr>
            <w:tcW w:w="14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16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6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960" w:type="dxa"/>
            <w:vAlign w:val="bottom"/>
            <w:tcBorders>
              <w:right w:val="single" w:sz="8" w:color="3F000B"/>
            </w:tcBorders>
            <w:shd w:val="clear" w:color="auto" w:fill="3F000B"/>
          </w:tcPr>
          <w:p>
            <w:pPr>
              <w:jc w:val="right"/>
              <w:ind w:right="790"/>
              <w:spacing w:after="0"/>
              <w:rPr>
                <w:sz w:val="20"/>
                <w:szCs w:val="20"/>
                <w:color w:val="auto"/>
              </w:rPr>
            </w:pPr>
            <w:r>
              <w:rPr>
                <w:rFonts w:ascii="Arial" w:cs="Arial" w:eastAsia="Arial" w:hAnsi="Arial"/>
                <w:sz w:val="18"/>
                <w:szCs w:val="18"/>
                <w:b w:val="1"/>
                <w:bCs w:val="1"/>
                <w:color w:val="FFFFFF"/>
              </w:rPr>
              <w:t>($)</w:t>
            </w:r>
          </w:p>
        </w:tc>
      </w:tr>
      <w:tr>
        <w:trPr>
          <w:trHeight w:val="81"/>
        </w:trPr>
        <w:tc>
          <w:tcPr>
            <w:tcW w:w="3040" w:type="dxa"/>
            <w:vAlign w:val="bottom"/>
            <w:tcBorders>
              <w:left w:val="single" w:sz="8" w:color="3F000B"/>
              <w:right w:val="single" w:sz="8" w:color="DADADA"/>
            </w:tcBorders>
            <w:shd w:val="clear" w:color="auto" w:fill="3F000B"/>
          </w:tcPr>
          <w:p>
            <w:pPr>
              <w:spacing w:after="0"/>
              <w:rPr>
                <w:sz w:val="7"/>
                <w:szCs w:val="7"/>
                <w:color w:val="auto"/>
              </w:rPr>
            </w:pPr>
          </w:p>
        </w:tc>
        <w:tc>
          <w:tcPr>
            <w:tcW w:w="1060" w:type="dxa"/>
            <w:vAlign w:val="bottom"/>
            <w:shd w:val="clear" w:color="auto" w:fill="3F000B"/>
          </w:tcPr>
          <w:p>
            <w:pPr>
              <w:spacing w:after="0"/>
              <w:rPr>
                <w:sz w:val="7"/>
                <w:szCs w:val="7"/>
                <w:color w:val="auto"/>
              </w:rPr>
            </w:pPr>
          </w:p>
        </w:tc>
        <w:tc>
          <w:tcPr>
            <w:tcW w:w="380" w:type="dxa"/>
            <w:vAlign w:val="bottom"/>
            <w:tcBorders>
              <w:right w:val="single" w:sz="8" w:color="DADADA"/>
            </w:tcBorders>
            <w:shd w:val="clear" w:color="auto" w:fill="3F000B"/>
          </w:tcPr>
          <w:p>
            <w:pPr>
              <w:spacing w:after="0"/>
              <w:rPr>
                <w:sz w:val="7"/>
                <w:szCs w:val="7"/>
                <w:color w:val="auto"/>
              </w:rPr>
            </w:pPr>
          </w:p>
        </w:tc>
        <w:tc>
          <w:tcPr>
            <w:tcW w:w="1440" w:type="dxa"/>
            <w:vAlign w:val="bottom"/>
            <w:tcBorders>
              <w:right w:val="single" w:sz="8" w:color="DADADA"/>
            </w:tcBorders>
            <w:shd w:val="clear" w:color="auto" w:fill="3F000B"/>
          </w:tcPr>
          <w:p>
            <w:pPr>
              <w:spacing w:after="0"/>
              <w:rPr>
                <w:sz w:val="7"/>
                <w:szCs w:val="7"/>
                <w:color w:val="auto"/>
              </w:rPr>
            </w:pPr>
          </w:p>
        </w:tc>
        <w:tc>
          <w:tcPr>
            <w:tcW w:w="1660" w:type="dxa"/>
            <w:vAlign w:val="bottom"/>
            <w:tcBorders>
              <w:right w:val="single" w:sz="8" w:color="DADADA"/>
            </w:tcBorders>
            <w:shd w:val="clear" w:color="auto" w:fill="3F000B"/>
          </w:tcPr>
          <w:p>
            <w:pPr>
              <w:spacing w:after="0"/>
              <w:rPr>
                <w:sz w:val="7"/>
                <w:szCs w:val="7"/>
                <w:color w:val="auto"/>
              </w:rPr>
            </w:pPr>
          </w:p>
        </w:tc>
        <w:tc>
          <w:tcPr>
            <w:tcW w:w="1620" w:type="dxa"/>
            <w:vAlign w:val="bottom"/>
            <w:tcBorders>
              <w:right w:val="single" w:sz="8" w:color="DADADA"/>
            </w:tcBorders>
            <w:shd w:val="clear" w:color="auto" w:fill="3F000B"/>
          </w:tcPr>
          <w:p>
            <w:pPr>
              <w:spacing w:after="0"/>
              <w:rPr>
                <w:sz w:val="7"/>
                <w:szCs w:val="7"/>
                <w:color w:val="auto"/>
              </w:rPr>
            </w:pPr>
          </w:p>
        </w:tc>
        <w:tc>
          <w:tcPr>
            <w:tcW w:w="1960" w:type="dxa"/>
            <w:vAlign w:val="bottom"/>
            <w:tcBorders>
              <w:right w:val="single" w:sz="8" w:color="3F000B"/>
            </w:tcBorders>
            <w:shd w:val="clear" w:color="auto" w:fill="3F000B"/>
          </w:tcPr>
          <w:p>
            <w:pPr>
              <w:spacing w:after="0"/>
              <w:rPr>
                <w:sz w:val="7"/>
                <w:szCs w:val="7"/>
                <w:color w:val="auto"/>
              </w:rPr>
            </w:pPr>
          </w:p>
        </w:tc>
      </w:tr>
      <w:tr>
        <w:trPr>
          <w:trHeight w:val="243"/>
        </w:trPr>
        <w:tc>
          <w:tcPr>
            <w:tcW w:w="30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Voskuil</w:t>
            </w:r>
          </w:p>
        </w:tc>
        <w:tc>
          <w:tcPr>
            <w:tcW w:w="1060" w:type="dxa"/>
            <w:vAlign w:val="bottom"/>
          </w:tcPr>
          <w:p>
            <w:pPr>
              <w:spacing w:after="0"/>
              <w:rPr>
                <w:sz w:val="21"/>
                <w:szCs w:val="21"/>
                <w:color w:val="auto"/>
              </w:rPr>
            </w:pPr>
          </w:p>
        </w:tc>
        <w:tc>
          <w:tcPr>
            <w:tcW w:w="3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85</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572,606</w:t>
            </w:r>
          </w:p>
        </w:tc>
        <w:tc>
          <w:tcPr>
            <w:tcW w:w="16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640,273</w:t>
            </w:r>
          </w:p>
        </w:tc>
        <w:tc>
          <w:tcPr>
            <w:tcW w:w="16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213,425</w:t>
            </w:r>
          </w:p>
        </w:tc>
        <w:tc>
          <w:tcPr>
            <w:tcW w:w="19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853,698</w:t>
            </w:r>
          </w:p>
        </w:tc>
      </w:tr>
      <w:tr>
        <w:trPr>
          <w:trHeight w:val="27"/>
        </w:trPr>
        <w:tc>
          <w:tcPr>
            <w:tcW w:w="3040" w:type="dxa"/>
            <w:vAlign w:val="bottom"/>
            <w:tcBorders>
              <w:left w:val="single" w:sz="8" w:color="3F000B"/>
              <w:right w:val="single" w:sz="8" w:color="3F000B"/>
            </w:tcBorders>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Borders>
              <w:right w:val="single" w:sz="8" w:color="3F000B"/>
            </w:tcBorders>
          </w:tcPr>
          <w:p>
            <w:pPr>
              <w:spacing w:after="0"/>
              <w:rPr>
                <w:sz w:val="2"/>
                <w:szCs w:val="2"/>
                <w:color w:val="auto"/>
              </w:rPr>
            </w:pPr>
          </w:p>
        </w:tc>
        <w:tc>
          <w:tcPr>
            <w:tcW w:w="1440" w:type="dxa"/>
            <w:vAlign w:val="bottom"/>
            <w:tcBorders>
              <w:right w:val="single" w:sz="8" w:color="3F000B"/>
            </w:tcBorders>
          </w:tcPr>
          <w:p>
            <w:pPr>
              <w:spacing w:after="0"/>
              <w:rPr>
                <w:sz w:val="2"/>
                <w:szCs w:val="2"/>
                <w:color w:val="auto"/>
              </w:rPr>
            </w:pPr>
          </w:p>
        </w:tc>
        <w:tc>
          <w:tcPr>
            <w:tcW w:w="1660" w:type="dxa"/>
            <w:vAlign w:val="bottom"/>
            <w:tcBorders>
              <w:right w:val="single" w:sz="8" w:color="3F000B"/>
            </w:tcBorders>
          </w:tcPr>
          <w:p>
            <w:pPr>
              <w:spacing w:after="0"/>
              <w:rPr>
                <w:sz w:val="2"/>
                <w:szCs w:val="2"/>
                <w:color w:val="auto"/>
              </w:rPr>
            </w:pPr>
          </w:p>
        </w:tc>
        <w:tc>
          <w:tcPr>
            <w:tcW w:w="1620" w:type="dxa"/>
            <w:vAlign w:val="bottom"/>
            <w:tcBorders>
              <w:right w:val="single" w:sz="8" w:color="3F000B"/>
            </w:tcBorders>
          </w:tcPr>
          <w:p>
            <w:pPr>
              <w:spacing w:after="0"/>
              <w:rPr>
                <w:sz w:val="2"/>
                <w:szCs w:val="2"/>
                <w:color w:val="auto"/>
              </w:rPr>
            </w:pPr>
          </w:p>
        </w:tc>
        <w:tc>
          <w:tcPr>
            <w:tcW w:w="1960" w:type="dxa"/>
            <w:vAlign w:val="bottom"/>
            <w:tcBorders>
              <w:right w:val="single" w:sz="8" w:color="3F000B"/>
            </w:tcBorders>
          </w:tcPr>
          <w:p>
            <w:pPr>
              <w:spacing w:after="0"/>
              <w:rPr>
                <w:sz w:val="2"/>
                <w:szCs w:val="2"/>
                <w:color w:val="auto"/>
              </w:rPr>
            </w:pPr>
          </w:p>
        </w:tc>
      </w:tr>
      <w:tr>
        <w:trPr>
          <w:trHeight w:val="250"/>
        </w:trPr>
        <w:tc>
          <w:tcPr>
            <w:tcW w:w="30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Raup</w:t>
            </w:r>
          </w:p>
        </w:tc>
        <w:tc>
          <w:tcPr>
            <w:tcW w:w="1060" w:type="dxa"/>
            <w:vAlign w:val="bottom"/>
            <w:tcBorders>
              <w:bottom w:val="single" w:sz="8" w:color="DADADA"/>
            </w:tcBorders>
            <w:shd w:val="clear" w:color="auto" w:fill="DADADA"/>
          </w:tcPr>
          <w:p>
            <w:pPr>
              <w:spacing w:after="0"/>
              <w:rPr>
                <w:sz w:val="21"/>
                <w:szCs w:val="21"/>
                <w:color w:val="auto"/>
              </w:rPr>
            </w:pPr>
          </w:p>
        </w:tc>
        <w:tc>
          <w:tcPr>
            <w:tcW w:w="38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70</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348,115</w:t>
            </w:r>
          </w:p>
        </w:tc>
        <w:tc>
          <w:tcPr>
            <w:tcW w:w="16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389,254</w:t>
            </w:r>
          </w:p>
        </w:tc>
        <w:tc>
          <w:tcPr>
            <w:tcW w:w="16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174,058</w:t>
            </w:r>
          </w:p>
        </w:tc>
        <w:tc>
          <w:tcPr>
            <w:tcW w:w="19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563,312</w:t>
            </w:r>
          </w:p>
        </w:tc>
      </w:tr>
      <w:tr>
        <w:trPr>
          <w:trHeight w:val="270"/>
        </w:trPr>
        <w:tc>
          <w:tcPr>
            <w:tcW w:w="30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Reiman</w:t>
            </w:r>
          </w:p>
        </w:tc>
        <w:tc>
          <w:tcPr>
            <w:tcW w:w="1060" w:type="dxa"/>
            <w:vAlign w:val="bottom"/>
          </w:tcPr>
          <w:p>
            <w:pPr>
              <w:spacing w:after="0"/>
              <w:rPr>
                <w:sz w:val="23"/>
                <w:szCs w:val="23"/>
                <w:color w:val="auto"/>
              </w:rPr>
            </w:pPr>
          </w:p>
        </w:tc>
        <w:tc>
          <w:tcPr>
            <w:tcW w:w="3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65</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332,785</w:t>
            </w:r>
          </w:p>
        </w:tc>
        <w:tc>
          <w:tcPr>
            <w:tcW w:w="16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372,112</w:t>
            </w:r>
          </w:p>
        </w:tc>
        <w:tc>
          <w:tcPr>
            <w:tcW w:w="16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124,037</w:t>
            </w:r>
          </w:p>
        </w:tc>
        <w:tc>
          <w:tcPr>
            <w:tcW w:w="19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496,149</w:t>
            </w:r>
          </w:p>
        </w:tc>
      </w:tr>
      <w:tr>
        <w:trPr>
          <w:trHeight w:val="250"/>
        </w:trPr>
        <w:tc>
          <w:tcPr>
            <w:tcW w:w="30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Atkins</w:t>
            </w:r>
          </w:p>
        </w:tc>
        <w:tc>
          <w:tcPr>
            <w:tcW w:w="1060" w:type="dxa"/>
            <w:vAlign w:val="bottom"/>
            <w:tcBorders>
              <w:bottom w:val="single" w:sz="8" w:color="DADADA"/>
            </w:tcBorders>
            <w:shd w:val="clear" w:color="auto" w:fill="DADADA"/>
          </w:tcPr>
          <w:p>
            <w:pPr>
              <w:spacing w:after="0"/>
              <w:rPr>
                <w:sz w:val="21"/>
                <w:szCs w:val="21"/>
                <w:color w:val="auto"/>
              </w:rPr>
            </w:pPr>
          </w:p>
        </w:tc>
        <w:tc>
          <w:tcPr>
            <w:tcW w:w="38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70</w:t>
            </w:r>
          </w:p>
        </w:tc>
        <w:tc>
          <w:tcPr>
            <w:tcW w:w="14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412,117</w:t>
            </w:r>
          </w:p>
        </w:tc>
        <w:tc>
          <w:tcPr>
            <w:tcW w:w="16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460,819</w:t>
            </w:r>
          </w:p>
        </w:tc>
        <w:tc>
          <w:tcPr>
            <w:tcW w:w="16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103,030</w:t>
            </w:r>
          </w:p>
        </w:tc>
        <w:tc>
          <w:tcPr>
            <w:tcW w:w="19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563,849</w:t>
            </w:r>
          </w:p>
        </w:tc>
      </w:tr>
      <w:tr>
        <w:trPr>
          <w:trHeight w:val="270"/>
        </w:trPr>
        <w:tc>
          <w:tcPr>
            <w:tcW w:w="30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Walling</w:t>
            </w:r>
            <w:r>
              <w:rPr>
                <w:rFonts w:ascii="Arial" w:cs="Arial" w:eastAsia="Arial" w:hAnsi="Arial"/>
                <w:sz w:val="23"/>
                <w:szCs w:val="23"/>
                <w:color w:val="auto"/>
                <w:vertAlign w:val="superscript"/>
              </w:rPr>
              <w:t>(2)</w:t>
            </w:r>
          </w:p>
        </w:tc>
        <w:tc>
          <w:tcPr>
            <w:tcW w:w="1060" w:type="dxa"/>
            <w:vAlign w:val="bottom"/>
          </w:tcPr>
          <w:p>
            <w:pPr>
              <w:spacing w:after="0"/>
              <w:rPr>
                <w:sz w:val="23"/>
                <w:szCs w:val="23"/>
                <w:color w:val="auto"/>
              </w:rPr>
            </w:pPr>
          </w:p>
        </w:tc>
        <w:tc>
          <w:tcPr>
            <w:tcW w:w="3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70</w:t>
            </w:r>
          </w:p>
        </w:tc>
        <w:tc>
          <w:tcPr>
            <w:tcW w:w="14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372,456</w:t>
            </w:r>
          </w:p>
        </w:tc>
        <w:tc>
          <w:tcPr>
            <w:tcW w:w="16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380,920</w:t>
            </w:r>
          </w:p>
        </w:tc>
        <w:tc>
          <w:tcPr>
            <w:tcW w:w="16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17,907</w:t>
            </w:r>
          </w:p>
        </w:tc>
        <w:tc>
          <w:tcPr>
            <w:tcW w:w="19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398,827</w:t>
            </w:r>
          </w:p>
        </w:tc>
      </w:tr>
      <w:tr>
        <w:trPr>
          <w:trHeight w:val="270"/>
        </w:trPr>
        <w:tc>
          <w:tcPr>
            <w:tcW w:w="3040" w:type="dxa"/>
            <w:vAlign w:val="bottom"/>
            <w:tcBorders>
              <w:left w:val="single" w:sz="8" w:color="3F000B"/>
              <w:bottom w:val="single" w:sz="8" w:color="3F000B"/>
              <w:right w:val="single" w:sz="8" w:color="3F000B"/>
            </w:tcBorders>
            <w:shd w:val="clear" w:color="auto" w:fill="DBDBDB"/>
          </w:tcPr>
          <w:p>
            <w:pPr>
              <w:ind w:left="40"/>
              <w:spacing w:after="0"/>
              <w:rPr>
                <w:sz w:val="20"/>
                <w:szCs w:val="20"/>
                <w:color w:val="auto"/>
              </w:rPr>
            </w:pPr>
            <w:r>
              <w:rPr>
                <w:rFonts w:ascii="Arial" w:cs="Arial" w:eastAsia="Arial" w:hAnsi="Arial"/>
                <w:sz w:val="18"/>
                <w:szCs w:val="18"/>
                <w:color w:val="auto"/>
              </w:rPr>
              <w:t>Ms. West</w:t>
            </w:r>
            <w:r>
              <w:rPr>
                <w:rFonts w:ascii="Arial" w:cs="Arial" w:eastAsia="Arial" w:hAnsi="Arial"/>
                <w:sz w:val="23"/>
                <w:szCs w:val="23"/>
                <w:color w:val="auto"/>
                <w:vertAlign w:val="superscript"/>
              </w:rPr>
              <w:t>(2)</w:t>
            </w:r>
          </w:p>
        </w:tc>
        <w:tc>
          <w:tcPr>
            <w:tcW w:w="1060" w:type="dxa"/>
            <w:vAlign w:val="bottom"/>
            <w:tcBorders>
              <w:bottom w:val="single" w:sz="8" w:color="3F000B"/>
            </w:tcBorders>
            <w:shd w:val="clear" w:color="auto" w:fill="DBDBDB"/>
          </w:tcPr>
          <w:p>
            <w:pPr>
              <w:spacing w:after="0"/>
              <w:rPr>
                <w:sz w:val="23"/>
                <w:szCs w:val="23"/>
                <w:color w:val="auto"/>
              </w:rPr>
            </w:pPr>
          </w:p>
        </w:tc>
        <w:tc>
          <w:tcPr>
            <w:tcW w:w="380" w:type="dxa"/>
            <w:vAlign w:val="bottom"/>
            <w:tcBorders>
              <w:bottom w:val="single" w:sz="8" w:color="3F000B"/>
              <w:right w:val="single" w:sz="8" w:color="3F000B"/>
            </w:tcBorders>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1440" w:type="dxa"/>
            <w:vAlign w:val="bottom"/>
            <w:tcBorders>
              <w:bottom w:val="single" w:sz="8" w:color="3F000B"/>
              <w:right w:val="single" w:sz="8" w:color="3F000B"/>
            </w:tcBorders>
            <w:shd w:val="clear" w:color="auto" w:fill="DBDBDB"/>
          </w:tcPr>
          <w:p>
            <w:pPr>
              <w:jc w:val="right"/>
              <w:spacing w:after="0"/>
              <w:rPr>
                <w:sz w:val="20"/>
                <w:szCs w:val="20"/>
                <w:color w:val="auto"/>
              </w:rPr>
            </w:pPr>
            <w:r>
              <w:rPr>
                <w:rFonts w:ascii="Arial" w:cs="Arial" w:eastAsia="Arial" w:hAnsi="Arial"/>
                <w:sz w:val="18"/>
                <w:szCs w:val="18"/>
                <w:color w:val="auto"/>
              </w:rPr>
              <w:t>562,416</w:t>
            </w:r>
          </w:p>
        </w:tc>
        <w:tc>
          <w:tcPr>
            <w:tcW w:w="1660" w:type="dxa"/>
            <w:vAlign w:val="bottom"/>
            <w:tcBorders>
              <w:bottom w:val="single" w:sz="8" w:color="3F000B"/>
              <w:right w:val="single" w:sz="8" w:color="3F000B"/>
            </w:tcBorders>
            <w:shd w:val="clear" w:color="auto" w:fill="DBDBDB"/>
          </w:tcPr>
          <w:p>
            <w:pPr>
              <w:jc w:val="right"/>
              <w:ind w:right="10"/>
              <w:spacing w:after="0"/>
              <w:rPr>
                <w:sz w:val="20"/>
                <w:szCs w:val="20"/>
                <w:color w:val="auto"/>
              </w:rPr>
            </w:pPr>
            <w:r>
              <w:rPr>
                <w:rFonts w:ascii="Arial" w:cs="Arial" w:eastAsia="Arial" w:hAnsi="Arial"/>
                <w:sz w:val="18"/>
                <w:szCs w:val="18"/>
                <w:color w:val="auto"/>
              </w:rPr>
              <w:t>575,197</w:t>
            </w:r>
          </w:p>
        </w:tc>
        <w:tc>
          <w:tcPr>
            <w:tcW w:w="1620" w:type="dxa"/>
            <w:vAlign w:val="bottom"/>
            <w:tcBorders>
              <w:bottom w:val="single" w:sz="8" w:color="3F000B"/>
              <w:right w:val="single" w:sz="8" w:color="3F000B"/>
            </w:tcBorders>
            <w:shd w:val="clear" w:color="auto" w:fill="DBDBDB"/>
          </w:tcPr>
          <w:p>
            <w:pPr>
              <w:jc w:val="right"/>
              <w:spacing w:after="0"/>
              <w:rPr>
                <w:sz w:val="20"/>
                <w:szCs w:val="20"/>
                <w:color w:val="auto"/>
              </w:rPr>
            </w:pPr>
            <w:r>
              <w:rPr>
                <w:rFonts w:ascii="Arial" w:cs="Arial" w:eastAsia="Arial" w:hAnsi="Arial"/>
                <w:sz w:val="18"/>
                <w:szCs w:val="18"/>
                <w:color w:val="auto"/>
              </w:rPr>
              <w:t>27,040</w:t>
            </w:r>
          </w:p>
        </w:tc>
        <w:tc>
          <w:tcPr>
            <w:tcW w:w="1960" w:type="dxa"/>
            <w:vAlign w:val="bottom"/>
            <w:tcBorders>
              <w:bottom w:val="single" w:sz="8" w:color="3F000B"/>
              <w:right w:val="single" w:sz="8" w:color="3F000B"/>
            </w:tcBorders>
            <w:shd w:val="clear" w:color="auto" w:fill="DBDBDB"/>
          </w:tcPr>
          <w:p>
            <w:pPr>
              <w:jc w:val="right"/>
              <w:spacing w:after="0"/>
              <w:rPr>
                <w:sz w:val="20"/>
                <w:szCs w:val="20"/>
                <w:color w:val="auto"/>
              </w:rPr>
            </w:pPr>
            <w:r>
              <w:rPr>
                <w:rFonts w:ascii="Arial" w:cs="Arial" w:eastAsia="Arial" w:hAnsi="Arial"/>
                <w:sz w:val="18"/>
                <w:szCs w:val="18"/>
                <w:color w:val="auto"/>
              </w:rPr>
              <w:t>602,237</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20" w:hanging="312"/>
        <w:spacing w:after="0"/>
        <w:tabs>
          <w:tab w:leader="none" w:pos="3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Target award is based upon actual salary received in 2020.</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Per the terms of Mr. Walling and Ms. West’s respective Confidential Separation Agreement and General Release, their 2020 OHIP awards were calculated as follows:</w:t>
      </w:r>
    </w:p>
    <w:p>
      <w:pPr>
        <w:spacing w:after="0" w:line="55" w:lineRule="exact"/>
        <w:rPr>
          <w:rFonts w:ascii="Arial" w:cs="Arial" w:eastAsia="Arial" w:hAnsi="Arial"/>
          <w:sz w:val="14"/>
          <w:szCs w:val="14"/>
          <w:color w:val="auto"/>
        </w:rPr>
      </w:pPr>
    </w:p>
    <w:p>
      <w:pPr>
        <w:ind w:left="420" w:hanging="88"/>
        <w:spacing w:after="0"/>
        <w:tabs>
          <w:tab w:leader="none" w:pos="42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From January 1, 2020 through February 29, 2020, their respective 2020 OHIP awards were based 75% on Company financial performance results and 25% on individual performance.</w:t>
      </w:r>
    </w:p>
    <w:p>
      <w:pPr>
        <w:spacing w:after="0" w:line="66" w:lineRule="exact"/>
        <w:rPr>
          <w:rFonts w:ascii="Arial" w:cs="Arial" w:eastAsia="Arial" w:hAnsi="Arial"/>
          <w:sz w:val="13"/>
          <w:szCs w:val="13"/>
          <w:color w:val="auto"/>
        </w:rPr>
      </w:pPr>
    </w:p>
    <w:p>
      <w:pPr>
        <w:ind w:left="500" w:right="340" w:hanging="168"/>
        <w:spacing w:after="0" w:line="273" w:lineRule="auto"/>
        <w:tabs>
          <w:tab w:leader="none" w:pos="424" w:val="left"/>
        </w:tabs>
        <w:numPr>
          <w:ilvl w:val="1"/>
          <w:numId w:val="137"/>
        </w:numPr>
        <w:rPr>
          <w:rFonts w:ascii="Arial" w:cs="Arial" w:eastAsia="Arial" w:hAnsi="Arial"/>
          <w:sz w:val="14"/>
          <w:szCs w:val="14"/>
          <w:color w:val="auto"/>
        </w:rPr>
      </w:pPr>
      <w:r>
        <w:rPr>
          <w:rFonts w:ascii="Arial" w:cs="Arial" w:eastAsia="Arial" w:hAnsi="Arial"/>
          <w:sz w:val="14"/>
          <w:szCs w:val="14"/>
          <w:color w:val="auto"/>
        </w:rPr>
        <w:t>From March 1, 2020 through December 31, 2020, their respective 2020 OHIP awards were based 100% on Company financial performance, calculated as the lower of the Company financial performance score or target.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2020 OHIP payments are included in Column (g) of the 2020 Summary Compensation Table for each NEO.</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400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4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provide long-term incentive opportunities to motivate, retain and reward our NEOs for their contributions to multi-year performance in achieving strategies and improving long-term share value. In February of each year, the Compensation Committee awards long-term incentive grants to our NEOs.</w:t>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320" w:top="1053" w:right="419" w:bottom="1440" w:gutter="0" w:footer="0" w:header="0"/>
        </w:sectPr>
      </w:pPr>
    </w:p>
    <w:bookmarkStart w:id="62" w:name="page63"/>
    <w:bookmarkEnd w:id="62"/>
    <w:p>
      <w:pPr>
        <w:ind w:right="120"/>
        <w:spacing w:after="0" w:line="263" w:lineRule="auto"/>
        <w:rPr>
          <w:sz w:val="20"/>
          <w:szCs w:val="20"/>
          <w:color w:val="auto"/>
        </w:rPr>
      </w:pPr>
      <w:r>
        <w:rPr>
          <w:rFonts w:ascii="Arial" w:cs="Arial" w:eastAsia="Arial" w:hAnsi="Arial"/>
          <w:sz w:val="18"/>
          <w:szCs w:val="18"/>
          <w:color w:val="auto"/>
        </w:rPr>
        <w:t>The Compensation Committee, and the independent directors in the case of our CEO, determines the value of long-term incentive awards made to each NEO by considering the NEO’s target total direct compensation against internal and external references. The target award percentages approved in 2020, expressed as a percentage of base salary, were:</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920" w:type="dxa"/>
            <w:vAlign w:val="bottom"/>
            <w:tcBorders>
              <w:top w:val="single" w:sz="8" w:color="3F000B"/>
              <w:left w:val="single" w:sz="8" w:color="3F000B"/>
              <w:right w:val="single" w:sz="8" w:color="DADADA"/>
            </w:tcBorders>
            <w:shd w:val="clear" w:color="auto" w:fill="3F000B"/>
          </w:tcPr>
          <w:p>
            <w:pPr>
              <w:spacing w:after="0"/>
              <w:rPr>
                <w:sz w:val="22"/>
                <w:szCs w:val="22"/>
                <w:color w:val="auto"/>
              </w:rPr>
            </w:pPr>
          </w:p>
        </w:tc>
        <w:tc>
          <w:tcPr>
            <w:tcW w:w="482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Target Long-Term</w:t>
            </w:r>
          </w:p>
        </w:tc>
      </w:tr>
      <w:tr>
        <w:trPr>
          <w:trHeight w:val="243"/>
        </w:trPr>
        <w:tc>
          <w:tcPr>
            <w:tcW w:w="5920" w:type="dxa"/>
            <w:vAlign w:val="bottom"/>
            <w:tcBorders>
              <w:left w:val="single" w:sz="8" w:color="3F000B"/>
              <w:right w:val="single" w:sz="8" w:color="DADADA"/>
            </w:tcBorders>
            <w:shd w:val="clear" w:color="auto" w:fill="3F000B"/>
          </w:tcPr>
          <w:p>
            <w:pPr>
              <w:spacing w:after="0"/>
              <w:rPr>
                <w:sz w:val="21"/>
                <w:szCs w:val="21"/>
                <w:color w:val="auto"/>
              </w:rPr>
            </w:pPr>
          </w:p>
        </w:tc>
        <w:tc>
          <w:tcPr>
            <w:tcW w:w="48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Incentive Award</w:t>
            </w:r>
          </w:p>
        </w:tc>
      </w:tr>
      <w:tr>
        <w:trPr>
          <w:trHeight w:val="257"/>
        </w:trPr>
        <w:tc>
          <w:tcPr>
            <w:tcW w:w="5920" w:type="dxa"/>
            <w:vAlign w:val="bottom"/>
            <w:tcBorders>
              <w:left w:val="single" w:sz="8" w:color="3F000B"/>
              <w:right w:val="single" w:sz="8" w:color="DADADA"/>
            </w:tcBorders>
            <w:shd w:val="clear" w:color="auto" w:fill="3F000B"/>
          </w:tcPr>
          <w:p>
            <w:pPr>
              <w:ind w:left="2740"/>
              <w:spacing w:after="0"/>
              <w:rPr>
                <w:sz w:val="20"/>
                <w:szCs w:val="20"/>
                <w:color w:val="auto"/>
              </w:rPr>
            </w:pPr>
            <w:r>
              <w:rPr>
                <w:rFonts w:ascii="Arial" w:cs="Arial" w:eastAsia="Arial" w:hAnsi="Arial"/>
                <w:sz w:val="18"/>
                <w:szCs w:val="18"/>
                <w:b w:val="1"/>
                <w:bCs w:val="1"/>
                <w:color w:val="FFFFFF"/>
              </w:rPr>
              <w:t>Name</w:t>
            </w:r>
          </w:p>
        </w:tc>
        <w:tc>
          <w:tcPr>
            <w:tcW w:w="48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 of Salary)</w:t>
            </w:r>
          </w:p>
        </w:tc>
      </w:tr>
      <w:tr>
        <w:trPr>
          <w:trHeight w:val="81"/>
        </w:trPr>
        <w:tc>
          <w:tcPr>
            <w:tcW w:w="5920" w:type="dxa"/>
            <w:vAlign w:val="bottom"/>
            <w:tcBorders>
              <w:left w:val="single" w:sz="8" w:color="3F000B"/>
              <w:right w:val="single" w:sz="8" w:color="DADADA"/>
            </w:tcBorders>
            <w:shd w:val="clear" w:color="auto" w:fill="3F000B"/>
          </w:tcPr>
          <w:p>
            <w:pPr>
              <w:spacing w:after="0"/>
              <w:rPr>
                <w:sz w:val="7"/>
                <w:szCs w:val="7"/>
                <w:color w:val="auto"/>
              </w:rPr>
            </w:pPr>
          </w:p>
        </w:tc>
        <w:tc>
          <w:tcPr>
            <w:tcW w:w="4820" w:type="dxa"/>
            <w:vAlign w:val="bottom"/>
            <w:tcBorders>
              <w:right w:val="single" w:sz="8" w:color="3F000B"/>
            </w:tcBorders>
            <w:shd w:val="clear" w:color="auto" w:fill="3F000B"/>
          </w:tcPr>
          <w:p>
            <w:pPr>
              <w:spacing w:after="0"/>
              <w:rPr>
                <w:sz w:val="7"/>
                <w:szCs w:val="7"/>
                <w:color w:val="auto"/>
              </w:rPr>
            </w:pPr>
          </w:p>
        </w:tc>
      </w:tr>
      <w:tr>
        <w:trPr>
          <w:trHeight w:val="243"/>
        </w:trPr>
        <w:tc>
          <w:tcPr>
            <w:tcW w:w="59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48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920" w:type="dxa"/>
            <w:vAlign w:val="bottom"/>
            <w:tcBorders>
              <w:left w:val="single" w:sz="8" w:color="3F000B"/>
              <w:right w:val="single" w:sz="8" w:color="3F000B"/>
            </w:tcBorders>
          </w:tcPr>
          <w:p>
            <w:pPr>
              <w:spacing w:after="0"/>
              <w:rPr>
                <w:sz w:val="2"/>
                <w:szCs w:val="2"/>
                <w:color w:val="auto"/>
              </w:rPr>
            </w:pPr>
          </w:p>
        </w:tc>
        <w:tc>
          <w:tcPr>
            <w:tcW w:w="4820" w:type="dxa"/>
            <w:vAlign w:val="bottom"/>
            <w:tcBorders>
              <w:right w:val="single" w:sz="8" w:color="3F000B"/>
            </w:tcBorders>
          </w:tcPr>
          <w:p>
            <w:pPr>
              <w:spacing w:after="0"/>
              <w:rPr>
                <w:sz w:val="2"/>
                <w:szCs w:val="2"/>
                <w:color w:val="auto"/>
              </w:rPr>
            </w:pPr>
          </w:p>
        </w:tc>
      </w:tr>
      <w:tr>
        <w:trPr>
          <w:trHeight w:val="250"/>
        </w:trPr>
        <w:tc>
          <w:tcPr>
            <w:tcW w:w="59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48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59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48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150</w:t>
            </w:r>
          </w:p>
        </w:tc>
      </w:tr>
      <w:tr>
        <w:trPr>
          <w:trHeight w:val="250"/>
        </w:trPr>
        <w:tc>
          <w:tcPr>
            <w:tcW w:w="59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48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9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48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5920" w:type="dxa"/>
            <w:vAlign w:val="bottom"/>
            <w:tcBorders>
              <w:left w:val="single" w:sz="8" w:color="3F000B"/>
              <w:right w:val="single" w:sz="8" w:color="3F000B"/>
            </w:tcBorders>
          </w:tcPr>
          <w:p>
            <w:pPr>
              <w:spacing w:after="0"/>
              <w:rPr>
                <w:sz w:val="2"/>
                <w:szCs w:val="2"/>
                <w:color w:val="auto"/>
              </w:rPr>
            </w:pPr>
          </w:p>
        </w:tc>
        <w:tc>
          <w:tcPr>
            <w:tcW w:w="4820" w:type="dxa"/>
            <w:vAlign w:val="bottom"/>
            <w:tcBorders>
              <w:right w:val="single" w:sz="8" w:color="3F000B"/>
            </w:tcBorders>
          </w:tcPr>
          <w:p>
            <w:pPr>
              <w:spacing w:after="0"/>
              <w:rPr>
                <w:sz w:val="2"/>
                <w:szCs w:val="2"/>
                <w:color w:val="auto"/>
              </w:rPr>
            </w:pPr>
          </w:p>
        </w:tc>
      </w:tr>
      <w:tr>
        <w:trPr>
          <w:trHeight w:val="270"/>
        </w:trPr>
        <w:tc>
          <w:tcPr>
            <w:tcW w:w="592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Walling</w:t>
            </w:r>
          </w:p>
        </w:tc>
        <w:tc>
          <w:tcPr>
            <w:tcW w:w="482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59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West</w:t>
            </w:r>
          </w:p>
        </w:tc>
        <w:tc>
          <w:tcPr>
            <w:tcW w:w="48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920" w:type="dxa"/>
            <w:vAlign w:val="bottom"/>
            <w:tcBorders>
              <w:left w:val="single" w:sz="8" w:color="3F000B"/>
              <w:bottom w:val="single" w:sz="8" w:color="3F000B"/>
              <w:right w:val="single" w:sz="8" w:color="3F000B"/>
            </w:tcBorders>
          </w:tcPr>
          <w:p>
            <w:pPr>
              <w:spacing w:after="0"/>
              <w:rPr>
                <w:sz w:val="2"/>
                <w:szCs w:val="2"/>
                <w:color w:val="auto"/>
              </w:rPr>
            </w:pPr>
          </w:p>
        </w:tc>
        <w:tc>
          <w:tcPr>
            <w:tcW w:w="4820" w:type="dxa"/>
            <w:vAlign w:val="bottom"/>
            <w:tcBorders>
              <w:bottom w:val="single" w:sz="8" w:color="3F000B"/>
              <w:right w:val="single" w:sz="8" w:color="3F000B"/>
            </w:tcBorders>
          </w:tcPr>
          <w:p>
            <w:pPr>
              <w:spacing w:after="0"/>
              <w:rPr>
                <w:sz w:val="2"/>
                <w:szCs w:val="2"/>
                <w:color w:val="auto"/>
              </w:rPr>
            </w:pPr>
          </w:p>
        </w:tc>
      </w:tr>
    </w:tbl>
    <w:p>
      <w:pPr>
        <w:spacing w:after="0" w:line="17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Compensation Committee values RSUs and PSUs using the closing stock price of the Company’s Common Stock on the NYSE on the date of grant. Target total direct compensation levels for each of the NEOs fall within an appropriate range relative to the median for comparable positions given each incumbent’s performance, responsibilities and tenure in the role.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Performance Stock Unit Targets and Results (65% of long-term incentive mix)</w:t>
      </w:r>
    </w:p>
    <w:p>
      <w:pPr>
        <w:spacing w:after="0" w:line="1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PSUs are granted to NEOs and other executives in a position to affect the Company’s long-term results. At the start of each three-year cycle, a contingent target number of PSUs is established for each executive. This target is expressed as a percentage of the executive’s base salary and is determined as part of a total compensation package based on the peer group and survey composite benchmarks. Dividends are not paid on PSU awards during the three-year performance cycle.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2018-2020 PSU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objectives for the 2018-2020 performance cycle awarded in 2018 were based upon the following metrics:</w:t>
      </w:r>
    </w:p>
    <w:p>
      <w:pPr>
        <w:spacing w:after="0" w:line="117"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Three-year relative TSR versus the 2018 peer group described below;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Three-year CAGR in total Company net sales;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Three-year CAGR in adjusted earnings per share-diluted measured against an internal target.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selected these metrics to measure performance against internal targets aligned with our stockholders’ interests and investment returns offered by our peer companies. The 2018 peer group originally included 15 companies with median revenues of $7.8 billion. Dr Pepper Snapple Group, Inc. and Dean Foods Company were subsequently removed from the 2018 peer group as a result of a corporate transactions, which occurred in July 2018 and May 2020, respectively. Therefore, 13 companies remained in the 2018-2020 cycle for use in assessing our Company’s 2018-2020 TSR.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Companies included in the 2018 peer group for the 2018-2020 PSU cycle award were:</w:t>
      </w:r>
    </w:p>
    <w:p>
      <w:pPr>
        <w:spacing w:after="0" w:line="287" w:lineRule="exact"/>
        <w:rPr>
          <w:sz w:val="20"/>
          <w:szCs w:val="20"/>
          <w:color w:val="auto"/>
        </w:rPr>
      </w:pPr>
    </w:p>
    <w:tbl>
      <w:tblPr>
        <w:tblLayout w:type="fixed"/>
        <w:tblInd w:w="350" w:type="dxa"/>
        <w:tblCellMar>
          <w:top w:w="0" w:type="dxa"/>
          <w:left w:w="0" w:type="dxa"/>
          <w:bottom w:w="0" w:type="dxa"/>
          <w:right w:w="0" w:type="dxa"/>
        </w:tblCellMar>
      </w:tblPr>
      <w:tr>
        <w:trPr>
          <w:trHeight w:val="257"/>
        </w:trPr>
        <w:tc>
          <w:tcPr>
            <w:tcW w:w="2700" w:type="dxa"/>
            <w:vAlign w:val="bottom"/>
            <w:tcBorders>
              <w:top w:val="single" w:sz="8" w:color="3F000B"/>
              <w:left w:val="single" w:sz="8" w:color="3F000B"/>
            </w:tcBorders>
          </w:tcPr>
          <w:p>
            <w:pPr>
              <w:ind w:left="20"/>
              <w:spacing w:after="0"/>
              <w:rPr>
                <w:sz w:val="20"/>
                <w:szCs w:val="20"/>
                <w:color w:val="auto"/>
              </w:rPr>
            </w:pPr>
            <w:r>
              <w:rPr>
                <w:rFonts w:ascii="Arial" w:cs="Arial" w:eastAsia="Arial" w:hAnsi="Arial"/>
                <w:sz w:val="18"/>
                <w:szCs w:val="18"/>
                <w:color w:val="auto"/>
              </w:rPr>
              <w:t>Brown-Forman Corporation</w:t>
            </w:r>
          </w:p>
        </w:tc>
        <w:tc>
          <w:tcPr>
            <w:tcW w:w="3420" w:type="dxa"/>
            <w:vAlign w:val="bottom"/>
            <w:tcBorders>
              <w:top w:val="single" w:sz="8" w:color="3F000B"/>
            </w:tcBorders>
          </w:tcPr>
          <w:p>
            <w:pPr>
              <w:ind w:left="560"/>
              <w:spacing w:after="0"/>
              <w:rPr>
                <w:sz w:val="20"/>
                <w:szCs w:val="20"/>
                <w:color w:val="auto"/>
              </w:rPr>
            </w:pPr>
            <w:r>
              <w:rPr>
                <w:rFonts w:ascii="Arial" w:cs="Arial" w:eastAsia="Arial" w:hAnsi="Arial"/>
                <w:sz w:val="18"/>
                <w:szCs w:val="18"/>
                <w:color w:val="auto"/>
              </w:rPr>
              <w:t>General Mills, Inc.</w:t>
            </w:r>
          </w:p>
        </w:tc>
        <w:tc>
          <w:tcPr>
            <w:tcW w:w="3700" w:type="dxa"/>
            <w:vAlign w:val="bottom"/>
            <w:tcBorders>
              <w:top w:val="single" w:sz="8" w:color="3F000B"/>
              <w:right w:val="single" w:sz="8" w:color="3F000B"/>
            </w:tcBorders>
          </w:tcPr>
          <w:p>
            <w:pPr>
              <w:ind w:left="420"/>
              <w:spacing w:after="0"/>
              <w:rPr>
                <w:sz w:val="20"/>
                <w:szCs w:val="20"/>
                <w:color w:val="auto"/>
              </w:rPr>
            </w:pPr>
            <w:r>
              <w:rPr>
                <w:rFonts w:ascii="Arial" w:cs="Arial" w:eastAsia="Arial" w:hAnsi="Arial"/>
                <w:sz w:val="18"/>
                <w:szCs w:val="18"/>
                <w:color w:val="auto"/>
              </w:rPr>
              <w:t>Mondelez International</w:t>
            </w:r>
          </w:p>
        </w:tc>
      </w:tr>
      <w:tr>
        <w:trPr>
          <w:trHeight w:val="27"/>
        </w:trPr>
        <w:tc>
          <w:tcPr>
            <w:tcW w:w="2700" w:type="dxa"/>
            <w:vAlign w:val="bottom"/>
            <w:tcBorders>
              <w:left w:val="single" w:sz="8" w:color="3F000B"/>
            </w:tcBorders>
          </w:tcPr>
          <w:p>
            <w:pPr>
              <w:spacing w:after="0"/>
              <w:rPr>
                <w:sz w:val="2"/>
                <w:szCs w:val="2"/>
                <w:color w:val="auto"/>
              </w:rPr>
            </w:pPr>
          </w:p>
        </w:tc>
        <w:tc>
          <w:tcPr>
            <w:tcW w:w="3420" w:type="dxa"/>
            <w:vAlign w:val="bottom"/>
          </w:tcPr>
          <w:p>
            <w:pPr>
              <w:spacing w:after="0"/>
              <w:rPr>
                <w:sz w:val="2"/>
                <w:szCs w:val="2"/>
                <w:color w:val="auto"/>
              </w:rPr>
            </w:pPr>
          </w:p>
        </w:tc>
        <w:tc>
          <w:tcPr>
            <w:tcW w:w="3700" w:type="dxa"/>
            <w:vAlign w:val="bottom"/>
            <w:tcBorders>
              <w:right w:val="single" w:sz="8" w:color="3F000B"/>
            </w:tcBorders>
          </w:tcPr>
          <w:p>
            <w:pPr>
              <w:spacing w:after="0"/>
              <w:rPr>
                <w:sz w:val="2"/>
                <w:szCs w:val="2"/>
                <w:color w:val="auto"/>
              </w:rPr>
            </w:pPr>
          </w:p>
        </w:tc>
      </w:tr>
      <w:tr>
        <w:trPr>
          <w:trHeight w:val="250"/>
        </w:trPr>
        <w:tc>
          <w:tcPr>
            <w:tcW w:w="2700" w:type="dxa"/>
            <w:vAlign w:val="bottom"/>
            <w:tcBorders>
              <w:left w:val="single" w:sz="8" w:color="3F000B"/>
              <w:bottom w:val="single" w:sz="8" w:color="DADADA"/>
            </w:tcBorders>
            <w:shd w:val="clear" w:color="auto" w:fill="DADADA"/>
          </w:tcPr>
          <w:p>
            <w:pPr>
              <w:ind w:left="20"/>
              <w:spacing w:after="0"/>
              <w:rPr>
                <w:sz w:val="20"/>
                <w:szCs w:val="20"/>
                <w:color w:val="auto"/>
              </w:rPr>
            </w:pPr>
            <w:r>
              <w:rPr>
                <w:rFonts w:ascii="Arial" w:cs="Arial" w:eastAsia="Arial" w:hAnsi="Arial"/>
                <w:sz w:val="18"/>
                <w:szCs w:val="18"/>
                <w:color w:val="auto"/>
              </w:rPr>
              <w:t>Campbell Soup Company</w:t>
            </w:r>
          </w:p>
        </w:tc>
        <w:tc>
          <w:tcPr>
            <w:tcW w:w="3420" w:type="dxa"/>
            <w:vAlign w:val="bottom"/>
            <w:tcBorders>
              <w:bottom w:val="single" w:sz="8" w:color="DADADA"/>
            </w:tcBorders>
            <w:shd w:val="clear" w:color="auto" w:fill="DADADA"/>
          </w:tcPr>
          <w:p>
            <w:pPr>
              <w:ind w:left="560"/>
              <w:spacing w:after="0"/>
              <w:rPr>
                <w:sz w:val="20"/>
                <w:szCs w:val="20"/>
                <w:color w:val="auto"/>
              </w:rPr>
            </w:pPr>
            <w:r>
              <w:rPr>
                <w:rFonts w:ascii="Arial" w:cs="Arial" w:eastAsia="Arial" w:hAnsi="Arial"/>
                <w:sz w:val="18"/>
                <w:szCs w:val="18"/>
                <w:color w:val="auto"/>
              </w:rPr>
              <w:t>Hormel Foods Corporation</w:t>
            </w:r>
          </w:p>
        </w:tc>
        <w:tc>
          <w:tcPr>
            <w:tcW w:w="3700" w:type="dxa"/>
            <w:vAlign w:val="bottom"/>
            <w:tcBorders>
              <w:bottom w:val="single" w:sz="8" w:color="DADADA"/>
              <w:right w:val="single" w:sz="8" w:color="3F000B"/>
            </w:tcBorders>
            <w:shd w:val="clear" w:color="auto" w:fill="DADADA"/>
          </w:tcPr>
          <w:p>
            <w:pPr>
              <w:ind w:left="420"/>
              <w:spacing w:after="0"/>
              <w:rPr>
                <w:sz w:val="20"/>
                <w:szCs w:val="20"/>
                <w:color w:val="auto"/>
              </w:rPr>
            </w:pPr>
            <w:r>
              <w:rPr>
                <w:rFonts w:ascii="Arial" w:cs="Arial" w:eastAsia="Arial" w:hAnsi="Arial"/>
                <w:sz w:val="18"/>
                <w:szCs w:val="18"/>
                <w:color w:val="auto"/>
              </w:rPr>
              <w:t>The Clorox Company</w:t>
            </w:r>
          </w:p>
        </w:tc>
      </w:tr>
      <w:tr>
        <w:trPr>
          <w:trHeight w:val="243"/>
        </w:trPr>
        <w:tc>
          <w:tcPr>
            <w:tcW w:w="2700" w:type="dxa"/>
            <w:vAlign w:val="bottom"/>
            <w:tcBorders>
              <w:left w:val="single" w:sz="8" w:color="3F000B"/>
            </w:tcBorders>
          </w:tcPr>
          <w:p>
            <w:pPr>
              <w:ind w:left="20"/>
              <w:spacing w:after="0"/>
              <w:rPr>
                <w:sz w:val="20"/>
                <w:szCs w:val="20"/>
                <w:color w:val="auto"/>
              </w:rPr>
            </w:pPr>
            <w:r>
              <w:rPr>
                <w:rFonts w:ascii="Arial" w:cs="Arial" w:eastAsia="Arial" w:hAnsi="Arial"/>
                <w:sz w:val="18"/>
                <w:szCs w:val="18"/>
                <w:color w:val="auto"/>
              </w:rPr>
              <w:t>Colgate-Palmolive Company</w:t>
            </w:r>
          </w:p>
        </w:tc>
        <w:tc>
          <w:tcPr>
            <w:tcW w:w="3420" w:type="dxa"/>
            <w:vAlign w:val="bottom"/>
          </w:tcPr>
          <w:p>
            <w:pPr>
              <w:ind w:left="560"/>
              <w:spacing w:after="0"/>
              <w:rPr>
                <w:sz w:val="20"/>
                <w:szCs w:val="20"/>
                <w:color w:val="auto"/>
              </w:rPr>
            </w:pPr>
            <w:r>
              <w:rPr>
                <w:rFonts w:ascii="Arial" w:cs="Arial" w:eastAsia="Arial" w:hAnsi="Arial"/>
                <w:sz w:val="18"/>
                <w:szCs w:val="18"/>
                <w:color w:val="auto"/>
              </w:rPr>
              <w:t>Kellogg Company</w:t>
            </w:r>
          </w:p>
        </w:tc>
        <w:tc>
          <w:tcPr>
            <w:tcW w:w="3700" w:type="dxa"/>
            <w:vAlign w:val="bottom"/>
            <w:tcBorders>
              <w:right w:val="single" w:sz="8" w:color="3F000B"/>
            </w:tcBorders>
          </w:tcPr>
          <w:p>
            <w:pPr>
              <w:ind w:left="420"/>
              <w:spacing w:after="0"/>
              <w:rPr>
                <w:sz w:val="20"/>
                <w:szCs w:val="20"/>
                <w:color w:val="auto"/>
              </w:rPr>
            </w:pPr>
            <w:r>
              <w:rPr>
                <w:rFonts w:ascii="Arial" w:cs="Arial" w:eastAsia="Arial" w:hAnsi="Arial"/>
                <w:sz w:val="18"/>
                <w:szCs w:val="18"/>
                <w:color w:val="auto"/>
              </w:rPr>
              <w:t>The J. M. Smucker Company</w:t>
            </w:r>
          </w:p>
        </w:tc>
      </w:tr>
      <w:tr>
        <w:trPr>
          <w:trHeight w:val="27"/>
        </w:trPr>
        <w:tc>
          <w:tcPr>
            <w:tcW w:w="2700" w:type="dxa"/>
            <w:vAlign w:val="bottom"/>
            <w:tcBorders>
              <w:left w:val="single" w:sz="8" w:color="3F000B"/>
            </w:tcBorders>
          </w:tcPr>
          <w:p>
            <w:pPr>
              <w:spacing w:after="0"/>
              <w:rPr>
                <w:sz w:val="2"/>
                <w:szCs w:val="2"/>
                <w:color w:val="auto"/>
              </w:rPr>
            </w:pPr>
          </w:p>
        </w:tc>
        <w:tc>
          <w:tcPr>
            <w:tcW w:w="3420" w:type="dxa"/>
            <w:vAlign w:val="bottom"/>
          </w:tcPr>
          <w:p>
            <w:pPr>
              <w:spacing w:after="0"/>
              <w:rPr>
                <w:sz w:val="2"/>
                <w:szCs w:val="2"/>
                <w:color w:val="auto"/>
              </w:rPr>
            </w:pPr>
          </w:p>
        </w:tc>
        <w:tc>
          <w:tcPr>
            <w:tcW w:w="3700" w:type="dxa"/>
            <w:vAlign w:val="bottom"/>
            <w:tcBorders>
              <w:right w:val="single" w:sz="8" w:color="3F000B"/>
            </w:tcBorders>
          </w:tcPr>
          <w:p>
            <w:pPr>
              <w:spacing w:after="0"/>
              <w:rPr>
                <w:sz w:val="2"/>
                <w:szCs w:val="2"/>
                <w:color w:val="auto"/>
              </w:rPr>
            </w:pPr>
          </w:p>
        </w:tc>
      </w:tr>
      <w:tr>
        <w:trPr>
          <w:trHeight w:val="250"/>
        </w:trPr>
        <w:tc>
          <w:tcPr>
            <w:tcW w:w="2700" w:type="dxa"/>
            <w:vAlign w:val="bottom"/>
            <w:tcBorders>
              <w:left w:val="single" w:sz="8" w:color="3F000B"/>
              <w:bottom w:val="single" w:sz="8" w:color="DADADA"/>
            </w:tcBorders>
            <w:shd w:val="clear" w:color="auto" w:fill="DADADA"/>
          </w:tcPr>
          <w:p>
            <w:pPr>
              <w:ind w:left="20"/>
              <w:spacing w:after="0"/>
              <w:rPr>
                <w:sz w:val="20"/>
                <w:szCs w:val="20"/>
                <w:color w:val="auto"/>
              </w:rPr>
            </w:pPr>
            <w:r>
              <w:rPr>
                <w:rFonts w:ascii="Arial" w:cs="Arial" w:eastAsia="Arial" w:hAnsi="Arial"/>
                <w:sz w:val="18"/>
                <w:szCs w:val="18"/>
                <w:color w:val="auto"/>
              </w:rPr>
              <w:t>ConAgra Brands, Inc.</w:t>
            </w:r>
          </w:p>
        </w:tc>
        <w:tc>
          <w:tcPr>
            <w:tcW w:w="3420" w:type="dxa"/>
            <w:vAlign w:val="bottom"/>
            <w:tcBorders>
              <w:bottom w:val="single" w:sz="8" w:color="DADADA"/>
            </w:tcBorders>
            <w:shd w:val="clear" w:color="auto" w:fill="DADADA"/>
          </w:tcPr>
          <w:p>
            <w:pPr>
              <w:ind w:left="560"/>
              <w:spacing w:after="0"/>
              <w:rPr>
                <w:sz w:val="20"/>
                <w:szCs w:val="20"/>
                <w:color w:val="auto"/>
              </w:rPr>
            </w:pPr>
            <w:r>
              <w:rPr>
                <w:rFonts w:ascii="Arial" w:cs="Arial" w:eastAsia="Arial" w:hAnsi="Arial"/>
                <w:sz w:val="18"/>
                <w:szCs w:val="18"/>
                <w:color w:val="auto"/>
              </w:rPr>
              <w:t>McCormick &amp; Company, Inc.</w:t>
            </w:r>
          </w:p>
        </w:tc>
        <w:tc>
          <w:tcPr>
            <w:tcW w:w="3700" w:type="dxa"/>
            <w:vAlign w:val="bottom"/>
            <w:tcBorders>
              <w:bottom w:val="single" w:sz="8" w:color="DADADA"/>
              <w:right w:val="single" w:sz="8" w:color="3F000B"/>
            </w:tcBorders>
            <w:shd w:val="clear" w:color="auto" w:fill="DADADA"/>
          </w:tcPr>
          <w:p>
            <w:pPr>
              <w:spacing w:after="0"/>
              <w:rPr>
                <w:sz w:val="21"/>
                <w:szCs w:val="21"/>
                <w:color w:val="auto"/>
              </w:rPr>
            </w:pPr>
          </w:p>
        </w:tc>
      </w:tr>
      <w:tr>
        <w:trPr>
          <w:trHeight w:val="243"/>
        </w:trPr>
        <w:tc>
          <w:tcPr>
            <w:tcW w:w="2700" w:type="dxa"/>
            <w:vAlign w:val="bottom"/>
            <w:tcBorders>
              <w:left w:val="single" w:sz="8" w:color="3F000B"/>
            </w:tcBorders>
          </w:tcPr>
          <w:p>
            <w:pPr>
              <w:ind w:left="20"/>
              <w:spacing w:after="0"/>
              <w:rPr>
                <w:sz w:val="20"/>
                <w:szCs w:val="20"/>
                <w:color w:val="auto"/>
              </w:rPr>
            </w:pPr>
            <w:r>
              <w:rPr>
                <w:rFonts w:ascii="Arial" w:cs="Arial" w:eastAsia="Arial" w:hAnsi="Arial"/>
                <w:sz w:val="18"/>
                <w:szCs w:val="18"/>
                <w:color w:val="auto"/>
              </w:rPr>
              <w:t>Constellation Brands, Inc.</w:t>
            </w:r>
          </w:p>
        </w:tc>
        <w:tc>
          <w:tcPr>
            <w:tcW w:w="3420" w:type="dxa"/>
            <w:vAlign w:val="bottom"/>
          </w:tcPr>
          <w:p>
            <w:pPr>
              <w:ind w:left="560"/>
              <w:spacing w:after="0"/>
              <w:rPr>
                <w:sz w:val="20"/>
                <w:szCs w:val="20"/>
                <w:color w:val="auto"/>
              </w:rPr>
            </w:pPr>
            <w:r>
              <w:rPr>
                <w:rFonts w:ascii="Arial" w:cs="Arial" w:eastAsia="Arial" w:hAnsi="Arial"/>
                <w:sz w:val="18"/>
                <w:szCs w:val="18"/>
                <w:color w:val="auto"/>
              </w:rPr>
              <w:t>Molson Coors Brewing Company</w:t>
            </w:r>
          </w:p>
        </w:tc>
        <w:tc>
          <w:tcPr>
            <w:tcW w:w="3700" w:type="dxa"/>
            <w:vAlign w:val="bottom"/>
            <w:tcBorders>
              <w:right w:val="single" w:sz="8" w:color="3F000B"/>
            </w:tcBorders>
          </w:tcPr>
          <w:p>
            <w:pPr>
              <w:spacing w:after="0"/>
              <w:rPr>
                <w:sz w:val="21"/>
                <w:szCs w:val="21"/>
                <w:color w:val="auto"/>
              </w:rPr>
            </w:pPr>
          </w:p>
        </w:tc>
      </w:tr>
      <w:tr>
        <w:trPr>
          <w:trHeight w:val="27"/>
        </w:trPr>
        <w:tc>
          <w:tcPr>
            <w:tcW w:w="2700" w:type="dxa"/>
            <w:vAlign w:val="bottom"/>
            <w:tcBorders>
              <w:left w:val="single" w:sz="8" w:color="3F000B"/>
              <w:bottom w:val="single" w:sz="8" w:color="3F000B"/>
            </w:tcBorders>
          </w:tcPr>
          <w:p>
            <w:pPr>
              <w:spacing w:after="0"/>
              <w:rPr>
                <w:sz w:val="2"/>
                <w:szCs w:val="2"/>
                <w:color w:val="auto"/>
              </w:rPr>
            </w:pPr>
          </w:p>
        </w:tc>
        <w:tc>
          <w:tcPr>
            <w:tcW w:w="3420" w:type="dxa"/>
            <w:vAlign w:val="bottom"/>
            <w:tcBorders>
              <w:bottom w:val="single" w:sz="8" w:color="3F000B"/>
            </w:tcBorders>
          </w:tcPr>
          <w:p>
            <w:pPr>
              <w:spacing w:after="0"/>
              <w:rPr>
                <w:sz w:val="2"/>
                <w:szCs w:val="2"/>
                <w:color w:val="auto"/>
              </w:rPr>
            </w:pPr>
          </w:p>
        </w:tc>
        <w:tc>
          <w:tcPr>
            <w:tcW w:w="3700" w:type="dxa"/>
            <w:vAlign w:val="bottom"/>
            <w:tcBorders>
              <w:bottom w:val="single" w:sz="8" w:color="3F000B"/>
              <w:right w:val="single" w:sz="8" w:color="3F000B"/>
            </w:tcBorders>
          </w:tcPr>
          <w:p>
            <w:pPr>
              <w:spacing w:after="0"/>
              <w:rPr>
                <w:sz w:val="2"/>
                <w:szCs w:val="2"/>
                <w:color w:val="auto"/>
              </w:rPr>
            </w:pPr>
          </w:p>
        </w:tc>
      </w:tr>
    </w:tbl>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Payment of any amounts earned is made in shares of Common Stock at the conclusion of the three-year performance cycle. The maximum award for any participant in a performance cycle is 250% of the contingent target award.</w:t>
      </w:r>
    </w:p>
    <w:p>
      <w:pPr>
        <w:sectPr>
          <w:pgSz w:w="11900" w:h="16838" w:orient="portrait"/>
          <w:cols w:equalWidth="0" w:num="1">
            <w:col w:w="11140"/>
          </w:cols>
          <w:pgMar w:left="320" w:top="105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40"/>
          </w:cols>
          <w:pgMar w:left="320" w:top="1057" w:right="4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auto"/>
        </w:rPr>
        <w:t>Targets and results for the 2018-2020 performance cycle were as follows: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700" w:type="dxa"/>
            <w:vAlign w:val="bottom"/>
            <w:tcBorders>
              <w:top w:val="single" w:sz="8" w:color="3F000B"/>
              <w:left w:val="single" w:sz="8" w:color="3F000B"/>
              <w:right w:val="single" w:sz="8" w:color="DADADA"/>
            </w:tcBorders>
            <w:shd w:val="clear" w:color="auto" w:fill="3F000B"/>
          </w:tcPr>
          <w:p>
            <w:pPr>
              <w:spacing w:after="0"/>
              <w:rPr>
                <w:sz w:val="20"/>
                <w:szCs w:val="20"/>
                <w:color w:val="auto"/>
              </w:rPr>
            </w:pPr>
          </w:p>
        </w:tc>
        <w:tc>
          <w:tcPr>
            <w:tcW w:w="1900" w:type="dxa"/>
            <w:vAlign w:val="bottom"/>
            <w:tcBorders>
              <w:top w:val="single" w:sz="8" w:color="3F000B"/>
              <w:right w:val="single" w:sz="8" w:color="DADADA"/>
            </w:tcBorders>
            <w:shd w:val="clear" w:color="auto" w:fill="3F000B"/>
          </w:tcPr>
          <w:p>
            <w:pPr>
              <w:spacing w:after="0"/>
              <w:rPr>
                <w:sz w:val="20"/>
                <w:szCs w:val="20"/>
                <w:color w:val="auto"/>
              </w:rPr>
            </w:pPr>
          </w:p>
        </w:tc>
        <w:tc>
          <w:tcPr>
            <w:tcW w:w="1860" w:type="dxa"/>
            <w:vAlign w:val="bottom"/>
            <w:tcBorders>
              <w:top w:val="single" w:sz="8" w:color="3F000B"/>
              <w:right w:val="single" w:sz="8" w:color="DADADA"/>
            </w:tcBorders>
            <w:shd w:val="clear" w:color="auto" w:fill="3F000B"/>
          </w:tcPr>
          <w:p>
            <w:pPr>
              <w:spacing w:after="0"/>
              <w:rPr>
                <w:sz w:val="20"/>
                <w:szCs w:val="20"/>
                <w:color w:val="auto"/>
              </w:rPr>
            </w:pPr>
          </w:p>
        </w:tc>
        <w:tc>
          <w:tcPr>
            <w:tcW w:w="1800" w:type="dxa"/>
            <w:vAlign w:val="bottom"/>
            <w:tcBorders>
              <w:top w:val="single" w:sz="8" w:color="3F000B"/>
              <w:right w:val="single" w:sz="8" w:color="DADADA"/>
            </w:tcBorders>
            <w:shd w:val="clear" w:color="auto" w:fill="3F000B"/>
          </w:tcPr>
          <w:p>
            <w:pPr>
              <w:spacing w:after="0"/>
              <w:rPr>
                <w:sz w:val="20"/>
                <w:szCs w:val="20"/>
                <w:color w:val="auto"/>
              </w:rPr>
            </w:pPr>
          </w:p>
        </w:tc>
        <w:tc>
          <w:tcPr>
            <w:tcW w:w="190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Final</w:t>
            </w:r>
          </w:p>
        </w:tc>
        <w:tc>
          <w:tcPr>
            <w:tcW w:w="0" w:type="dxa"/>
            <w:vAlign w:val="bottom"/>
          </w:tcPr>
          <w:p>
            <w:pPr>
              <w:spacing w:after="0"/>
              <w:rPr>
                <w:sz w:val="1"/>
                <w:szCs w:val="1"/>
                <w:color w:val="auto"/>
              </w:rPr>
            </w:pPr>
          </w:p>
        </w:tc>
      </w:tr>
      <w:tr>
        <w:trPr>
          <w:trHeight w:val="216"/>
        </w:trPr>
        <w:tc>
          <w:tcPr>
            <w:tcW w:w="3700" w:type="dxa"/>
            <w:vAlign w:val="bottom"/>
            <w:tcBorders>
              <w:left w:val="single" w:sz="8" w:color="3F000B"/>
              <w:right w:val="single" w:sz="8" w:color="DADADA"/>
            </w:tcBorders>
            <w:shd w:val="clear" w:color="auto" w:fill="3F000B"/>
          </w:tcPr>
          <w:p>
            <w:pPr>
              <w:spacing w:after="0"/>
              <w:rPr>
                <w:sz w:val="18"/>
                <w:szCs w:val="18"/>
                <w:color w:val="auto"/>
              </w:rPr>
            </w:pPr>
          </w:p>
        </w:tc>
        <w:tc>
          <w:tcPr>
            <w:tcW w:w="1900" w:type="dxa"/>
            <w:vAlign w:val="bottom"/>
            <w:tcBorders>
              <w:right w:val="single" w:sz="8" w:color="DADADA"/>
            </w:tcBorders>
            <w:shd w:val="clear" w:color="auto" w:fill="3F000B"/>
          </w:tcPr>
          <w:p>
            <w:pPr>
              <w:spacing w:after="0"/>
              <w:rPr>
                <w:sz w:val="18"/>
                <w:szCs w:val="18"/>
                <w:color w:val="auto"/>
              </w:rPr>
            </w:pPr>
          </w:p>
        </w:tc>
        <w:tc>
          <w:tcPr>
            <w:tcW w:w="1860" w:type="dxa"/>
            <w:vAlign w:val="bottom"/>
            <w:tcBorders>
              <w:right w:val="single" w:sz="8" w:color="DADADA"/>
            </w:tcBorders>
            <w:vMerge w:val="restart"/>
            <w:shd w:val="clear" w:color="auto" w:fill="3F000B"/>
          </w:tcPr>
          <w:p>
            <w:pPr>
              <w:jc w:val="right"/>
              <w:ind w:right="595"/>
              <w:spacing w:after="0"/>
              <w:rPr>
                <w:sz w:val="20"/>
                <w:szCs w:val="20"/>
                <w:color w:val="auto"/>
              </w:rPr>
            </w:pPr>
            <w:r>
              <w:rPr>
                <w:rFonts w:ascii="Arial" w:cs="Arial" w:eastAsia="Arial" w:hAnsi="Arial"/>
                <w:sz w:val="18"/>
                <w:szCs w:val="18"/>
                <w:b w:val="1"/>
                <w:bCs w:val="1"/>
                <w:color w:val="FFFFFF"/>
              </w:rPr>
              <w:t>Actual</w:t>
            </w:r>
          </w:p>
        </w:tc>
        <w:tc>
          <w:tcPr>
            <w:tcW w:w="1800" w:type="dxa"/>
            <w:vAlign w:val="bottom"/>
            <w:tcBorders>
              <w:right w:val="single" w:sz="8" w:color="DADADA"/>
            </w:tcBorders>
            <w:shd w:val="clear" w:color="auto" w:fill="3F000B"/>
          </w:tcPr>
          <w:p>
            <w:pPr>
              <w:jc w:val="right"/>
              <w:ind w:right="270"/>
              <w:spacing w:after="0"/>
              <w:rPr>
                <w:sz w:val="20"/>
                <w:szCs w:val="20"/>
                <w:color w:val="auto"/>
              </w:rPr>
            </w:pPr>
            <w:r>
              <w:rPr>
                <w:rFonts w:ascii="Arial" w:cs="Arial" w:eastAsia="Arial" w:hAnsi="Arial"/>
                <w:sz w:val="18"/>
                <w:szCs w:val="18"/>
                <w:b w:val="1"/>
                <w:bCs w:val="1"/>
                <w:color w:val="FFFFFF"/>
              </w:rPr>
              <w:t>Target Award</w:t>
            </w:r>
          </w:p>
        </w:tc>
        <w:tc>
          <w:tcPr>
            <w:tcW w:w="190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0" w:type="dxa"/>
            <w:vAlign w:val="bottom"/>
          </w:tcPr>
          <w:p>
            <w:pPr>
              <w:spacing w:after="0"/>
              <w:rPr>
                <w:sz w:val="1"/>
                <w:szCs w:val="1"/>
                <w:color w:val="auto"/>
              </w:rPr>
            </w:pPr>
          </w:p>
        </w:tc>
      </w:tr>
      <w:tr>
        <w:trPr>
          <w:trHeight w:val="180"/>
        </w:trPr>
        <w:tc>
          <w:tcPr>
            <w:tcW w:w="3700" w:type="dxa"/>
            <w:vAlign w:val="bottom"/>
            <w:tcBorders>
              <w:left w:val="single" w:sz="8" w:color="3F000B"/>
              <w:right w:val="single" w:sz="8" w:color="DADADA"/>
            </w:tcBorders>
            <w:shd w:val="clear" w:color="auto" w:fill="3F000B"/>
          </w:tcPr>
          <w:p>
            <w:pPr>
              <w:spacing w:after="0"/>
              <w:rPr>
                <w:sz w:val="15"/>
                <w:szCs w:val="15"/>
                <w:color w:val="auto"/>
              </w:rPr>
            </w:pPr>
          </w:p>
        </w:tc>
        <w:tc>
          <w:tcPr>
            <w:tcW w:w="1900" w:type="dxa"/>
            <w:vAlign w:val="bottom"/>
            <w:tcBorders>
              <w:right w:val="single" w:sz="8" w:color="DADADA"/>
            </w:tcBorders>
            <w:shd w:val="clear" w:color="auto" w:fill="3F000B"/>
          </w:tcPr>
          <w:p>
            <w:pPr>
              <w:spacing w:after="0"/>
              <w:rPr>
                <w:sz w:val="15"/>
                <w:szCs w:val="15"/>
                <w:color w:val="auto"/>
              </w:rPr>
            </w:pPr>
          </w:p>
        </w:tc>
        <w:tc>
          <w:tcPr>
            <w:tcW w:w="1860" w:type="dxa"/>
            <w:vAlign w:val="bottom"/>
            <w:tcBorders>
              <w:right w:val="single" w:sz="8" w:color="DADADA"/>
            </w:tcBorders>
            <w:vMerge w:val="continue"/>
            <w:shd w:val="clear" w:color="auto" w:fill="3F000B"/>
          </w:tcPr>
          <w:p>
            <w:pPr>
              <w:spacing w:after="0"/>
              <w:rPr>
                <w:sz w:val="15"/>
                <w:szCs w:val="15"/>
                <w:color w:val="auto"/>
              </w:rPr>
            </w:pPr>
          </w:p>
        </w:tc>
        <w:tc>
          <w:tcPr>
            <w:tcW w:w="1800" w:type="dxa"/>
            <w:vAlign w:val="bottom"/>
            <w:tcBorders>
              <w:right w:val="single" w:sz="8" w:color="DADADA"/>
            </w:tcBorders>
            <w:shd w:val="clear" w:color="auto" w:fill="3F000B"/>
          </w:tcPr>
          <w:p>
            <w:pPr>
              <w:jc w:val="right"/>
              <w:ind w:right="430"/>
              <w:spacing w:after="0" w:line="181" w:lineRule="exact"/>
              <w:rPr>
                <w:sz w:val="20"/>
                <w:szCs w:val="20"/>
                <w:color w:val="auto"/>
              </w:rPr>
            </w:pPr>
            <w:r>
              <w:rPr>
                <w:rFonts w:ascii="Arial" w:cs="Arial" w:eastAsia="Arial" w:hAnsi="Arial"/>
                <w:sz w:val="18"/>
                <w:szCs w:val="18"/>
                <w:b w:val="1"/>
                <w:bCs w:val="1"/>
                <w:color w:val="FFFFFF"/>
              </w:rPr>
              <w:t>Weighting</w:t>
            </w:r>
          </w:p>
        </w:tc>
        <w:tc>
          <w:tcPr>
            <w:tcW w:w="1900" w:type="dxa"/>
            <w:vAlign w:val="bottom"/>
            <w:tcBorders>
              <w:right w:val="single" w:sz="8" w:color="3F000B"/>
            </w:tcBorders>
            <w:shd w:val="clear" w:color="auto" w:fill="3F000B"/>
          </w:tcPr>
          <w:p>
            <w:pPr>
              <w:jc w:val="center"/>
              <w:spacing w:after="0" w:line="181" w:lineRule="exact"/>
              <w:rPr>
                <w:sz w:val="20"/>
                <w:szCs w:val="20"/>
                <w:color w:val="auto"/>
              </w:rPr>
            </w:pPr>
            <w:r>
              <w:rPr>
                <w:rFonts w:ascii="Arial" w:cs="Arial" w:eastAsia="Arial" w:hAnsi="Arial"/>
                <w:sz w:val="18"/>
                <w:szCs w:val="18"/>
                <w:b w:val="1"/>
                <w:bCs w:val="1"/>
                <w:color w:val="FFFFFF"/>
                <w:w w:val="87"/>
              </w:rPr>
              <w:t>Score</w:t>
            </w:r>
          </w:p>
        </w:tc>
        <w:tc>
          <w:tcPr>
            <w:tcW w:w="0" w:type="dxa"/>
            <w:vAlign w:val="bottom"/>
          </w:tcPr>
          <w:p>
            <w:pPr>
              <w:spacing w:after="0"/>
              <w:rPr>
                <w:sz w:val="1"/>
                <w:szCs w:val="1"/>
                <w:color w:val="auto"/>
              </w:rPr>
            </w:pPr>
          </w:p>
        </w:tc>
      </w:tr>
      <w:tr>
        <w:trPr>
          <w:trHeight w:val="291"/>
        </w:trPr>
        <w:tc>
          <w:tcPr>
            <w:tcW w:w="3700" w:type="dxa"/>
            <w:vAlign w:val="bottom"/>
            <w:tcBorders>
              <w:left w:val="single" w:sz="8" w:color="3F000B"/>
              <w:bottom w:val="single" w:sz="8" w:color="3F000B"/>
              <w:right w:val="single" w:sz="8" w:color="DADADA"/>
            </w:tcBorders>
            <w:shd w:val="clear" w:color="auto" w:fill="3F000B"/>
          </w:tcPr>
          <w:p>
            <w:pPr>
              <w:ind w:left="1600"/>
              <w:spacing w:after="0"/>
              <w:rPr>
                <w:sz w:val="20"/>
                <w:szCs w:val="20"/>
                <w:color w:val="auto"/>
              </w:rPr>
            </w:pPr>
            <w:r>
              <w:rPr>
                <w:rFonts w:ascii="Arial" w:cs="Arial" w:eastAsia="Arial" w:hAnsi="Arial"/>
                <w:sz w:val="18"/>
                <w:szCs w:val="18"/>
                <w:b w:val="1"/>
                <w:bCs w:val="1"/>
                <w:color w:val="FFFFFF"/>
              </w:rPr>
              <w:t>Metric</w:t>
            </w:r>
          </w:p>
        </w:tc>
        <w:tc>
          <w:tcPr>
            <w:tcW w:w="1900" w:type="dxa"/>
            <w:vAlign w:val="bottom"/>
            <w:tcBorders>
              <w:bottom w:val="single" w:sz="8" w:color="3F000B"/>
              <w:right w:val="single" w:sz="8" w:color="DADADA"/>
            </w:tcBorders>
            <w:shd w:val="clear" w:color="auto" w:fill="3F000B"/>
          </w:tcPr>
          <w:p>
            <w:pPr>
              <w:jc w:val="right"/>
              <w:ind w:right="657"/>
              <w:spacing w:after="0"/>
              <w:rPr>
                <w:sz w:val="20"/>
                <w:szCs w:val="20"/>
                <w:color w:val="auto"/>
              </w:rPr>
            </w:pPr>
            <w:r>
              <w:rPr>
                <w:rFonts w:ascii="Arial" w:cs="Arial" w:eastAsia="Arial" w:hAnsi="Arial"/>
                <w:sz w:val="18"/>
                <w:szCs w:val="18"/>
                <w:b w:val="1"/>
                <w:bCs w:val="1"/>
                <w:color w:val="FFFFFF"/>
              </w:rPr>
              <w:t>Target</w:t>
            </w:r>
          </w:p>
        </w:tc>
        <w:tc>
          <w:tcPr>
            <w:tcW w:w="1860" w:type="dxa"/>
            <w:vAlign w:val="bottom"/>
            <w:tcBorders>
              <w:bottom w:val="single" w:sz="8" w:color="3F000B"/>
              <w:right w:val="single" w:sz="8" w:color="DADADA"/>
            </w:tcBorders>
            <w:shd w:val="clear" w:color="auto" w:fill="3F000B"/>
          </w:tcPr>
          <w:p>
            <w:pPr>
              <w:jc w:val="right"/>
              <w:ind w:right="375"/>
              <w:spacing w:after="0"/>
              <w:rPr>
                <w:sz w:val="20"/>
                <w:szCs w:val="20"/>
                <w:color w:val="auto"/>
              </w:rPr>
            </w:pPr>
            <w:r>
              <w:rPr>
                <w:rFonts w:ascii="Arial" w:cs="Arial" w:eastAsia="Arial" w:hAnsi="Arial"/>
                <w:sz w:val="18"/>
                <w:szCs w:val="18"/>
                <w:b w:val="1"/>
                <w:bCs w:val="1"/>
                <w:color w:val="FFFFFF"/>
              </w:rPr>
              <w:t>Performance</w:t>
            </w:r>
          </w:p>
        </w:tc>
        <w:tc>
          <w:tcPr>
            <w:tcW w:w="1800" w:type="dxa"/>
            <w:vAlign w:val="bottom"/>
            <w:tcBorders>
              <w:bottom w:val="single" w:sz="8" w:color="3F000B"/>
              <w:right w:val="single" w:sz="8" w:color="DADADA"/>
            </w:tcBorders>
            <w:shd w:val="clear" w:color="auto" w:fill="3F000B"/>
          </w:tcPr>
          <w:p>
            <w:pPr>
              <w:jc w:val="right"/>
              <w:ind w:right="690"/>
              <w:spacing w:after="0"/>
              <w:rPr>
                <w:sz w:val="20"/>
                <w:szCs w:val="20"/>
                <w:color w:val="auto"/>
              </w:rPr>
            </w:pPr>
            <w:r>
              <w:rPr>
                <w:rFonts w:ascii="Arial" w:cs="Arial" w:eastAsia="Arial" w:hAnsi="Arial"/>
                <w:sz w:val="18"/>
                <w:szCs w:val="18"/>
                <w:b w:val="1"/>
                <w:bCs w:val="1"/>
                <w:color w:val="FFFFFF"/>
              </w:rPr>
              <w:t>(%)</w:t>
            </w:r>
          </w:p>
        </w:tc>
        <w:tc>
          <w:tcPr>
            <w:tcW w:w="190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60"/>
        </w:trPr>
        <w:tc>
          <w:tcPr>
            <w:tcW w:w="37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Total Shareholder Return</w:t>
            </w:r>
          </w:p>
        </w:tc>
        <w:tc>
          <w:tcPr>
            <w:tcW w:w="1900" w:type="dxa"/>
            <w:vAlign w:val="bottom"/>
            <w:tcBorders>
              <w:right w:val="single" w:sz="8" w:color="3F000B"/>
            </w:tcBorders>
          </w:tcPr>
          <w:p>
            <w:pPr>
              <w:jc w:val="right"/>
              <w:spacing w:after="0"/>
              <w:rPr>
                <w:sz w:val="20"/>
                <w:szCs w:val="20"/>
                <w:color w:val="auto"/>
              </w:rPr>
            </w:pPr>
            <w:r>
              <w:rPr>
                <w:rFonts w:ascii="Arial" w:cs="Arial" w:eastAsia="Arial" w:hAnsi="Arial"/>
                <w:sz w:val="16"/>
                <w:szCs w:val="16"/>
                <w:color w:val="auto"/>
              </w:rPr>
              <w:t>50th Percentile</w:t>
            </w:r>
          </w:p>
        </w:tc>
        <w:tc>
          <w:tcPr>
            <w:tcW w:w="1860" w:type="dxa"/>
            <w:vAlign w:val="bottom"/>
            <w:tcBorders>
              <w:right w:val="single" w:sz="8" w:color="3F000B"/>
            </w:tcBorders>
          </w:tcPr>
          <w:p>
            <w:pPr>
              <w:jc w:val="right"/>
              <w:spacing w:after="0"/>
              <w:rPr>
                <w:sz w:val="20"/>
                <w:szCs w:val="20"/>
                <w:color w:val="auto"/>
              </w:rPr>
            </w:pPr>
            <w:r>
              <w:rPr>
                <w:rFonts w:ascii="Arial" w:cs="Arial" w:eastAsia="Arial" w:hAnsi="Arial"/>
                <w:sz w:val="16"/>
                <w:szCs w:val="16"/>
                <w:color w:val="auto"/>
              </w:rPr>
              <w:t>73rd Percentile</w:t>
            </w:r>
          </w:p>
        </w:tc>
        <w:tc>
          <w:tcPr>
            <w:tcW w:w="180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34.00</w:t>
            </w:r>
          </w:p>
        </w:tc>
        <w:tc>
          <w:tcPr>
            <w:tcW w:w="190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53"/>
        </w:trPr>
        <w:tc>
          <w:tcPr>
            <w:tcW w:w="37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Three-year CAGR in Net Sales</w:t>
            </w:r>
          </w:p>
        </w:tc>
        <w:tc>
          <w:tcPr>
            <w:tcW w:w="1900" w:type="dxa"/>
            <w:vAlign w:val="bottom"/>
            <w:tcBorders>
              <w:right w:val="single" w:sz="8" w:color="3F000B"/>
            </w:tcBorders>
            <w:shd w:val="clear" w:color="auto" w:fill="DADADA"/>
          </w:tcPr>
          <w:p>
            <w:pPr>
              <w:spacing w:after="0"/>
              <w:rPr>
                <w:sz w:val="21"/>
                <w:szCs w:val="21"/>
                <w:color w:val="auto"/>
              </w:rPr>
            </w:pPr>
          </w:p>
        </w:tc>
        <w:tc>
          <w:tcPr>
            <w:tcW w:w="1860" w:type="dxa"/>
            <w:vAlign w:val="bottom"/>
            <w:tcBorders>
              <w:right w:val="single" w:sz="8" w:color="3F000B"/>
            </w:tcBorders>
            <w:shd w:val="clear" w:color="auto" w:fill="DADADA"/>
          </w:tcPr>
          <w:p>
            <w:pPr>
              <w:spacing w:after="0"/>
              <w:rPr>
                <w:sz w:val="21"/>
                <w:szCs w:val="21"/>
                <w:color w:val="auto"/>
              </w:rPr>
            </w:pPr>
          </w:p>
        </w:tc>
        <w:tc>
          <w:tcPr>
            <w:tcW w:w="1800" w:type="dxa"/>
            <w:vAlign w:val="bottom"/>
            <w:tcBorders>
              <w:right w:val="single" w:sz="8" w:color="3F000B"/>
            </w:tcBorders>
            <w:shd w:val="clear" w:color="auto" w:fill="DADADA"/>
          </w:tcPr>
          <w:p>
            <w:pPr>
              <w:spacing w:after="0"/>
              <w:rPr>
                <w:sz w:val="21"/>
                <w:szCs w:val="21"/>
                <w:color w:val="auto"/>
              </w:rPr>
            </w:pPr>
          </w:p>
        </w:tc>
        <w:tc>
          <w:tcPr>
            <w:tcW w:w="1900" w:type="dxa"/>
            <w:vAlign w:val="bottom"/>
            <w:tcBorders>
              <w:right w:val="single" w:sz="8" w:color="3F000B"/>
            </w:tcBorders>
            <w:shd w:val="clear" w:color="auto" w:fill="DADADA"/>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7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Growth</w:t>
            </w:r>
            <w:r>
              <w:rPr>
                <w:rFonts w:ascii="Arial" w:cs="Arial" w:eastAsia="Arial" w:hAnsi="Arial"/>
                <w:sz w:val="23"/>
                <w:szCs w:val="23"/>
                <w:color w:val="auto"/>
                <w:vertAlign w:val="superscript"/>
              </w:rPr>
              <w:t>(1)(2)</w:t>
            </w:r>
          </w:p>
        </w:tc>
        <w:tc>
          <w:tcPr>
            <w:tcW w:w="190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6"/>
                <w:szCs w:val="16"/>
                <w:color w:val="auto"/>
              </w:rPr>
              <w:t>2.0% CAGR</w:t>
            </w:r>
          </w:p>
        </w:tc>
        <w:tc>
          <w:tcPr>
            <w:tcW w:w="186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6"/>
                <w:szCs w:val="16"/>
                <w:color w:val="auto"/>
              </w:rPr>
              <w:t>2.4% CAGR</w:t>
            </w:r>
          </w:p>
        </w:tc>
        <w:tc>
          <w:tcPr>
            <w:tcW w:w="180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33.00</w:t>
            </w:r>
          </w:p>
        </w:tc>
        <w:tc>
          <w:tcPr>
            <w:tcW w:w="190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43"/>
        </w:trPr>
        <w:tc>
          <w:tcPr>
            <w:tcW w:w="37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Three-year CAGR in Adjusted Earnings</w:t>
            </w:r>
          </w:p>
        </w:tc>
        <w:tc>
          <w:tcPr>
            <w:tcW w:w="1900" w:type="dxa"/>
            <w:vAlign w:val="bottom"/>
            <w:tcBorders>
              <w:right w:val="single" w:sz="8" w:color="3F000B"/>
            </w:tcBorders>
          </w:tcPr>
          <w:p>
            <w:pPr>
              <w:spacing w:after="0"/>
              <w:rPr>
                <w:sz w:val="21"/>
                <w:szCs w:val="21"/>
                <w:color w:val="auto"/>
              </w:rPr>
            </w:pPr>
          </w:p>
        </w:tc>
        <w:tc>
          <w:tcPr>
            <w:tcW w:w="1860" w:type="dxa"/>
            <w:vAlign w:val="bottom"/>
            <w:tcBorders>
              <w:right w:val="single" w:sz="8" w:color="3F000B"/>
            </w:tcBorders>
          </w:tcPr>
          <w:p>
            <w:pPr>
              <w:spacing w:after="0"/>
              <w:rPr>
                <w:sz w:val="21"/>
                <w:szCs w:val="21"/>
                <w:color w:val="auto"/>
              </w:rPr>
            </w:pPr>
          </w:p>
        </w:tc>
        <w:tc>
          <w:tcPr>
            <w:tcW w:w="1800" w:type="dxa"/>
            <w:vAlign w:val="bottom"/>
            <w:tcBorders>
              <w:right w:val="single" w:sz="8" w:color="3F000B"/>
            </w:tcBorders>
          </w:tcPr>
          <w:p>
            <w:pPr>
              <w:spacing w:after="0"/>
              <w:rPr>
                <w:sz w:val="21"/>
                <w:szCs w:val="21"/>
                <w:color w:val="auto"/>
              </w:rPr>
            </w:pPr>
          </w:p>
        </w:tc>
        <w:tc>
          <w:tcPr>
            <w:tcW w:w="1900" w:type="dxa"/>
            <w:vAlign w:val="bottom"/>
            <w:tcBorders>
              <w:right w:val="single" w:sz="8" w:color="3F000B"/>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7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per Share-Diluted</w:t>
            </w:r>
            <w:r>
              <w:rPr>
                <w:rFonts w:ascii="Arial" w:cs="Arial" w:eastAsia="Arial" w:hAnsi="Arial"/>
                <w:sz w:val="23"/>
                <w:szCs w:val="23"/>
                <w:color w:val="auto"/>
                <w:vertAlign w:val="superscript"/>
              </w:rPr>
              <w:t>(1)(3)</w:t>
            </w:r>
          </w:p>
        </w:tc>
        <w:tc>
          <w:tcPr>
            <w:tcW w:w="1900" w:type="dxa"/>
            <w:vAlign w:val="bottom"/>
            <w:tcBorders>
              <w:right w:val="single" w:sz="8" w:color="3F000B"/>
            </w:tcBorders>
          </w:tcPr>
          <w:p>
            <w:pPr>
              <w:jc w:val="right"/>
              <w:spacing w:after="0"/>
              <w:rPr>
                <w:sz w:val="20"/>
                <w:szCs w:val="20"/>
                <w:color w:val="auto"/>
              </w:rPr>
            </w:pPr>
            <w:r>
              <w:rPr>
                <w:rFonts w:ascii="Arial" w:cs="Arial" w:eastAsia="Arial" w:hAnsi="Arial"/>
                <w:sz w:val="16"/>
                <w:szCs w:val="16"/>
                <w:color w:val="auto"/>
              </w:rPr>
              <w:t>8.5% CAGR</w:t>
            </w:r>
          </w:p>
        </w:tc>
        <w:tc>
          <w:tcPr>
            <w:tcW w:w="1860" w:type="dxa"/>
            <w:vAlign w:val="bottom"/>
            <w:tcBorders>
              <w:right w:val="single" w:sz="8" w:color="3F000B"/>
            </w:tcBorders>
          </w:tcPr>
          <w:p>
            <w:pPr>
              <w:jc w:val="right"/>
              <w:spacing w:after="0"/>
              <w:rPr>
                <w:sz w:val="20"/>
                <w:szCs w:val="20"/>
                <w:color w:val="auto"/>
              </w:rPr>
            </w:pPr>
            <w:r>
              <w:rPr>
                <w:rFonts w:ascii="Arial" w:cs="Arial" w:eastAsia="Arial" w:hAnsi="Arial"/>
                <w:sz w:val="16"/>
                <w:szCs w:val="16"/>
                <w:color w:val="auto"/>
              </w:rPr>
              <w:t>10.6% CAGR</w:t>
            </w:r>
          </w:p>
        </w:tc>
        <w:tc>
          <w:tcPr>
            <w:tcW w:w="180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33.00</w:t>
            </w:r>
          </w:p>
        </w:tc>
        <w:tc>
          <w:tcPr>
            <w:tcW w:w="190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63"/>
        </w:trPr>
        <w:tc>
          <w:tcPr>
            <w:tcW w:w="3700" w:type="dxa"/>
            <w:vAlign w:val="bottom"/>
            <w:tcBorders>
              <w:left w:val="single" w:sz="8" w:color="3F000B"/>
              <w:bottom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6"/>
                <w:szCs w:val="16"/>
                <w:b w:val="1"/>
                <w:bCs w:val="1"/>
                <w:color w:val="auto"/>
              </w:rPr>
              <w:t>Total</w:t>
            </w:r>
          </w:p>
        </w:tc>
        <w:tc>
          <w:tcPr>
            <w:tcW w:w="1900" w:type="dxa"/>
            <w:vAlign w:val="bottom"/>
            <w:tcBorders>
              <w:bottom w:val="single" w:sz="8" w:color="3F000B"/>
              <w:right w:val="single" w:sz="8" w:color="3F000B"/>
            </w:tcBorders>
            <w:shd w:val="clear" w:color="auto" w:fill="DADADA"/>
          </w:tcPr>
          <w:p>
            <w:pPr>
              <w:spacing w:after="0"/>
              <w:rPr>
                <w:sz w:val="22"/>
                <w:szCs w:val="22"/>
                <w:color w:val="auto"/>
              </w:rPr>
            </w:pPr>
          </w:p>
        </w:tc>
        <w:tc>
          <w:tcPr>
            <w:tcW w:w="1860" w:type="dxa"/>
            <w:vAlign w:val="bottom"/>
            <w:tcBorders>
              <w:bottom w:val="single" w:sz="8" w:color="3F000B"/>
              <w:right w:val="single" w:sz="8" w:color="3F000B"/>
            </w:tcBorders>
            <w:shd w:val="clear" w:color="auto" w:fill="DADADA"/>
          </w:tcPr>
          <w:p>
            <w:pPr>
              <w:spacing w:after="0"/>
              <w:rPr>
                <w:sz w:val="22"/>
                <w:szCs w:val="22"/>
                <w:color w:val="auto"/>
              </w:rPr>
            </w:pPr>
          </w:p>
        </w:tc>
        <w:tc>
          <w:tcPr>
            <w:tcW w:w="1800" w:type="dxa"/>
            <w:vAlign w:val="bottom"/>
            <w:tcBorders>
              <w:bottom w:val="single" w:sz="8" w:color="3F000B"/>
              <w:right w:val="single" w:sz="8" w:color="3F000B"/>
            </w:tcBorders>
            <w:shd w:val="clear" w:color="auto" w:fill="DADADA"/>
          </w:tcPr>
          <w:p>
            <w:pPr>
              <w:jc w:val="right"/>
              <w:spacing w:after="0"/>
              <w:rPr>
                <w:sz w:val="20"/>
                <w:szCs w:val="20"/>
                <w:color w:val="auto"/>
              </w:rPr>
            </w:pPr>
            <w:r>
              <w:rPr>
                <w:rFonts w:ascii="Arial" w:cs="Arial" w:eastAsia="Arial" w:hAnsi="Arial"/>
                <w:sz w:val="18"/>
                <w:szCs w:val="18"/>
                <w:b w:val="1"/>
                <w:bCs w:val="1"/>
                <w:color w:val="auto"/>
              </w:rPr>
              <w:t>100.00</w:t>
            </w:r>
          </w:p>
        </w:tc>
        <w:tc>
          <w:tcPr>
            <w:tcW w:w="1900" w:type="dxa"/>
            <w:vAlign w:val="bottom"/>
            <w:tcBorders>
              <w:bottom w:val="single" w:sz="8" w:color="3F000B"/>
              <w:right w:val="single" w:sz="8" w:color="3F000B"/>
            </w:tcBorders>
            <w:shd w:val="clear" w:color="auto" w:fill="DADADA"/>
          </w:tcPr>
          <w:p>
            <w:pPr>
              <w:jc w:val="right"/>
              <w:spacing w:after="0"/>
              <w:rPr>
                <w:sz w:val="20"/>
                <w:szCs w:val="20"/>
                <w:color w:val="auto"/>
              </w:rPr>
            </w:pPr>
            <w:r>
              <w:rPr>
                <w:rFonts w:ascii="Arial" w:cs="Arial" w:eastAsia="Arial" w:hAnsi="Arial"/>
                <w:sz w:val="18"/>
                <w:szCs w:val="18"/>
                <w:b w:val="1"/>
                <w:bCs w:val="1"/>
                <w:color w:val="auto"/>
              </w:rPr>
              <w:t>170.71</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right="540" w:hanging="332"/>
        <w:spacing w:after="0" w:line="273" w:lineRule="auto"/>
        <w:tabs>
          <w:tab w:leader="none" w:pos="332" w:val="left"/>
        </w:tabs>
        <w:numPr>
          <w:ilvl w:val="0"/>
          <w:numId w:val="139"/>
        </w:numPr>
        <w:rPr>
          <w:rFonts w:ascii="Arial" w:cs="Arial" w:eastAsia="Arial" w:hAnsi="Arial"/>
          <w:sz w:val="14"/>
          <w:szCs w:val="14"/>
          <w:color w:val="auto"/>
        </w:rPr>
      </w:pPr>
      <w:r>
        <w:rPr>
          <w:rFonts w:ascii="Arial" w:cs="Arial" w:eastAsia="Arial" w:hAnsi="Arial"/>
          <w:sz w:val="14"/>
          <w:szCs w:val="14"/>
          <w:color w:val="auto"/>
        </w:rPr>
        <w:t>Results for our Pirate Brands and ONE businesses were excluded from the following metrics, as applicable, as these acquisitions were made in October 2018 and September 2019, respectively:</w:t>
      </w:r>
    </w:p>
    <w:p>
      <w:pPr>
        <w:spacing w:after="0" w:line="11" w:lineRule="exact"/>
        <w:rPr>
          <w:rFonts w:ascii="Arial" w:cs="Arial" w:eastAsia="Arial" w:hAnsi="Arial"/>
          <w:sz w:val="14"/>
          <w:szCs w:val="14"/>
          <w:color w:val="auto"/>
        </w:rPr>
      </w:pPr>
    </w:p>
    <w:p>
      <w:pPr>
        <w:ind w:left="420" w:hanging="88"/>
        <w:spacing w:after="0"/>
        <w:tabs>
          <w:tab w:leader="none" w:pos="420" w:val="left"/>
        </w:tabs>
        <w:numPr>
          <w:ilvl w:val="1"/>
          <w:numId w:val="139"/>
        </w:numPr>
        <w:rPr>
          <w:rFonts w:ascii="Arial" w:cs="Arial" w:eastAsia="Arial" w:hAnsi="Arial"/>
          <w:sz w:val="14"/>
          <w:szCs w:val="14"/>
          <w:color w:val="auto"/>
        </w:rPr>
      </w:pPr>
      <w:r>
        <w:rPr>
          <w:rFonts w:ascii="Arial" w:cs="Arial" w:eastAsia="Arial" w:hAnsi="Arial"/>
          <w:sz w:val="14"/>
          <w:szCs w:val="14"/>
          <w:color w:val="auto"/>
        </w:rPr>
        <w:t>Three-year CAGR in net sales growth; and</w:t>
      </w:r>
    </w:p>
    <w:p>
      <w:pPr>
        <w:spacing w:after="0" w:line="55" w:lineRule="exact"/>
        <w:rPr>
          <w:rFonts w:ascii="Arial" w:cs="Arial" w:eastAsia="Arial" w:hAnsi="Arial"/>
          <w:sz w:val="14"/>
          <w:szCs w:val="14"/>
          <w:color w:val="auto"/>
        </w:rPr>
      </w:pPr>
    </w:p>
    <w:p>
      <w:pPr>
        <w:ind w:left="420" w:hanging="88"/>
        <w:spacing w:after="0"/>
        <w:tabs>
          <w:tab w:leader="none" w:pos="420" w:val="left"/>
        </w:tabs>
        <w:numPr>
          <w:ilvl w:val="1"/>
          <w:numId w:val="139"/>
        </w:numPr>
        <w:rPr>
          <w:rFonts w:ascii="Arial" w:cs="Arial" w:eastAsia="Arial" w:hAnsi="Arial"/>
          <w:sz w:val="14"/>
          <w:szCs w:val="14"/>
          <w:color w:val="auto"/>
        </w:rPr>
      </w:pPr>
      <w:r>
        <w:rPr>
          <w:rFonts w:ascii="Arial" w:cs="Arial" w:eastAsia="Arial" w:hAnsi="Arial"/>
          <w:sz w:val="14"/>
          <w:szCs w:val="14"/>
          <w:color w:val="auto"/>
        </w:rPr>
        <w:t>Three-year CAGR in adjusted earnings per share-diluted.</w:t>
      </w:r>
    </w:p>
    <w:p>
      <w:pPr>
        <w:spacing w:after="0" w:line="109" w:lineRule="exact"/>
        <w:rPr>
          <w:rFonts w:ascii="Arial" w:cs="Arial" w:eastAsia="Arial" w:hAnsi="Arial"/>
          <w:sz w:val="14"/>
          <w:szCs w:val="14"/>
          <w:color w:val="auto"/>
        </w:rPr>
      </w:pPr>
    </w:p>
    <w:p>
      <w:pPr>
        <w:ind w:left="340" w:right="280" w:hanging="332"/>
        <w:spacing w:after="0" w:line="312" w:lineRule="auto"/>
        <w:tabs>
          <w:tab w:leader="none" w:pos="332" w:val="left"/>
        </w:tabs>
        <w:numPr>
          <w:ilvl w:val="0"/>
          <w:numId w:val="139"/>
        </w:numPr>
        <w:rPr>
          <w:rFonts w:ascii="Arial" w:cs="Arial" w:eastAsia="Arial" w:hAnsi="Arial"/>
          <w:sz w:val="13"/>
          <w:szCs w:val="13"/>
          <w:color w:val="auto"/>
        </w:rPr>
      </w:pPr>
      <w:r>
        <w:rPr>
          <w:rFonts w:ascii="Arial" w:cs="Arial" w:eastAsia="Arial" w:hAnsi="Arial"/>
          <w:sz w:val="13"/>
          <w:szCs w:val="13"/>
          <w:color w:val="auto"/>
        </w:rPr>
        <w:t>Net Sales is measured on a constant currency basis, which is a non-GAAP performance measure. To calculate net sales on a constant currency basis, net sales for the current fiscal year period for entities reporting in currencies other than the U.S. dollar are translated into U.S. dollars at the average rates during the comparable period of the base fiscal year.</w:t>
      </w:r>
    </w:p>
    <w:p>
      <w:pPr>
        <w:spacing w:after="0" w:line="43" w:lineRule="exact"/>
        <w:rPr>
          <w:rFonts w:ascii="Arial" w:cs="Arial" w:eastAsia="Arial" w:hAnsi="Arial"/>
          <w:sz w:val="13"/>
          <w:szCs w:val="13"/>
          <w:color w:val="auto"/>
        </w:rPr>
      </w:pPr>
    </w:p>
    <w:p>
      <w:pPr>
        <w:ind w:left="340" w:right="20" w:hanging="332"/>
        <w:spacing w:after="0" w:line="273" w:lineRule="auto"/>
        <w:tabs>
          <w:tab w:leader="none" w:pos="332"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Adjusted earnings per share-diluted is a non-GAAP performance measure. For more information regarding how we define adjusted earnings per share-diluted, please see footnote (1) in the section entitled “Executive Summary.”</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At the conclusion of each three-year cycle, the Compensation Committee reviews the level of performance achieved and the percentage, if any, of the applicable portion of the target number of PSUs earned. In determining the final performance cycle score, adjustments may be made by the Compensation Committee to the Company’s performance score to take into account extraordinary or unusual items occurring during the period. No adjustments were made in determining the 170.71% performance score or the number of PSUs earned by our NEOs for the 2018-2020 performance cycle.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F000B"/>
        </w:rPr>
        <w:t>2019-2021 PSU Awards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October 2018, the Committee approved changes to the performance metrics for the 2019-2021 performance cycle. The performance objectives for the 2019-2021 performance cycle are based upon the following metrics:</w:t>
      </w:r>
    </w:p>
    <w:p>
      <w:pPr>
        <w:spacing w:after="0" w:line="116"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Three-year relative TSR versus the 2019 Financial Peer Group described below;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Three-year CAGR in adjusted earnings per share-diluted measured against an internal target;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Three-year cumulative free cash flow measured against an internal target.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metrics are weighted 34%, 33% and 33%, respectively.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October 2018, the Committee also approved the addition of a separate peer group for comparing relative pay for performance and for measuring relative TSR within our PSU cycles (the “2019 Financial Peer Group”). The Committee approved the following group of 15 companies with median revenues of $7.9 billion as the 2019 Financial Peer Group.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Companies included in the 2019 Financial Peer Group for the 2019-2021 PSU cycle awards are:</w:t>
      </w:r>
    </w:p>
    <w:p>
      <w:pPr>
        <w:spacing w:after="0" w:line="287" w:lineRule="exact"/>
        <w:rPr>
          <w:sz w:val="20"/>
          <w:szCs w:val="20"/>
          <w:color w:val="auto"/>
        </w:rPr>
      </w:pPr>
    </w:p>
    <w:tbl>
      <w:tblPr>
        <w:tblLayout w:type="fixed"/>
        <w:tblInd w:w="590" w:type="dxa"/>
        <w:tblCellMar>
          <w:top w:w="0" w:type="dxa"/>
          <w:left w:w="0" w:type="dxa"/>
          <w:bottom w:w="0" w:type="dxa"/>
          <w:right w:w="0" w:type="dxa"/>
        </w:tblCellMar>
      </w:tblPr>
      <w:tr>
        <w:trPr>
          <w:trHeight w:val="257"/>
        </w:trPr>
        <w:tc>
          <w:tcPr>
            <w:tcW w:w="2740" w:type="dxa"/>
            <w:vAlign w:val="bottom"/>
            <w:tcBorders>
              <w:top w:val="single" w:sz="8" w:color="3F000B"/>
              <w:left w:val="single" w:sz="8" w:color="3F000B"/>
            </w:tcBorders>
          </w:tcPr>
          <w:p>
            <w:pPr>
              <w:ind w:left="20"/>
              <w:spacing w:after="0"/>
              <w:rPr>
                <w:sz w:val="20"/>
                <w:szCs w:val="20"/>
                <w:color w:val="auto"/>
              </w:rPr>
            </w:pPr>
            <w:r>
              <w:rPr>
                <w:rFonts w:ascii="Arial" w:cs="Arial" w:eastAsia="Arial" w:hAnsi="Arial"/>
                <w:sz w:val="18"/>
                <w:szCs w:val="18"/>
                <w:color w:val="auto"/>
              </w:rPr>
              <w:t>Campbell Soup Company</w:t>
            </w:r>
          </w:p>
        </w:tc>
        <w:tc>
          <w:tcPr>
            <w:tcW w:w="3380" w:type="dxa"/>
            <w:vAlign w:val="bottom"/>
            <w:tcBorders>
              <w:top w:val="single" w:sz="8" w:color="3F000B"/>
            </w:tcBorders>
          </w:tcPr>
          <w:p>
            <w:pPr>
              <w:ind w:left="620"/>
              <w:spacing w:after="0"/>
              <w:rPr>
                <w:sz w:val="20"/>
                <w:szCs w:val="20"/>
                <w:color w:val="auto"/>
              </w:rPr>
            </w:pPr>
            <w:r>
              <w:rPr>
                <w:rFonts w:ascii="Arial" w:cs="Arial" w:eastAsia="Arial" w:hAnsi="Arial"/>
                <w:sz w:val="18"/>
                <w:szCs w:val="18"/>
                <w:color w:val="auto"/>
              </w:rPr>
              <w:t>Kellogg Company</w:t>
            </w:r>
          </w:p>
        </w:tc>
        <w:tc>
          <w:tcPr>
            <w:tcW w:w="4000" w:type="dxa"/>
            <w:vAlign w:val="bottom"/>
            <w:tcBorders>
              <w:top w:val="single" w:sz="8" w:color="3F000B"/>
              <w:right w:val="single" w:sz="8" w:color="3F000B"/>
            </w:tcBorders>
          </w:tcPr>
          <w:p>
            <w:pPr>
              <w:ind w:left="620"/>
              <w:spacing w:after="0"/>
              <w:rPr>
                <w:sz w:val="20"/>
                <w:szCs w:val="20"/>
                <w:color w:val="auto"/>
              </w:rPr>
            </w:pPr>
            <w:r>
              <w:rPr>
                <w:rFonts w:ascii="Arial" w:cs="Arial" w:eastAsia="Arial" w:hAnsi="Arial"/>
                <w:sz w:val="18"/>
                <w:szCs w:val="18"/>
                <w:color w:val="auto"/>
              </w:rPr>
              <w:t>Post Holdings, Inc.</w:t>
            </w:r>
          </w:p>
        </w:tc>
      </w:tr>
      <w:tr>
        <w:trPr>
          <w:trHeight w:val="27"/>
        </w:trPr>
        <w:tc>
          <w:tcPr>
            <w:tcW w:w="2740" w:type="dxa"/>
            <w:vAlign w:val="bottom"/>
            <w:tcBorders>
              <w:left w:val="single" w:sz="8" w:color="3F000B"/>
            </w:tcBorders>
          </w:tcPr>
          <w:p>
            <w:pPr>
              <w:spacing w:after="0"/>
              <w:rPr>
                <w:sz w:val="2"/>
                <w:szCs w:val="2"/>
                <w:color w:val="auto"/>
              </w:rPr>
            </w:pPr>
          </w:p>
        </w:tc>
        <w:tc>
          <w:tcPr>
            <w:tcW w:w="3380" w:type="dxa"/>
            <w:vAlign w:val="bottom"/>
          </w:tcPr>
          <w:p>
            <w:pPr>
              <w:spacing w:after="0"/>
              <w:rPr>
                <w:sz w:val="2"/>
                <w:szCs w:val="2"/>
                <w:color w:val="auto"/>
              </w:rPr>
            </w:pPr>
          </w:p>
        </w:tc>
        <w:tc>
          <w:tcPr>
            <w:tcW w:w="4000" w:type="dxa"/>
            <w:vAlign w:val="bottom"/>
            <w:tcBorders>
              <w:right w:val="single" w:sz="8" w:color="3F000B"/>
            </w:tcBorders>
          </w:tcPr>
          <w:p>
            <w:pPr>
              <w:spacing w:after="0"/>
              <w:rPr>
                <w:sz w:val="2"/>
                <w:szCs w:val="2"/>
                <w:color w:val="auto"/>
              </w:rPr>
            </w:pPr>
          </w:p>
        </w:tc>
      </w:tr>
      <w:tr>
        <w:trPr>
          <w:trHeight w:val="250"/>
        </w:trPr>
        <w:tc>
          <w:tcPr>
            <w:tcW w:w="2740" w:type="dxa"/>
            <w:vAlign w:val="bottom"/>
            <w:tcBorders>
              <w:left w:val="single" w:sz="8" w:color="3F000B"/>
              <w:bottom w:val="single" w:sz="8" w:color="DADADA"/>
            </w:tcBorders>
            <w:shd w:val="clear" w:color="auto" w:fill="DADADA"/>
          </w:tcPr>
          <w:p>
            <w:pPr>
              <w:ind w:left="20"/>
              <w:spacing w:after="0"/>
              <w:rPr>
                <w:sz w:val="20"/>
                <w:szCs w:val="20"/>
                <w:color w:val="auto"/>
              </w:rPr>
            </w:pPr>
            <w:r>
              <w:rPr>
                <w:rFonts w:ascii="Arial" w:cs="Arial" w:eastAsia="Arial" w:hAnsi="Arial"/>
                <w:sz w:val="18"/>
                <w:szCs w:val="18"/>
                <w:color w:val="auto"/>
              </w:rPr>
              <w:t>Colgate-Palmolive Company</w:t>
            </w:r>
          </w:p>
        </w:tc>
        <w:tc>
          <w:tcPr>
            <w:tcW w:w="3380" w:type="dxa"/>
            <w:vAlign w:val="bottom"/>
            <w:tcBorders>
              <w:bottom w:val="single" w:sz="8" w:color="DADADA"/>
            </w:tcBorders>
            <w:shd w:val="clear" w:color="auto" w:fill="DADADA"/>
          </w:tcPr>
          <w:p>
            <w:pPr>
              <w:ind w:left="620"/>
              <w:spacing w:after="0"/>
              <w:rPr>
                <w:sz w:val="20"/>
                <w:szCs w:val="20"/>
                <w:color w:val="auto"/>
              </w:rPr>
            </w:pPr>
            <w:r>
              <w:rPr>
                <w:rFonts w:ascii="Arial" w:cs="Arial" w:eastAsia="Arial" w:hAnsi="Arial"/>
                <w:sz w:val="18"/>
                <w:szCs w:val="18"/>
                <w:color w:val="auto"/>
              </w:rPr>
              <w:t>Kimberly-Clark Corporation</w:t>
            </w:r>
          </w:p>
        </w:tc>
        <w:tc>
          <w:tcPr>
            <w:tcW w:w="4000" w:type="dxa"/>
            <w:vAlign w:val="bottom"/>
            <w:tcBorders>
              <w:bottom w:val="single" w:sz="8" w:color="DADADA"/>
              <w:right w:val="single" w:sz="8" w:color="3F000B"/>
            </w:tcBorders>
            <w:shd w:val="clear" w:color="auto" w:fill="DADADA"/>
          </w:tcPr>
          <w:p>
            <w:pPr>
              <w:ind w:left="620"/>
              <w:spacing w:after="0"/>
              <w:rPr>
                <w:sz w:val="20"/>
                <w:szCs w:val="20"/>
                <w:color w:val="auto"/>
              </w:rPr>
            </w:pPr>
            <w:r>
              <w:rPr>
                <w:rFonts w:ascii="Arial" w:cs="Arial" w:eastAsia="Arial" w:hAnsi="Arial"/>
                <w:sz w:val="18"/>
                <w:szCs w:val="18"/>
                <w:color w:val="auto"/>
              </w:rPr>
              <w:t>The Clorox Company</w:t>
            </w:r>
          </w:p>
        </w:tc>
      </w:tr>
      <w:tr>
        <w:trPr>
          <w:trHeight w:val="243"/>
        </w:trPr>
        <w:tc>
          <w:tcPr>
            <w:tcW w:w="2740" w:type="dxa"/>
            <w:vAlign w:val="bottom"/>
            <w:tcBorders>
              <w:left w:val="single" w:sz="8" w:color="3F000B"/>
            </w:tcBorders>
          </w:tcPr>
          <w:p>
            <w:pPr>
              <w:ind w:left="20"/>
              <w:spacing w:after="0"/>
              <w:rPr>
                <w:sz w:val="20"/>
                <w:szCs w:val="20"/>
                <w:color w:val="auto"/>
              </w:rPr>
            </w:pPr>
            <w:r>
              <w:rPr>
                <w:rFonts w:ascii="Arial" w:cs="Arial" w:eastAsia="Arial" w:hAnsi="Arial"/>
                <w:sz w:val="18"/>
                <w:szCs w:val="18"/>
                <w:color w:val="auto"/>
              </w:rPr>
              <w:t>ConAgra Brands, Inc.</w:t>
            </w:r>
          </w:p>
        </w:tc>
        <w:tc>
          <w:tcPr>
            <w:tcW w:w="3380" w:type="dxa"/>
            <w:vAlign w:val="bottom"/>
          </w:tcPr>
          <w:p>
            <w:pPr>
              <w:ind w:left="620"/>
              <w:spacing w:after="0"/>
              <w:rPr>
                <w:sz w:val="20"/>
                <w:szCs w:val="20"/>
                <w:color w:val="auto"/>
              </w:rPr>
            </w:pPr>
            <w:r>
              <w:rPr>
                <w:rFonts w:ascii="Arial" w:cs="Arial" w:eastAsia="Arial" w:hAnsi="Arial"/>
                <w:sz w:val="18"/>
                <w:szCs w:val="18"/>
                <w:color w:val="auto"/>
              </w:rPr>
              <w:t>The Kraft Heinz Company</w:t>
            </w:r>
          </w:p>
        </w:tc>
        <w:tc>
          <w:tcPr>
            <w:tcW w:w="4000" w:type="dxa"/>
            <w:vAlign w:val="bottom"/>
            <w:tcBorders>
              <w:right w:val="single" w:sz="8" w:color="3F000B"/>
            </w:tcBorders>
          </w:tcPr>
          <w:p>
            <w:pPr>
              <w:ind w:left="620"/>
              <w:spacing w:after="0"/>
              <w:rPr>
                <w:sz w:val="20"/>
                <w:szCs w:val="20"/>
                <w:color w:val="auto"/>
              </w:rPr>
            </w:pPr>
            <w:r>
              <w:rPr>
                <w:rFonts w:ascii="Arial" w:cs="Arial" w:eastAsia="Arial" w:hAnsi="Arial"/>
                <w:sz w:val="18"/>
                <w:szCs w:val="18"/>
                <w:color w:val="auto"/>
              </w:rPr>
              <w:t>The Hain Celestial Group, Inc.</w:t>
            </w:r>
          </w:p>
        </w:tc>
      </w:tr>
      <w:tr>
        <w:trPr>
          <w:trHeight w:val="27"/>
        </w:trPr>
        <w:tc>
          <w:tcPr>
            <w:tcW w:w="2740" w:type="dxa"/>
            <w:vAlign w:val="bottom"/>
            <w:tcBorders>
              <w:left w:val="single" w:sz="8" w:color="3F000B"/>
            </w:tcBorders>
          </w:tcPr>
          <w:p>
            <w:pPr>
              <w:spacing w:after="0"/>
              <w:rPr>
                <w:sz w:val="2"/>
                <w:szCs w:val="2"/>
                <w:color w:val="auto"/>
              </w:rPr>
            </w:pPr>
          </w:p>
        </w:tc>
        <w:tc>
          <w:tcPr>
            <w:tcW w:w="3380" w:type="dxa"/>
            <w:vAlign w:val="bottom"/>
          </w:tcPr>
          <w:p>
            <w:pPr>
              <w:spacing w:after="0"/>
              <w:rPr>
                <w:sz w:val="2"/>
                <w:szCs w:val="2"/>
                <w:color w:val="auto"/>
              </w:rPr>
            </w:pPr>
          </w:p>
        </w:tc>
        <w:tc>
          <w:tcPr>
            <w:tcW w:w="4000" w:type="dxa"/>
            <w:vAlign w:val="bottom"/>
            <w:tcBorders>
              <w:right w:val="single" w:sz="8" w:color="3F000B"/>
            </w:tcBorders>
          </w:tcPr>
          <w:p>
            <w:pPr>
              <w:spacing w:after="0"/>
              <w:rPr>
                <w:sz w:val="2"/>
                <w:szCs w:val="2"/>
                <w:color w:val="auto"/>
              </w:rPr>
            </w:pPr>
          </w:p>
        </w:tc>
      </w:tr>
      <w:tr>
        <w:trPr>
          <w:trHeight w:val="250"/>
        </w:trPr>
        <w:tc>
          <w:tcPr>
            <w:tcW w:w="2740" w:type="dxa"/>
            <w:vAlign w:val="bottom"/>
            <w:tcBorders>
              <w:left w:val="single" w:sz="8" w:color="3F000B"/>
              <w:bottom w:val="single" w:sz="8" w:color="DADADA"/>
            </w:tcBorders>
            <w:shd w:val="clear" w:color="auto" w:fill="DADADA"/>
          </w:tcPr>
          <w:p>
            <w:pPr>
              <w:ind w:left="20"/>
              <w:spacing w:after="0"/>
              <w:rPr>
                <w:sz w:val="20"/>
                <w:szCs w:val="20"/>
                <w:color w:val="auto"/>
              </w:rPr>
            </w:pPr>
            <w:r>
              <w:rPr>
                <w:rFonts w:ascii="Arial" w:cs="Arial" w:eastAsia="Arial" w:hAnsi="Arial"/>
                <w:sz w:val="18"/>
                <w:szCs w:val="18"/>
                <w:color w:val="auto"/>
              </w:rPr>
              <w:t>Flowers Foods</w:t>
            </w:r>
          </w:p>
        </w:tc>
        <w:tc>
          <w:tcPr>
            <w:tcW w:w="3380" w:type="dxa"/>
            <w:vAlign w:val="bottom"/>
            <w:tcBorders>
              <w:bottom w:val="single" w:sz="8" w:color="DADADA"/>
            </w:tcBorders>
            <w:shd w:val="clear" w:color="auto" w:fill="DADADA"/>
          </w:tcPr>
          <w:p>
            <w:pPr>
              <w:ind w:left="620"/>
              <w:spacing w:after="0"/>
              <w:rPr>
                <w:sz w:val="20"/>
                <w:szCs w:val="20"/>
                <w:color w:val="auto"/>
              </w:rPr>
            </w:pPr>
            <w:r>
              <w:rPr>
                <w:rFonts w:ascii="Arial" w:cs="Arial" w:eastAsia="Arial" w:hAnsi="Arial"/>
                <w:sz w:val="18"/>
                <w:szCs w:val="18"/>
                <w:color w:val="auto"/>
              </w:rPr>
              <w:t>McCormick &amp; Company, Inc.</w:t>
            </w:r>
          </w:p>
        </w:tc>
        <w:tc>
          <w:tcPr>
            <w:tcW w:w="4000" w:type="dxa"/>
            <w:vAlign w:val="bottom"/>
            <w:tcBorders>
              <w:bottom w:val="single" w:sz="8" w:color="DADADA"/>
              <w:right w:val="single" w:sz="8" w:color="3F000B"/>
            </w:tcBorders>
            <w:shd w:val="clear" w:color="auto" w:fill="DADADA"/>
          </w:tcPr>
          <w:p>
            <w:pPr>
              <w:ind w:left="620"/>
              <w:spacing w:after="0"/>
              <w:rPr>
                <w:sz w:val="20"/>
                <w:szCs w:val="20"/>
                <w:color w:val="auto"/>
              </w:rPr>
            </w:pPr>
            <w:r>
              <w:rPr>
                <w:rFonts w:ascii="Arial" w:cs="Arial" w:eastAsia="Arial" w:hAnsi="Arial"/>
                <w:sz w:val="18"/>
                <w:szCs w:val="18"/>
                <w:color w:val="auto"/>
              </w:rPr>
              <w:t>The J. M. Smucker Company</w:t>
            </w:r>
          </w:p>
        </w:tc>
      </w:tr>
      <w:tr>
        <w:trPr>
          <w:trHeight w:val="243"/>
        </w:trPr>
        <w:tc>
          <w:tcPr>
            <w:tcW w:w="2740" w:type="dxa"/>
            <w:vAlign w:val="bottom"/>
            <w:tcBorders>
              <w:left w:val="single" w:sz="8" w:color="3F000B"/>
            </w:tcBorders>
          </w:tcPr>
          <w:p>
            <w:pPr>
              <w:ind w:left="20"/>
              <w:spacing w:after="0"/>
              <w:rPr>
                <w:sz w:val="20"/>
                <w:szCs w:val="20"/>
                <w:color w:val="auto"/>
              </w:rPr>
            </w:pPr>
            <w:r>
              <w:rPr>
                <w:rFonts w:ascii="Arial" w:cs="Arial" w:eastAsia="Arial" w:hAnsi="Arial"/>
                <w:sz w:val="18"/>
                <w:szCs w:val="18"/>
                <w:color w:val="auto"/>
              </w:rPr>
              <w:t>General Mills, Inc.</w:t>
            </w:r>
          </w:p>
        </w:tc>
        <w:tc>
          <w:tcPr>
            <w:tcW w:w="3380" w:type="dxa"/>
            <w:vAlign w:val="bottom"/>
          </w:tcPr>
          <w:p>
            <w:pPr>
              <w:ind w:left="620"/>
              <w:spacing w:after="0"/>
              <w:rPr>
                <w:sz w:val="20"/>
                <w:szCs w:val="20"/>
                <w:color w:val="auto"/>
              </w:rPr>
            </w:pPr>
            <w:r>
              <w:rPr>
                <w:rFonts w:ascii="Arial" w:cs="Arial" w:eastAsia="Arial" w:hAnsi="Arial"/>
                <w:sz w:val="18"/>
                <w:szCs w:val="18"/>
                <w:color w:val="auto"/>
              </w:rPr>
              <w:t>Mondelez International, Inc.</w:t>
            </w:r>
          </w:p>
        </w:tc>
        <w:tc>
          <w:tcPr>
            <w:tcW w:w="4000" w:type="dxa"/>
            <w:vAlign w:val="bottom"/>
            <w:tcBorders>
              <w:right w:val="single" w:sz="8" w:color="3F000B"/>
            </w:tcBorders>
          </w:tcPr>
          <w:p>
            <w:pPr>
              <w:ind w:left="620"/>
              <w:spacing w:after="0"/>
              <w:rPr>
                <w:sz w:val="20"/>
                <w:szCs w:val="20"/>
                <w:color w:val="auto"/>
              </w:rPr>
            </w:pPr>
            <w:r>
              <w:rPr>
                <w:rFonts w:ascii="Arial" w:cs="Arial" w:eastAsia="Arial" w:hAnsi="Arial"/>
                <w:sz w:val="18"/>
                <w:szCs w:val="18"/>
                <w:color w:val="auto"/>
              </w:rPr>
              <w:t>TreeHouse Foods, Inc.</w:t>
            </w:r>
          </w:p>
        </w:tc>
      </w:tr>
      <w:tr>
        <w:trPr>
          <w:trHeight w:val="27"/>
        </w:trPr>
        <w:tc>
          <w:tcPr>
            <w:tcW w:w="2740" w:type="dxa"/>
            <w:vAlign w:val="bottom"/>
            <w:tcBorders>
              <w:left w:val="single" w:sz="8" w:color="3F000B"/>
              <w:bottom w:val="single" w:sz="8" w:color="3F000B"/>
            </w:tcBorders>
          </w:tcPr>
          <w:p>
            <w:pPr>
              <w:spacing w:after="0"/>
              <w:rPr>
                <w:sz w:val="2"/>
                <w:szCs w:val="2"/>
                <w:color w:val="auto"/>
              </w:rPr>
            </w:pPr>
          </w:p>
        </w:tc>
        <w:tc>
          <w:tcPr>
            <w:tcW w:w="3380" w:type="dxa"/>
            <w:vAlign w:val="bottom"/>
            <w:tcBorders>
              <w:bottom w:val="single" w:sz="8" w:color="3F000B"/>
            </w:tcBorders>
          </w:tcPr>
          <w:p>
            <w:pPr>
              <w:spacing w:after="0"/>
              <w:rPr>
                <w:sz w:val="2"/>
                <w:szCs w:val="2"/>
                <w:color w:val="auto"/>
              </w:rPr>
            </w:pPr>
          </w:p>
        </w:tc>
        <w:tc>
          <w:tcPr>
            <w:tcW w:w="4000" w:type="dxa"/>
            <w:vAlign w:val="bottom"/>
            <w:tcBorders>
              <w:bottom w:val="single" w:sz="8" w:color="3F000B"/>
              <w:right w:val="single" w:sz="8" w:color="3F000B"/>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320" w:top="105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60"/>
          </w:cols>
          <w:pgMar w:left="320" w:top="1057" w:right="4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3F000B"/>
        </w:rPr>
        <w:t>2020-2022 PSU Awards</w:t>
      </w:r>
    </w:p>
    <w:p>
      <w:pPr>
        <w:spacing w:after="0" w:line="11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performance metrics and weightings for the 2020-2022 performance cycle are the same as the 2019-2021 performance cycle. The three-year relative TSR metric for the 2020-2022 performance cycle is based on our 2020 Financial Peer Group, which was unchanged from the 2019 Financial Peer Group.</w:t>
      </w:r>
    </w:p>
    <w:p>
      <w:pPr>
        <w:spacing w:after="0" w:line="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See Column (e) of the 2020 Summary Compensation Table, Columns (f) through (h) of the 2020 Grants of Plan-Based Awards Table, Columns (i) and (j) of the Outstanding Equity Awards at 2020 Fiscal-Year End Table and Columns (d) and (e) of the 2020 Option Exercises and Stock Vested Table for more information about PSUs awarded to the NEOs.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Restricted Stock Units (35% of long-term incentive mix)</w:t>
      </w:r>
    </w:p>
    <w:p>
      <w:pPr>
        <w:spacing w:after="0" w:line="15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Compensation Committee sets guidelines for the value of the annual RSUs to be awarded based on competitive compensation data. These RSU awards represent approximately thirty-five percent of the NEO’s long-term incentive compensation target award. In 2020, the target number of RSUs awarded to each NEO was determined by multiplying the NEO’s base salary by thirty-five percent of his or her target long-term incentive award percentage divided by the closing price of the Company’s Common Stock on the NYSE on the grant date. The actual number of RSUs awarded may vary from the target level based on each NEO’s individual performance evaluation. Annual RSUs vest in equal increments over three years.</w:t>
      </w:r>
    </w:p>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Compensation Committee also awards RSUs to NEOs and other executives from time to time as special incentives. RSUs also are awarded by the Compensation Committee to replace compensation forfeited by newly-hired executive officers.</w:t>
      </w:r>
    </w:p>
    <w:p>
      <w:pPr>
        <w:spacing w:after="0" w:line="116"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See Column (e) of the 2020 Summary Compensation Table, Column (i) of the 2020 Grants of Plan-Based Awards Table, Columns (g) and (h) of the Outstanding Equity Awards at 2020 Fiscal-Year End Table and Columns (d) and (e) of the 2020 Option Exercises and Stock Vested Table for more information about RSUs awarded to the NEOs.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565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14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Executive perquisites are kept to a minimal level relative to a NEO’s total compensation and do not play a significant role in our executive compensation program. The perquisites that we provide include personal use of Company aircraft and financial counseling and tax preparation reimbursement. See the footnotes to Column (i) of the 2020 Summary Compensation Table for information regarding the perquisites received by our NEOs.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CEO and the other NEOs are eligible to participate in our Gift Matching Program on the same basis as other employees, retirees or their spouses. Through the Gift Matching Program, we match contributions made to one or more non-profit organizations on a dollar-for-dollar basis up to a maximum aggregate contribution of $5,000 per employee annually. These matching contributions are not considered compensation and are not included in Column (i) of the 2020 Summary Compensation Table.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978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1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NEOs are eligible to participate in our tax-qualified defined benefit pension plan (“pension plan”) and tax-qualified defined contribution 401(k) plan (“401(k) plan”) on the same basis as other salaried employees of the Company. IRC regulations do not permit the Company to use base salary and other compensation paid above certain limits to determine the benefits earned by the NEOs under tax-qualified plans. The Company maintains a defined benefit Supplemental Executive Retirement Plan (“DB SERP”), a defined contribution Supplemental Executive Retirement Plan (“DC SERP”), a defined benefit Compensation Limit Replacement Plan (“CLRP”) and a Deferred Compensation Plan to provide these and additional benefits that are comparable to those offered by our peers. Under the provisions of the Deferred Compensation Plan, our NEOs may elect to defer payments from OHIP, PSU and RSU awards, but not stock options or base salary.</w:t>
      </w:r>
    </w:p>
    <w:p>
      <w:pPr>
        <w:spacing w:after="0" w:line="1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DB SERP was closed to new participants in 2006. No new participants have been or will be added to the DB SERP. NEOs and other senior executives reporting to the CEO not eligible for the DB SERP are considered by the Compensation Committee for participation in the DC SERP. In comparison, the DC SERP typically yields a lower benefit than the DB SERP upon retirement. Executive officers eligible for the Company’s qualified defined benefit pension plan who are not eligible for the DB SERP participate in the CLRP. The Company believes that the DB SERP, DC SERP, CLRP and Deferred Compensation Plan help, in the aggregate, to attract and retain executive talent, as similar plans are often components of the executive compensation programs within our peer group. The DC SERP was established as part of our Deferred Compensation Plan and is not a separate plan.</w:t>
      </w:r>
    </w:p>
    <w:p>
      <w:pPr>
        <w:spacing w:after="0" w:line="1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the 2020 Pension Benefits Table and accompanying narrative and the 2020 Non-Qualified Deferred Compensation Table and accompanying narrative for more information regarding the DB SERP, DC SERP, CLRP and other retirement benefits.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111" w:right="37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3F000B"/>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1330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33090" cy="8255"/>
                    </a:xfrm>
                    <a:prstGeom prst="rect">
                      <a:avLst/>
                    </a:prstGeom>
                    <a:noFill/>
                  </pic:spPr>
                </pic:pic>
              </a:graphicData>
            </a:graphic>
          </wp:anchor>
        </w:drawing>
      </w:r>
    </w:p>
    <w:p>
      <w:pPr>
        <w:spacing w:after="0" w:line="14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entered into an employment agreement with Ms. Buck in February 2017, which provides for Ms. Buck’s continued employment as President and CEO and continued nomination as a member of the Board of Directors. The employment agreement does not have a specified term. Under the terms of the employment agreement, in the event Ms. Buck’s employment is terminated by the Company without Cause or she resigns for Good Reason (in each case as defined in the employment agreement), Ms. Buck will be entitled to certain severance benefits. In the event of her termination after a change in control, Ms. Buck will be eligible to receive benefits under the Executive Benefits Protection Plan (Group 3A) (“EBPP 3A”). She is not entitled to an excise tax gross-up. The employment agreement subjects Ms. Buck to certain non-competition and non-solicitation covenants under the ECRCA and to compensation recovery (clawback) to the extent required by applicable law and regulations.</w:t>
      </w:r>
    </w:p>
    <w:p>
      <w:pPr>
        <w:spacing w:after="0" w:line="1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the section entitled “Potential Payments upon Termination or Change in Control” for information regarding the payments Ms. Buck would receive in the event of an applicable termination or change in control occurring on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than as set forth above, we have not entered into employment agreements with any NEO.</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Severance and Change in Control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969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96970" cy="8255"/>
                    </a:xfrm>
                    <a:prstGeom prst="rect">
                      <a:avLst/>
                    </a:prstGeom>
                    <a:noFill/>
                  </pic:spPr>
                </pic:pic>
              </a:graphicData>
            </a:graphic>
          </wp:anchor>
        </w:drawing>
      </w:r>
    </w:p>
    <w:p>
      <w:pPr>
        <w:spacing w:after="0" w:line="14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All of the NEOs are covered by our EBPP 3A. The EBPP 3A is intended to help us attract and retain executive talent and maintain a stable work environment in the event of activity that could potentially result in a Change in Control. The severance protection provided under the EBPP 3A upon a Change in Control is based upon a “double trigger.” The terms of the plan generally provide that a covered NEO whose employment with the Company terminates in qualifying circumstances within two years after a Change in Control of the Company is entitled to certain severance payments and benefits. The EBPP 3A also provides severance benefits in the event of involuntary termination without Cause unrelated to a Change in Control or voluntary termination for Good Reason within two years after election of a new CEO. Change in Control, Cause and Good Reason are defined in the EBPP 3A.</w:t>
      </w:r>
    </w:p>
    <w:p>
      <w:pPr>
        <w:spacing w:after="0" w:line="1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See the discussion in the section entitled “Potential Payments upon Termination or Change in Control” for information regarding the payments that would be due to our NEOs under the EBPP 3A in the event of an applicable termination of employment or a Change in Control.</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1775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77540" cy="8255"/>
                    </a:xfrm>
                    <a:prstGeom prst="rect">
                      <a:avLst/>
                    </a:prstGeom>
                    <a:noFill/>
                  </pic:spPr>
                </pic:pic>
              </a:graphicData>
            </a:graphic>
          </wp:anchor>
        </w:drawing>
      </w:r>
    </w:p>
    <w:p>
      <w:pPr>
        <w:spacing w:after="0" w:line="1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 believes that requiring NEOs and other executive officers to hold significant amounts of our Common Stock strengthens their alignment with the interest of our stockholders and promotes achievement of long-term business objectives. Our executive stock ownership policy has been in place for more than 20 years. The Compensation Committee reviews ownership requirements annually to ensure they are aligned with external market comparisons.</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Executives with stock ownership requirements have five years from their initial election to their position to accumulate and hold the minimum number of shares required. For purposes of this requirement, “shares” include shares of our Common Stock that are owned by the executive, unvested time-based RSUs and vested RSUs and PSUs that have been deferred by the executive as Common Stock units under our Deferred Compensation Plan. It is anticipated that executives will hold a significant number of the shares earned from PSU and RSU awards and the exercise of stock options to satisfy their obligations. Minimum stockholding requirements for the CEO and the other executives are as follows: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7620" w:type="dxa"/>
            <w:vAlign w:val="bottom"/>
            <w:tcBorders>
              <w:top w:val="single" w:sz="8" w:color="3F000B"/>
              <w:left w:val="single" w:sz="8" w:color="3F000B"/>
              <w:bottom w:val="single" w:sz="8" w:color="3F000B"/>
              <w:right w:val="single" w:sz="8" w:color="DADADA"/>
            </w:tcBorders>
            <w:shd w:val="clear" w:color="auto" w:fill="3F000B"/>
          </w:tcPr>
          <w:p>
            <w:pPr>
              <w:ind w:left="3500"/>
              <w:spacing w:after="0"/>
              <w:rPr>
                <w:sz w:val="20"/>
                <w:szCs w:val="20"/>
                <w:color w:val="auto"/>
              </w:rPr>
            </w:pPr>
            <w:r>
              <w:rPr>
                <w:rFonts w:ascii="Arial" w:cs="Arial" w:eastAsia="Arial" w:hAnsi="Arial"/>
                <w:sz w:val="18"/>
                <w:szCs w:val="18"/>
                <w:b w:val="1"/>
                <w:bCs w:val="1"/>
                <w:color w:val="FFFFFF"/>
              </w:rPr>
              <w:t>Position</w:t>
            </w:r>
          </w:p>
        </w:tc>
        <w:tc>
          <w:tcPr>
            <w:tcW w:w="3500" w:type="dxa"/>
            <w:vAlign w:val="bottom"/>
            <w:tcBorders>
              <w:top w:val="single" w:sz="8" w:color="3F000B"/>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Stock Ownership Level</w:t>
            </w:r>
          </w:p>
        </w:tc>
      </w:tr>
      <w:tr>
        <w:trPr>
          <w:trHeight w:val="243"/>
        </w:trPr>
        <w:tc>
          <w:tcPr>
            <w:tcW w:w="76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CEO</w:t>
            </w:r>
          </w:p>
        </w:tc>
        <w:tc>
          <w:tcPr>
            <w:tcW w:w="3500" w:type="dxa"/>
            <w:vAlign w:val="bottom"/>
            <w:tcBorders>
              <w:right w:val="single" w:sz="8" w:color="3F000B"/>
            </w:tcBorders>
          </w:tcPr>
          <w:p>
            <w:pPr>
              <w:jc w:val="center"/>
              <w:spacing w:after="0"/>
              <w:rPr>
                <w:sz w:val="20"/>
                <w:szCs w:val="20"/>
                <w:color w:val="auto"/>
              </w:rPr>
            </w:pPr>
            <w:r>
              <w:rPr>
                <w:rFonts w:ascii="Arial" w:cs="Arial" w:eastAsia="Arial" w:hAnsi="Arial"/>
                <w:sz w:val="18"/>
                <w:szCs w:val="18"/>
                <w:color w:val="auto"/>
                <w:w w:val="87"/>
              </w:rPr>
              <w:t>6 times base salary</w:t>
            </w:r>
          </w:p>
        </w:tc>
      </w:tr>
      <w:tr>
        <w:trPr>
          <w:trHeight w:val="27"/>
        </w:trPr>
        <w:tc>
          <w:tcPr>
            <w:tcW w:w="7620" w:type="dxa"/>
            <w:vAlign w:val="bottom"/>
            <w:tcBorders>
              <w:left w:val="single" w:sz="8" w:color="3F000B"/>
              <w:right w:val="single" w:sz="8" w:color="3F000B"/>
            </w:tcBorders>
          </w:tcPr>
          <w:p>
            <w:pPr>
              <w:spacing w:after="0"/>
              <w:rPr>
                <w:sz w:val="2"/>
                <w:szCs w:val="2"/>
                <w:color w:val="auto"/>
              </w:rPr>
            </w:pPr>
          </w:p>
        </w:tc>
        <w:tc>
          <w:tcPr>
            <w:tcW w:w="3500" w:type="dxa"/>
            <w:vAlign w:val="bottom"/>
            <w:tcBorders>
              <w:right w:val="single" w:sz="8" w:color="3F000B"/>
            </w:tcBorders>
          </w:tcPr>
          <w:p>
            <w:pPr>
              <w:spacing w:after="0"/>
              <w:rPr>
                <w:sz w:val="2"/>
                <w:szCs w:val="2"/>
                <w:color w:val="auto"/>
              </w:rPr>
            </w:pPr>
          </w:p>
        </w:tc>
      </w:tr>
      <w:tr>
        <w:trPr>
          <w:trHeight w:val="250"/>
        </w:trPr>
        <w:tc>
          <w:tcPr>
            <w:tcW w:w="76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CFO and Senior Vice Presidents</w:t>
            </w:r>
          </w:p>
        </w:tc>
        <w:tc>
          <w:tcPr>
            <w:tcW w:w="3500" w:type="dxa"/>
            <w:vAlign w:val="bottom"/>
            <w:tcBorders>
              <w:bottom w:val="single" w:sz="8" w:color="DADADA"/>
              <w:right w:val="single" w:sz="8" w:color="3F000B"/>
            </w:tcBorders>
            <w:shd w:val="clear" w:color="auto" w:fill="DADADA"/>
          </w:tcPr>
          <w:p>
            <w:pPr>
              <w:jc w:val="center"/>
              <w:spacing w:after="0"/>
              <w:rPr>
                <w:sz w:val="20"/>
                <w:szCs w:val="20"/>
                <w:color w:val="auto"/>
              </w:rPr>
            </w:pPr>
            <w:r>
              <w:rPr>
                <w:rFonts w:ascii="Arial" w:cs="Arial" w:eastAsia="Arial" w:hAnsi="Arial"/>
                <w:sz w:val="18"/>
                <w:szCs w:val="18"/>
                <w:color w:val="auto"/>
                <w:w w:val="87"/>
              </w:rPr>
              <w:t>3 times base salary</w:t>
            </w:r>
          </w:p>
        </w:tc>
      </w:tr>
      <w:tr>
        <w:trPr>
          <w:trHeight w:val="243"/>
        </w:trPr>
        <w:tc>
          <w:tcPr>
            <w:tcW w:w="76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Other executives subject to stockholding requirements</w:t>
            </w:r>
          </w:p>
        </w:tc>
        <w:tc>
          <w:tcPr>
            <w:tcW w:w="3500" w:type="dxa"/>
            <w:vAlign w:val="bottom"/>
            <w:tcBorders>
              <w:right w:val="single" w:sz="8" w:color="3F000B"/>
            </w:tcBorders>
          </w:tcPr>
          <w:p>
            <w:pPr>
              <w:jc w:val="center"/>
              <w:spacing w:after="0"/>
              <w:rPr>
                <w:sz w:val="20"/>
                <w:szCs w:val="20"/>
                <w:color w:val="auto"/>
              </w:rPr>
            </w:pPr>
            <w:r>
              <w:rPr>
                <w:rFonts w:ascii="Arial" w:cs="Arial" w:eastAsia="Arial" w:hAnsi="Arial"/>
                <w:sz w:val="18"/>
                <w:szCs w:val="18"/>
                <w:color w:val="auto"/>
                <w:w w:val="87"/>
              </w:rPr>
              <w:t>1 times base salary</w:t>
            </w:r>
          </w:p>
        </w:tc>
      </w:tr>
      <w:tr>
        <w:trPr>
          <w:trHeight w:val="27"/>
        </w:trPr>
        <w:tc>
          <w:tcPr>
            <w:tcW w:w="7620" w:type="dxa"/>
            <w:vAlign w:val="bottom"/>
            <w:tcBorders>
              <w:left w:val="single" w:sz="8" w:color="3F000B"/>
              <w:bottom w:val="single" w:sz="8" w:color="3F000B"/>
              <w:right w:val="single" w:sz="8" w:color="3F000B"/>
            </w:tcBorders>
          </w:tcPr>
          <w:p>
            <w:pPr>
              <w:spacing w:after="0"/>
              <w:rPr>
                <w:sz w:val="2"/>
                <w:szCs w:val="2"/>
                <w:color w:val="auto"/>
              </w:rPr>
            </w:pPr>
          </w:p>
        </w:tc>
        <w:tc>
          <w:tcPr>
            <w:tcW w:w="3500" w:type="dxa"/>
            <w:vAlign w:val="bottom"/>
            <w:tcBorders>
              <w:bottom w:val="single" w:sz="8" w:color="3F000B"/>
              <w:right w:val="single" w:sz="8" w:color="3F000B"/>
            </w:tcBorders>
          </w:tcPr>
          <w:p>
            <w:pPr>
              <w:spacing w:after="0"/>
              <w:rPr>
                <w:sz w:val="2"/>
                <w:szCs w:val="2"/>
                <w:color w:val="auto"/>
              </w:rPr>
            </w:pPr>
          </w:p>
        </w:tc>
      </w:tr>
    </w:tbl>
    <w:p>
      <w:pPr>
        <w:spacing w:after="0" w:line="17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dollar value of shares which must be acquired and held equals a multiple of the individual executive’s base salary. Stockholding requirements are updated whenever a change in base salary occurs. Failure to reach the minimum holding requirement within the five-year period results in a notification letter to the executive, with a copy to the CEO, and a requirement that future stock option exercises, RSU distributions and PSU payments be settled by retaining at least 50% of the shares of Common Stock received until the minimum ownership level is attained. The Compensation Committee receives an annual summary of each individual executive’s ownership status to monitor compliance.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111"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3F000B"/>
        </w:rPr>
        <w:t>Other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636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6364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Clawbacks</w:t>
      </w:r>
    </w:p>
    <w:p>
      <w:pPr>
        <w:spacing w:after="0" w:line="15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Under the EICP, when an individual’s actions result in the filing of financial documents not in compliance with financial reporting requirements, the Company has the right to recoup or require repayment of an award earned or accrued during the twelve-month period following the first public issuance or filing with the SEC of the non compliant financial document. Repayment or clawback occurs where the material noncompliance results from misconduct, the participant’s knowledge or gross negligence in engaging in the misconduct or failing to prevent the misconduct, or if the participant is one of the individuals subject to automatic forfeiture under Section 304 of the Sarbanes-Oxley Act of 2002.</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2008, the Company initiated the execution of the ECRCA by executive officers as a condition for the receipt of long-term incentive awards and, for new executive officers, also as a condition of employment. The purpose of the ECRCA is to protect the Company and further align the interests of the executive officer with those of the Company. The terms of the ECRCA prohibit the executive from misusing or disclosing the Company’s confidential information, competing with the Company in specific categories for a period of 12 months following separation from employment, recruiting or soliciting the Company’s employees, or disparaging the Company’s reputation in any way. For those officers or employees based outside the U.S., the restrictive covenants and terms may be modified to comply with local laws.</w:t>
      </w:r>
    </w:p>
    <w:p>
      <w:pPr>
        <w:spacing w:after="0" w:line="13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Failure to comply with the provisions of the ECRCA may result in cancellation of the unvested portion of PSU and RSU awards, cancellation of any unexercised stock options and a requirement for repayment of amounts received from equity awards during the last year of employment, as well as any amounts received from the DB SERP or DC SERP.</w:t>
      </w:r>
    </w:p>
    <w:p>
      <w:pPr>
        <w:spacing w:after="0" w:line="13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Beginning in 2021, the Company updated the clawback language within our ECRCA, OHIP and long-term incentive award agreements to authorize the Committee to seek clawback in the event of intentional misconduct by a grantee that causes the Company material financial or reputational harm.</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Tax Considerations</w:t>
      </w:r>
    </w:p>
    <w:p>
      <w:pPr>
        <w:spacing w:after="0" w:line="1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in effect through December 31, 2017, Section 162(m) of the IRC generally disallowed the Company’s ability to deduct compensation in excess of $1.0 million paid to our CEO or to our other NEOs who were employed on the last day of the fiscal year (other than officers who served as CFO during the year), but did not disallow a deduction for compensation that qualifies as “performance-based” under applicable Internal Revenue Service (“IRS”) regulations or that was paid after termination of employment. As a result of changes to Section 162(m) of the IRC resulting from federal legislation referred to as the Tax Cuts and Jobs Act, the $1.0 million deduction limitation described above has been expanded to disallow the deduction for compensation payable to a larger group of employees, effective for tax years beginning after December 31, 2017. Performance-based compensation, including equity awards, is no longer exempt from the Section 162(m) deduction limitation, subject to a transition rule. The employees (referred to as “covered employees”) to whom the deduction limitation applies include the CEO and CFO (in each case, whether or not serving as executive officers as of the end of the fiscal year) and the three other most highly compensated executive officers. In addition, once considered a “covered employee” for a given year, the individual will be treated as a “covered employee” for all subsequent years.</w:t>
      </w:r>
    </w:p>
    <w:p>
      <w:pPr>
        <w:spacing w:after="0" w:line="1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Compensation Committee has considered the effect of Section 162(m) of the IRC on the Company’s executive compensation program. The Compensation Committee exercises discretion in setting base salaries, structuring incentive compensation awards and in determining payments in relation to levels of achievement of performance goals. The Compensation Committee believes that the total compensation program for NEOs should be managed in accordance with the objectives outlined in the Company’s compensation philosophy and in the best overall interests of the Company’s stockholders. Accordingly, compensation paid by the Company may not be deductible because such compensation exceeds the limitations for deductibility under Section 162(m) of the IRC.</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Section 409A of the IRC specifies certain rules and limitations regarding the operation of our Deferred Compensation Plan and other retirement programs. Failure to comply with these rules could subject participants in those plans and programs to additional income tax and interest penalties. We believe our plans and programs comply with Section 409A of the IRC.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111" w:right="3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25"/>
          <w:szCs w:val="25"/>
          <w:b w:val="1"/>
          <w:bCs w:val="1"/>
          <w:color w:val="3F000B"/>
        </w:rPr>
        <w:t>COMPENSATION COMMITTEE REPORT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To Our Stockholders: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reviewed and discussed with management the Compensation Discussion &amp; Analysis. Based on that review and discussion, we have recommended to the Board of Directors that the Compensation Discussion &amp; Analysis be included in this Proxy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and Executive Organization Committee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Pamela M. Arway, Chair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 L. Crawford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A. Davis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Mary Kay Haben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Diane Koken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Juan R. Perez</w:t>
      </w:r>
    </w:p>
    <w:p>
      <w:pPr>
        <w:spacing w:after="0" w:line="4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independent members of the Board of Directors who are not members of the Compensation and Executive Organization Committee join in the Compensation Committee Report with respect to the approval of Ms. Buck’s compensation.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W. Brown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M. Dutkowsky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C. Katzman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M. Malcolm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Anthony J. Palmer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Wendy L. Schoppert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L. Shedlarz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886" w:right="37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3F000B"/>
        </w:rPr>
        <w:t>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4963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96310" cy="8255"/>
                    </a:xfrm>
                    <a:prstGeom prst="rect">
                      <a:avLst/>
                    </a:prstGeom>
                    <a:noFill/>
                  </pic:spPr>
                </pic:pic>
              </a:graphicData>
            </a:graphic>
          </wp:anchor>
        </w:drawing>
      </w:r>
    </w:p>
    <w:p>
      <w:pPr>
        <w:spacing w:after="0" w:line="14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table and explanatory footnotes provide information regarding compensation earned by, held by, or paid to, all individuals holding the positions of Chief (Principal) Executive Officer and Chief (Principal) Financial Officer during 2020, the three most highly compensated of our other executive officers and two additional executive officers who separated from service during the year, but whose compensation would have been among the highest of those who served as executive officers during 2020. These individuals collectively comprise our NEOs. The table provides information with respect to 2020, as well as 2019 and 2018 compensation where required. 2018 and 2019 information is not provided for Messrs. Raup, Reiman and Walling because they were not NEOs in those years. 2018 information is not provided for Messrs. Atkins and Voskuil because they were not NEOs in that year.</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900" w:type="dxa"/>
            <w:vAlign w:val="bottom"/>
            <w:tcBorders>
              <w:top w:val="single" w:sz="8" w:color="3F000B"/>
              <w:left w:val="single" w:sz="8" w:color="3F000B"/>
              <w:right w:val="single" w:sz="8" w:color="DADADA"/>
            </w:tcBorders>
            <w:shd w:val="clear" w:color="auto" w:fill="3F000B"/>
          </w:tcPr>
          <w:p>
            <w:pPr>
              <w:spacing w:after="0"/>
              <w:rPr>
                <w:sz w:val="23"/>
                <w:szCs w:val="23"/>
                <w:color w:val="auto"/>
              </w:rPr>
            </w:pPr>
          </w:p>
        </w:tc>
        <w:tc>
          <w:tcPr>
            <w:tcW w:w="1020" w:type="dxa"/>
            <w:vAlign w:val="bottom"/>
            <w:tcBorders>
              <w:top w:val="single" w:sz="8" w:color="3F000B"/>
              <w:right w:val="single" w:sz="8" w:color="3F000B"/>
            </w:tcBorders>
            <w:shd w:val="clear" w:color="auto" w:fill="3F000B"/>
          </w:tcPr>
          <w:p>
            <w:pPr>
              <w:spacing w:after="0"/>
              <w:rPr>
                <w:sz w:val="23"/>
                <w:szCs w:val="23"/>
                <w:color w:val="auto"/>
              </w:rPr>
            </w:pPr>
          </w:p>
        </w:tc>
        <w:tc>
          <w:tcPr>
            <w:tcW w:w="1040" w:type="dxa"/>
            <w:vAlign w:val="bottom"/>
            <w:tcBorders>
              <w:top w:val="single" w:sz="8" w:color="3F000B"/>
              <w:right w:val="single" w:sz="8" w:color="DADADA"/>
            </w:tcBorders>
            <w:shd w:val="clear" w:color="auto" w:fill="3F000B"/>
          </w:tcPr>
          <w:p>
            <w:pPr>
              <w:spacing w:after="0"/>
              <w:rPr>
                <w:sz w:val="23"/>
                <w:szCs w:val="23"/>
                <w:color w:val="auto"/>
              </w:rPr>
            </w:pPr>
          </w:p>
        </w:tc>
        <w:tc>
          <w:tcPr>
            <w:tcW w:w="1040" w:type="dxa"/>
            <w:vAlign w:val="bottom"/>
            <w:tcBorders>
              <w:top w:val="single" w:sz="8" w:color="3F000B"/>
              <w:right w:val="single" w:sz="8" w:color="DADADA"/>
            </w:tcBorders>
            <w:shd w:val="clear" w:color="auto" w:fill="3F000B"/>
          </w:tcPr>
          <w:p>
            <w:pPr>
              <w:spacing w:after="0"/>
              <w:rPr>
                <w:sz w:val="23"/>
                <w:szCs w:val="23"/>
                <w:color w:val="auto"/>
              </w:rPr>
            </w:pPr>
          </w:p>
        </w:tc>
        <w:tc>
          <w:tcPr>
            <w:tcW w:w="1040" w:type="dxa"/>
            <w:vAlign w:val="bottom"/>
            <w:tcBorders>
              <w:top w:val="single" w:sz="8" w:color="3F000B"/>
              <w:right w:val="single" w:sz="8" w:color="DADADA"/>
            </w:tcBorders>
            <w:shd w:val="clear" w:color="auto" w:fill="3F000B"/>
          </w:tcPr>
          <w:p>
            <w:pPr>
              <w:spacing w:after="0"/>
              <w:rPr>
                <w:sz w:val="23"/>
                <w:szCs w:val="23"/>
                <w:color w:val="auto"/>
              </w:rPr>
            </w:pPr>
          </w:p>
        </w:tc>
        <w:tc>
          <w:tcPr>
            <w:tcW w:w="1040" w:type="dxa"/>
            <w:vAlign w:val="bottom"/>
            <w:tcBorders>
              <w:top w:val="single" w:sz="8" w:color="3F000B"/>
              <w:right w:val="single" w:sz="8" w:color="DADADA"/>
            </w:tcBorders>
            <w:shd w:val="clear" w:color="auto" w:fill="3F000B"/>
          </w:tcPr>
          <w:p>
            <w:pPr>
              <w:spacing w:after="0"/>
              <w:rPr>
                <w:sz w:val="23"/>
                <w:szCs w:val="23"/>
                <w:color w:val="auto"/>
              </w:rPr>
            </w:pPr>
          </w:p>
        </w:tc>
        <w:tc>
          <w:tcPr>
            <w:tcW w:w="1040" w:type="dxa"/>
            <w:vAlign w:val="bottom"/>
            <w:tcBorders>
              <w:top w:val="single" w:sz="8" w:color="3F000B"/>
              <w:right w:val="single" w:sz="8" w:color="DADADA"/>
            </w:tcBorders>
            <w:shd w:val="clear" w:color="auto" w:fill="3F000B"/>
          </w:tcPr>
          <w:p>
            <w:pPr>
              <w:spacing w:after="0"/>
              <w:rPr>
                <w:sz w:val="23"/>
                <w:szCs w:val="23"/>
                <w:color w:val="auto"/>
              </w:rPr>
            </w:pPr>
          </w:p>
        </w:tc>
        <w:tc>
          <w:tcPr>
            <w:tcW w:w="104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Change in</w:t>
            </w:r>
          </w:p>
        </w:tc>
        <w:tc>
          <w:tcPr>
            <w:tcW w:w="1040" w:type="dxa"/>
            <w:vAlign w:val="bottom"/>
            <w:tcBorders>
              <w:top w:val="single" w:sz="8" w:color="3F000B"/>
              <w:right w:val="single" w:sz="8" w:color="DADADA"/>
            </w:tcBorders>
            <w:shd w:val="clear" w:color="auto" w:fill="3F000B"/>
          </w:tcPr>
          <w:p>
            <w:pPr>
              <w:spacing w:after="0"/>
              <w:rPr>
                <w:sz w:val="23"/>
                <w:szCs w:val="23"/>
                <w:color w:val="auto"/>
              </w:rPr>
            </w:pPr>
          </w:p>
        </w:tc>
        <w:tc>
          <w:tcPr>
            <w:tcW w:w="1040" w:type="dxa"/>
            <w:vAlign w:val="bottom"/>
            <w:tcBorders>
              <w:top w:val="single" w:sz="8" w:color="3F000B"/>
              <w:right w:val="single" w:sz="8" w:color="3F000B"/>
            </w:tcBorders>
            <w:shd w:val="clear" w:color="auto" w:fill="3F000B"/>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3F000B"/>
              <w:right w:val="single" w:sz="8" w:color="DADADA"/>
            </w:tcBorders>
            <w:shd w:val="clear" w:color="auto" w:fill="3F000B"/>
          </w:tcPr>
          <w:p>
            <w:pPr>
              <w:spacing w:after="0"/>
              <w:rPr>
                <w:sz w:val="16"/>
                <w:szCs w:val="16"/>
                <w:color w:val="auto"/>
              </w:rPr>
            </w:pPr>
          </w:p>
        </w:tc>
        <w:tc>
          <w:tcPr>
            <w:tcW w:w="1020" w:type="dxa"/>
            <w:vAlign w:val="bottom"/>
            <w:tcBorders>
              <w:right w:val="single" w:sz="8" w:color="3F000B"/>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Pension</w:t>
            </w: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3F000B"/>
            </w:tcBorders>
            <w:shd w:val="clear" w:color="auto" w:fill="3F000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3F000B"/>
              <w:right w:val="single" w:sz="8" w:color="DADADA"/>
            </w:tcBorders>
            <w:shd w:val="clear" w:color="auto" w:fill="3F000B"/>
          </w:tcPr>
          <w:p>
            <w:pPr>
              <w:spacing w:after="0"/>
              <w:rPr>
                <w:sz w:val="16"/>
                <w:szCs w:val="16"/>
                <w:color w:val="auto"/>
              </w:rPr>
            </w:pPr>
          </w:p>
        </w:tc>
        <w:tc>
          <w:tcPr>
            <w:tcW w:w="1020" w:type="dxa"/>
            <w:vAlign w:val="bottom"/>
            <w:tcBorders>
              <w:right w:val="single" w:sz="8" w:color="3F000B"/>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2"/>
              </w:rPr>
              <w:t>Value</w:t>
            </w: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3F000B"/>
            </w:tcBorders>
            <w:shd w:val="clear" w:color="auto" w:fill="3F000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tcBorders>
              <w:left w:val="single" w:sz="8" w:color="3F000B"/>
              <w:right w:val="single" w:sz="8" w:color="DADADA"/>
            </w:tcBorders>
            <w:shd w:val="clear" w:color="auto" w:fill="3F000B"/>
          </w:tcPr>
          <w:p>
            <w:pPr>
              <w:spacing w:after="0"/>
              <w:rPr>
                <w:sz w:val="15"/>
                <w:szCs w:val="15"/>
                <w:color w:val="auto"/>
              </w:rPr>
            </w:pPr>
          </w:p>
        </w:tc>
        <w:tc>
          <w:tcPr>
            <w:tcW w:w="1020" w:type="dxa"/>
            <w:vAlign w:val="bottom"/>
            <w:tcBorders>
              <w:right w:val="single" w:sz="8" w:color="3F000B"/>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4"/>
              </w:rPr>
              <w:t>Non-</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and</w:t>
            </w: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3F000B"/>
            </w:tcBorders>
            <w:shd w:val="clear" w:color="auto" w:fill="3F000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3F000B"/>
              <w:right w:val="single" w:sz="8" w:color="DADADA"/>
            </w:tcBorders>
            <w:shd w:val="clear" w:color="auto" w:fill="3F000B"/>
          </w:tcPr>
          <w:p>
            <w:pPr>
              <w:spacing w:after="0"/>
              <w:rPr>
                <w:sz w:val="16"/>
                <w:szCs w:val="16"/>
                <w:color w:val="auto"/>
              </w:rPr>
            </w:pPr>
          </w:p>
        </w:tc>
        <w:tc>
          <w:tcPr>
            <w:tcW w:w="1020" w:type="dxa"/>
            <w:vAlign w:val="bottom"/>
            <w:tcBorders>
              <w:right w:val="single" w:sz="8" w:color="3F000B"/>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Equity</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Non-Qualified</w:t>
            </w: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3F000B"/>
            </w:tcBorders>
            <w:shd w:val="clear" w:color="auto" w:fill="3F000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3F000B"/>
              <w:right w:val="single" w:sz="8" w:color="DADADA"/>
            </w:tcBorders>
            <w:shd w:val="clear" w:color="auto" w:fill="3F000B"/>
          </w:tcPr>
          <w:p>
            <w:pPr>
              <w:spacing w:after="0"/>
              <w:rPr>
                <w:sz w:val="16"/>
                <w:szCs w:val="16"/>
                <w:color w:val="auto"/>
              </w:rPr>
            </w:pPr>
          </w:p>
        </w:tc>
        <w:tc>
          <w:tcPr>
            <w:tcW w:w="1020" w:type="dxa"/>
            <w:vAlign w:val="bottom"/>
            <w:tcBorders>
              <w:right w:val="single" w:sz="8" w:color="3F000B"/>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Incentive</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Deferred</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6"/>
              </w:rPr>
              <w:t>All</w:t>
            </w:r>
          </w:p>
        </w:tc>
        <w:tc>
          <w:tcPr>
            <w:tcW w:w="1040" w:type="dxa"/>
            <w:vAlign w:val="bottom"/>
            <w:tcBorders>
              <w:right w:val="single" w:sz="8" w:color="3F000B"/>
            </w:tcBorders>
            <w:shd w:val="clear" w:color="auto" w:fill="3F000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00" w:type="dxa"/>
            <w:vAlign w:val="bottom"/>
            <w:tcBorders>
              <w:left w:val="single" w:sz="8" w:color="3F000B"/>
              <w:right w:val="single" w:sz="8" w:color="DADADA"/>
            </w:tcBorders>
            <w:shd w:val="clear" w:color="auto" w:fill="3F000B"/>
          </w:tcPr>
          <w:p>
            <w:pPr>
              <w:spacing w:after="0"/>
              <w:rPr>
                <w:sz w:val="15"/>
                <w:szCs w:val="15"/>
                <w:color w:val="auto"/>
              </w:rPr>
            </w:pPr>
          </w:p>
        </w:tc>
        <w:tc>
          <w:tcPr>
            <w:tcW w:w="1020" w:type="dxa"/>
            <w:vAlign w:val="bottom"/>
            <w:tcBorders>
              <w:right w:val="single" w:sz="8" w:color="3F000B"/>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spacing w:after="0"/>
              <w:rPr>
                <w:sz w:val="15"/>
                <w:szCs w:val="15"/>
                <w:color w:val="auto"/>
              </w:rPr>
            </w:pP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Plan</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Compen-</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2"/>
              </w:rPr>
              <w:t>Other</w:t>
            </w:r>
          </w:p>
        </w:tc>
        <w:tc>
          <w:tcPr>
            <w:tcW w:w="1040" w:type="dxa"/>
            <w:vAlign w:val="bottom"/>
            <w:tcBorders>
              <w:right w:val="single" w:sz="8" w:color="3F000B"/>
            </w:tcBorders>
            <w:shd w:val="clear" w:color="auto" w:fill="3F000B"/>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00" w:type="dxa"/>
            <w:vAlign w:val="bottom"/>
            <w:tcBorders>
              <w:left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Name and</w:t>
            </w:r>
          </w:p>
        </w:tc>
        <w:tc>
          <w:tcPr>
            <w:tcW w:w="1020" w:type="dxa"/>
            <w:vAlign w:val="bottom"/>
            <w:tcBorders>
              <w:right w:val="single" w:sz="8" w:color="3F000B"/>
            </w:tcBorders>
            <w:shd w:val="clear" w:color="auto" w:fill="3F000B"/>
          </w:tcPr>
          <w:p>
            <w:pPr>
              <w:spacing w:after="0"/>
              <w:rPr>
                <w:sz w:val="14"/>
                <w:szCs w:val="14"/>
                <w:color w:val="auto"/>
              </w:rPr>
            </w:pPr>
          </w:p>
        </w:tc>
        <w:tc>
          <w:tcPr>
            <w:tcW w:w="1040" w:type="dxa"/>
            <w:vAlign w:val="bottom"/>
            <w:tcBorders>
              <w:right w:val="single" w:sz="8" w:color="DADADA"/>
            </w:tcBorders>
            <w:shd w:val="clear" w:color="auto" w:fill="3F000B"/>
          </w:tcPr>
          <w:p>
            <w:pPr>
              <w:spacing w:after="0"/>
              <w:rPr>
                <w:sz w:val="14"/>
                <w:szCs w:val="14"/>
                <w:color w:val="auto"/>
              </w:rPr>
            </w:pPr>
          </w:p>
        </w:tc>
        <w:tc>
          <w:tcPr>
            <w:tcW w:w="1040" w:type="dxa"/>
            <w:vAlign w:val="bottom"/>
            <w:tcBorders>
              <w:right w:val="single" w:sz="8" w:color="DADADA"/>
            </w:tcBorders>
            <w:shd w:val="clear" w:color="auto" w:fill="3F000B"/>
          </w:tcPr>
          <w:p>
            <w:pPr>
              <w:spacing w:after="0"/>
              <w:rPr>
                <w:sz w:val="14"/>
                <w:szCs w:val="14"/>
                <w:color w:val="auto"/>
              </w:rPr>
            </w:pPr>
          </w:p>
        </w:tc>
        <w:tc>
          <w:tcPr>
            <w:tcW w:w="1040" w:type="dxa"/>
            <w:vAlign w:val="bottom"/>
            <w:tcBorders>
              <w:right w:val="single" w:sz="8" w:color="DADADA"/>
            </w:tcBorders>
            <w:shd w:val="clear" w:color="auto" w:fill="3F000B"/>
          </w:tcPr>
          <w:p>
            <w:pPr>
              <w:jc w:val="right"/>
              <w:ind w:right="310"/>
              <w:spacing w:after="0"/>
              <w:rPr>
                <w:sz w:val="20"/>
                <w:szCs w:val="20"/>
                <w:color w:val="auto"/>
              </w:rPr>
            </w:pPr>
            <w:r>
              <w:rPr>
                <w:rFonts w:ascii="Arial" w:cs="Arial" w:eastAsia="Arial" w:hAnsi="Arial"/>
                <w:sz w:val="13"/>
                <w:szCs w:val="13"/>
                <w:b w:val="1"/>
                <w:bCs w:val="1"/>
                <w:color w:val="FFFFFF"/>
              </w:rPr>
              <w:t>Stock</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Option</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Compen-</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3"/>
              </w:rPr>
              <w:t>sation</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Compen-</w:t>
            </w:r>
          </w:p>
        </w:tc>
        <w:tc>
          <w:tcPr>
            <w:tcW w:w="1040" w:type="dxa"/>
            <w:vAlign w:val="bottom"/>
            <w:tcBorders>
              <w:right w:val="single" w:sz="8" w:color="3F000B"/>
            </w:tcBorders>
            <w:shd w:val="clear" w:color="auto" w:fill="3F000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Principal</w:t>
            </w:r>
          </w:p>
        </w:tc>
        <w:tc>
          <w:tcPr>
            <w:tcW w:w="1020" w:type="dxa"/>
            <w:vAlign w:val="bottom"/>
            <w:tcBorders>
              <w:right w:val="single" w:sz="8" w:color="3F000B"/>
            </w:tcBorders>
            <w:shd w:val="clear" w:color="auto" w:fill="3F000B"/>
          </w:tcPr>
          <w:p>
            <w:pPr>
              <w:spacing w:after="0"/>
              <w:rPr>
                <w:sz w:val="16"/>
                <w:szCs w:val="16"/>
                <w:color w:val="auto"/>
              </w:rPr>
            </w:pPr>
          </w:p>
        </w:tc>
        <w:tc>
          <w:tcPr>
            <w:tcW w:w="1040" w:type="dxa"/>
            <w:vAlign w:val="bottom"/>
            <w:tcBorders>
              <w:right w:val="single" w:sz="8" w:color="DADADA"/>
            </w:tcBorders>
            <w:shd w:val="clear" w:color="auto" w:fill="3F000B"/>
          </w:tcPr>
          <w:p>
            <w:pPr>
              <w:jc w:val="right"/>
              <w:ind w:right="230"/>
              <w:spacing w:after="0" w:line="189" w:lineRule="exact"/>
              <w:rPr>
                <w:sz w:val="20"/>
                <w:szCs w:val="20"/>
                <w:color w:val="auto"/>
              </w:rPr>
            </w:pPr>
            <w:r>
              <w:rPr>
                <w:rFonts w:ascii="Arial" w:cs="Arial" w:eastAsia="Arial" w:hAnsi="Arial"/>
                <w:sz w:val="13"/>
                <w:szCs w:val="13"/>
                <w:b w:val="1"/>
                <w:bCs w:val="1"/>
                <w:color w:val="FFFFFF"/>
              </w:rPr>
              <w:t>Salary</w:t>
            </w:r>
            <w:r>
              <w:rPr>
                <w:rFonts w:ascii="Arial" w:cs="Arial" w:eastAsia="Arial" w:hAnsi="Arial"/>
                <w:sz w:val="21"/>
                <w:szCs w:val="21"/>
                <w:b w:val="1"/>
                <w:bCs w:val="1"/>
                <w:color w:val="FFFFFF"/>
                <w:vertAlign w:val="superscript"/>
              </w:rPr>
              <w:t>(2)</w:t>
            </w:r>
          </w:p>
        </w:tc>
        <w:tc>
          <w:tcPr>
            <w:tcW w:w="1040" w:type="dxa"/>
            <w:vAlign w:val="bottom"/>
            <w:tcBorders>
              <w:right w:val="single" w:sz="8" w:color="DADADA"/>
            </w:tcBorders>
            <w:shd w:val="clear" w:color="auto" w:fill="3F000B"/>
          </w:tcPr>
          <w:p>
            <w:pPr>
              <w:jc w:val="right"/>
              <w:ind w:right="230"/>
              <w:spacing w:after="0" w:line="189" w:lineRule="exact"/>
              <w:rPr>
                <w:sz w:val="20"/>
                <w:szCs w:val="20"/>
                <w:color w:val="auto"/>
              </w:rPr>
            </w:pPr>
            <w:r>
              <w:rPr>
                <w:rFonts w:ascii="Arial" w:cs="Arial" w:eastAsia="Arial" w:hAnsi="Arial"/>
                <w:sz w:val="13"/>
                <w:szCs w:val="13"/>
                <w:b w:val="1"/>
                <w:bCs w:val="1"/>
                <w:color w:val="FFFFFF"/>
              </w:rPr>
              <w:t>Bonus</w:t>
            </w:r>
            <w:r>
              <w:rPr>
                <w:rFonts w:ascii="Arial" w:cs="Arial" w:eastAsia="Arial" w:hAnsi="Arial"/>
                <w:sz w:val="21"/>
                <w:szCs w:val="21"/>
                <w:b w:val="1"/>
                <w:bCs w:val="1"/>
                <w:color w:val="FFFFFF"/>
                <w:vertAlign w:val="superscript"/>
              </w:rPr>
              <w:t>(3)</w:t>
            </w:r>
          </w:p>
        </w:tc>
        <w:tc>
          <w:tcPr>
            <w:tcW w:w="1040" w:type="dxa"/>
            <w:vAlign w:val="bottom"/>
            <w:tcBorders>
              <w:right w:val="single" w:sz="8" w:color="DADADA"/>
            </w:tcBorders>
            <w:shd w:val="clear" w:color="auto" w:fill="3F000B"/>
          </w:tcPr>
          <w:p>
            <w:pPr>
              <w:jc w:val="right"/>
              <w:ind w:right="130"/>
              <w:spacing w:after="0" w:line="189"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21"/>
                <w:szCs w:val="21"/>
                <w:b w:val="1"/>
                <w:bCs w:val="1"/>
                <w:color w:val="FFFFFF"/>
                <w:vertAlign w:val="superscript"/>
              </w:rPr>
              <w:t>(4)</w:t>
            </w:r>
          </w:p>
        </w:tc>
        <w:tc>
          <w:tcPr>
            <w:tcW w:w="1040" w:type="dxa"/>
            <w:vAlign w:val="bottom"/>
            <w:tcBorders>
              <w:right w:val="single" w:sz="8" w:color="DADADA"/>
            </w:tcBorders>
            <w:shd w:val="clear" w:color="auto" w:fill="3F000B"/>
          </w:tcPr>
          <w:p>
            <w:pPr>
              <w:jc w:val="right"/>
              <w:ind w:right="130"/>
              <w:spacing w:after="0" w:line="189"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21"/>
                <w:szCs w:val="21"/>
                <w:b w:val="1"/>
                <w:bCs w:val="1"/>
                <w:color w:val="FFFFFF"/>
                <w:vertAlign w:val="superscript"/>
              </w:rPr>
              <w:t>(5)</w:t>
            </w:r>
          </w:p>
        </w:tc>
        <w:tc>
          <w:tcPr>
            <w:tcW w:w="1040" w:type="dxa"/>
            <w:vAlign w:val="bottom"/>
            <w:tcBorders>
              <w:right w:val="single" w:sz="8" w:color="DADADA"/>
            </w:tcBorders>
            <w:shd w:val="clear" w:color="auto" w:fill="3F000B"/>
          </w:tcPr>
          <w:p>
            <w:pPr>
              <w:jc w:val="center"/>
              <w:spacing w:after="0" w:line="189" w:lineRule="exact"/>
              <w:rPr>
                <w:sz w:val="20"/>
                <w:szCs w:val="20"/>
                <w:color w:val="auto"/>
              </w:rPr>
            </w:pPr>
            <w:r>
              <w:rPr>
                <w:rFonts w:ascii="Arial" w:cs="Arial" w:eastAsia="Arial" w:hAnsi="Arial"/>
                <w:sz w:val="13"/>
                <w:szCs w:val="13"/>
                <w:b w:val="1"/>
                <w:bCs w:val="1"/>
                <w:color w:val="FFFFFF"/>
                <w:w w:val="79"/>
              </w:rPr>
              <w:t>sation</w:t>
            </w:r>
            <w:r>
              <w:rPr>
                <w:rFonts w:ascii="Arial" w:cs="Arial" w:eastAsia="Arial" w:hAnsi="Arial"/>
                <w:sz w:val="21"/>
                <w:szCs w:val="21"/>
                <w:b w:val="1"/>
                <w:bCs w:val="1"/>
                <w:color w:val="FFFFFF"/>
                <w:w w:val="79"/>
                <w:vertAlign w:val="superscript"/>
              </w:rPr>
              <w:t>(6)</w:t>
            </w:r>
          </w:p>
        </w:tc>
        <w:tc>
          <w:tcPr>
            <w:tcW w:w="1040" w:type="dxa"/>
            <w:vAlign w:val="bottom"/>
            <w:tcBorders>
              <w:right w:val="single" w:sz="8" w:color="DADADA"/>
            </w:tcBorders>
            <w:shd w:val="clear" w:color="auto" w:fill="3F000B"/>
          </w:tcPr>
          <w:p>
            <w:pPr>
              <w:jc w:val="center"/>
              <w:spacing w:after="0" w:line="189" w:lineRule="exact"/>
              <w:rPr>
                <w:sz w:val="20"/>
                <w:szCs w:val="20"/>
                <w:color w:val="auto"/>
              </w:rPr>
            </w:pPr>
            <w:r>
              <w:rPr>
                <w:rFonts w:ascii="Arial" w:cs="Arial" w:eastAsia="Arial" w:hAnsi="Arial"/>
                <w:sz w:val="13"/>
                <w:szCs w:val="13"/>
                <w:b w:val="1"/>
                <w:bCs w:val="1"/>
                <w:color w:val="FFFFFF"/>
                <w:w w:val="82"/>
              </w:rPr>
              <w:t>Earnings</w:t>
            </w:r>
            <w:r>
              <w:rPr>
                <w:rFonts w:ascii="Arial" w:cs="Arial" w:eastAsia="Arial" w:hAnsi="Arial"/>
                <w:sz w:val="21"/>
                <w:szCs w:val="21"/>
                <w:b w:val="1"/>
                <w:bCs w:val="1"/>
                <w:color w:val="FFFFFF"/>
                <w:w w:val="82"/>
                <w:vertAlign w:val="superscript"/>
              </w:rPr>
              <w:t>(7)</w:t>
            </w:r>
          </w:p>
        </w:tc>
        <w:tc>
          <w:tcPr>
            <w:tcW w:w="1040" w:type="dxa"/>
            <w:vAlign w:val="bottom"/>
            <w:tcBorders>
              <w:right w:val="single" w:sz="8" w:color="DADADA"/>
            </w:tcBorders>
            <w:shd w:val="clear" w:color="auto" w:fill="3F000B"/>
          </w:tcPr>
          <w:p>
            <w:pPr>
              <w:jc w:val="center"/>
              <w:spacing w:after="0" w:line="189" w:lineRule="exact"/>
              <w:rPr>
                <w:sz w:val="20"/>
                <w:szCs w:val="20"/>
                <w:color w:val="auto"/>
              </w:rPr>
            </w:pPr>
            <w:r>
              <w:rPr>
                <w:rFonts w:ascii="Arial" w:cs="Arial" w:eastAsia="Arial" w:hAnsi="Arial"/>
                <w:sz w:val="13"/>
                <w:szCs w:val="13"/>
                <w:b w:val="1"/>
                <w:bCs w:val="1"/>
                <w:color w:val="FFFFFF"/>
                <w:w w:val="79"/>
              </w:rPr>
              <w:t>sation</w:t>
            </w:r>
            <w:r>
              <w:rPr>
                <w:rFonts w:ascii="Arial" w:cs="Arial" w:eastAsia="Arial" w:hAnsi="Arial"/>
                <w:sz w:val="21"/>
                <w:szCs w:val="21"/>
                <w:b w:val="1"/>
                <w:bCs w:val="1"/>
                <w:color w:val="FFFFFF"/>
                <w:w w:val="79"/>
                <w:vertAlign w:val="superscript"/>
              </w:rPr>
              <w:t>(8)</w:t>
            </w:r>
          </w:p>
        </w:tc>
        <w:tc>
          <w:tcPr>
            <w:tcW w:w="10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Total</w:t>
            </w:r>
          </w:p>
        </w:tc>
        <w:tc>
          <w:tcPr>
            <w:tcW w:w="0" w:type="dxa"/>
            <w:vAlign w:val="bottom"/>
          </w:tcPr>
          <w:p>
            <w:pPr>
              <w:spacing w:after="0"/>
              <w:rPr>
                <w:sz w:val="1"/>
                <w:szCs w:val="1"/>
                <w:color w:val="auto"/>
              </w:rPr>
            </w:pPr>
          </w:p>
        </w:tc>
      </w:tr>
      <w:tr>
        <w:trPr>
          <w:trHeight w:val="275"/>
        </w:trPr>
        <w:tc>
          <w:tcPr>
            <w:tcW w:w="1900" w:type="dxa"/>
            <w:vAlign w:val="bottom"/>
            <w:tcBorders>
              <w:left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1"/>
              </w:rPr>
              <w:t>Position</w:t>
            </w:r>
            <w:r>
              <w:rPr>
                <w:rFonts w:ascii="Arial" w:cs="Arial" w:eastAsia="Arial" w:hAnsi="Arial"/>
                <w:sz w:val="21"/>
                <w:szCs w:val="21"/>
                <w:b w:val="1"/>
                <w:bCs w:val="1"/>
                <w:color w:val="FFFFFF"/>
                <w:w w:val="81"/>
                <w:vertAlign w:val="superscript"/>
              </w:rPr>
              <w:t>(1)</w:t>
            </w:r>
          </w:p>
        </w:tc>
        <w:tc>
          <w:tcPr>
            <w:tcW w:w="1020" w:type="dxa"/>
            <w:vAlign w:val="bottom"/>
            <w:tcBorders>
              <w:right w:val="single" w:sz="8" w:color="3F000B"/>
            </w:tcBorders>
            <w:shd w:val="clear" w:color="auto" w:fill="3F000B"/>
          </w:tcPr>
          <w:p>
            <w:pPr>
              <w:jc w:val="right"/>
              <w:ind w:right="329"/>
              <w:spacing w:after="0"/>
              <w:rPr>
                <w:sz w:val="20"/>
                <w:szCs w:val="20"/>
                <w:color w:val="auto"/>
              </w:rPr>
            </w:pPr>
            <w:r>
              <w:rPr>
                <w:rFonts w:ascii="Arial" w:cs="Arial" w:eastAsia="Arial" w:hAnsi="Arial"/>
                <w:sz w:val="13"/>
                <w:szCs w:val="13"/>
                <w:b w:val="1"/>
                <w:bCs w:val="1"/>
                <w:color w:val="FFFFFF"/>
              </w:rPr>
              <w:t>Year</w:t>
            </w:r>
          </w:p>
        </w:tc>
        <w:tc>
          <w:tcPr>
            <w:tcW w:w="1040" w:type="dxa"/>
            <w:vAlign w:val="bottom"/>
            <w:tcBorders>
              <w:right w:val="single" w:sz="8" w:color="DADADA"/>
            </w:tcBorders>
            <w:shd w:val="clear" w:color="auto" w:fill="3F000B"/>
          </w:tcPr>
          <w:p>
            <w:pPr>
              <w:jc w:val="right"/>
              <w:ind w:right="390"/>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DADADA"/>
            </w:tcBorders>
            <w:shd w:val="clear" w:color="auto" w:fill="3F000B"/>
          </w:tcPr>
          <w:p>
            <w:pPr>
              <w:jc w:val="right"/>
              <w:ind w:right="390"/>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DADADA"/>
            </w:tcBorders>
            <w:shd w:val="clear" w:color="auto" w:fill="3F000B"/>
          </w:tcPr>
          <w:p>
            <w:pPr>
              <w:jc w:val="right"/>
              <w:ind w:right="390"/>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7"/>
        </w:trPr>
        <w:tc>
          <w:tcPr>
            <w:tcW w:w="1900" w:type="dxa"/>
            <w:vAlign w:val="bottom"/>
            <w:tcBorders>
              <w:left w:val="single" w:sz="8" w:color="3F000B"/>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(a)</w:t>
            </w:r>
          </w:p>
        </w:tc>
        <w:tc>
          <w:tcPr>
            <w:tcW w:w="1020" w:type="dxa"/>
            <w:vAlign w:val="bottom"/>
            <w:tcBorders>
              <w:bottom w:val="single" w:sz="8" w:color="3F000B"/>
              <w:right w:val="single" w:sz="8" w:color="3F000B"/>
            </w:tcBorders>
            <w:shd w:val="clear" w:color="auto" w:fill="3F000B"/>
          </w:tcPr>
          <w:p>
            <w:pPr>
              <w:jc w:val="right"/>
              <w:ind w:right="389"/>
              <w:spacing w:after="0"/>
              <w:rPr>
                <w:sz w:val="20"/>
                <w:szCs w:val="20"/>
                <w:color w:val="auto"/>
              </w:rPr>
            </w:pPr>
            <w:r>
              <w:rPr>
                <w:rFonts w:ascii="Arial" w:cs="Arial" w:eastAsia="Arial" w:hAnsi="Arial"/>
                <w:sz w:val="13"/>
                <w:szCs w:val="13"/>
                <w:b w:val="1"/>
                <w:bCs w:val="1"/>
                <w:color w:val="FFFFFF"/>
              </w:rPr>
              <w:t>(b)</w:t>
            </w:r>
          </w:p>
        </w:tc>
        <w:tc>
          <w:tcPr>
            <w:tcW w:w="1040" w:type="dxa"/>
            <w:vAlign w:val="bottom"/>
            <w:tcBorders>
              <w:bottom w:val="single" w:sz="8" w:color="3F000B"/>
              <w:right w:val="single" w:sz="8" w:color="DADADA"/>
            </w:tcBorders>
            <w:shd w:val="clear" w:color="auto" w:fill="3F000B"/>
          </w:tcPr>
          <w:p>
            <w:pPr>
              <w:jc w:val="right"/>
              <w:ind w:right="390"/>
              <w:spacing w:after="0"/>
              <w:rPr>
                <w:sz w:val="20"/>
                <w:szCs w:val="20"/>
                <w:color w:val="auto"/>
              </w:rPr>
            </w:pPr>
            <w:r>
              <w:rPr>
                <w:rFonts w:ascii="Arial" w:cs="Arial" w:eastAsia="Arial" w:hAnsi="Arial"/>
                <w:sz w:val="13"/>
                <w:szCs w:val="13"/>
                <w:b w:val="1"/>
                <w:bCs w:val="1"/>
                <w:color w:val="FFFFFF"/>
              </w:rPr>
              <w:t>(c)</w:t>
            </w:r>
          </w:p>
        </w:tc>
        <w:tc>
          <w:tcPr>
            <w:tcW w:w="1040" w:type="dxa"/>
            <w:vAlign w:val="bottom"/>
            <w:tcBorders>
              <w:bottom w:val="single" w:sz="8" w:color="3F000B"/>
              <w:right w:val="single" w:sz="8" w:color="DADADA"/>
            </w:tcBorders>
            <w:shd w:val="clear" w:color="auto" w:fill="3F000B"/>
          </w:tcPr>
          <w:p>
            <w:pPr>
              <w:jc w:val="right"/>
              <w:ind w:right="390"/>
              <w:spacing w:after="0"/>
              <w:rPr>
                <w:sz w:val="20"/>
                <w:szCs w:val="20"/>
                <w:color w:val="auto"/>
              </w:rPr>
            </w:pPr>
            <w:r>
              <w:rPr>
                <w:rFonts w:ascii="Arial" w:cs="Arial" w:eastAsia="Arial" w:hAnsi="Arial"/>
                <w:sz w:val="13"/>
                <w:szCs w:val="13"/>
                <w:b w:val="1"/>
                <w:bCs w:val="1"/>
                <w:color w:val="FFFFFF"/>
              </w:rPr>
              <w:t>(d)</w:t>
            </w:r>
          </w:p>
        </w:tc>
        <w:tc>
          <w:tcPr>
            <w:tcW w:w="1040" w:type="dxa"/>
            <w:vAlign w:val="bottom"/>
            <w:tcBorders>
              <w:bottom w:val="single" w:sz="8" w:color="3F000B"/>
              <w:right w:val="single" w:sz="8" w:color="DADADA"/>
            </w:tcBorders>
            <w:shd w:val="clear" w:color="auto" w:fill="3F000B"/>
          </w:tcPr>
          <w:p>
            <w:pPr>
              <w:jc w:val="right"/>
              <w:ind w:right="390"/>
              <w:spacing w:after="0"/>
              <w:rPr>
                <w:sz w:val="20"/>
                <w:szCs w:val="20"/>
                <w:color w:val="auto"/>
              </w:rPr>
            </w:pPr>
            <w:r>
              <w:rPr>
                <w:rFonts w:ascii="Arial" w:cs="Arial" w:eastAsia="Arial" w:hAnsi="Arial"/>
                <w:sz w:val="13"/>
                <w:szCs w:val="13"/>
                <w:b w:val="1"/>
                <w:bCs w:val="1"/>
                <w:color w:val="FFFFFF"/>
              </w:rPr>
              <w:t>(e)</w:t>
            </w:r>
          </w:p>
        </w:tc>
        <w:tc>
          <w:tcPr>
            <w:tcW w:w="10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2"/>
              </w:rPr>
              <w:t>(f)</w:t>
            </w:r>
          </w:p>
        </w:tc>
        <w:tc>
          <w:tcPr>
            <w:tcW w:w="10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6"/>
              </w:rPr>
              <w:t>(g)</w:t>
            </w:r>
          </w:p>
        </w:tc>
        <w:tc>
          <w:tcPr>
            <w:tcW w:w="10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6"/>
              </w:rPr>
              <w:t>(h)</w:t>
            </w:r>
          </w:p>
        </w:tc>
        <w:tc>
          <w:tcPr>
            <w:tcW w:w="10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7"/>
              </w:rPr>
              <w:t>(i)</w:t>
            </w:r>
          </w:p>
        </w:tc>
        <w:tc>
          <w:tcPr>
            <w:tcW w:w="104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7"/>
              </w:rPr>
              <w:t>(j)</w:t>
            </w:r>
          </w:p>
        </w:tc>
        <w:tc>
          <w:tcPr>
            <w:tcW w:w="0" w:type="dxa"/>
            <w:vAlign w:val="bottom"/>
          </w:tcPr>
          <w:p>
            <w:pPr>
              <w:spacing w:after="0"/>
              <w:rPr>
                <w:sz w:val="1"/>
                <w:szCs w:val="1"/>
                <w:color w:val="auto"/>
              </w:rPr>
            </w:pPr>
          </w:p>
        </w:tc>
      </w:tr>
      <w:tr>
        <w:trPr>
          <w:trHeight w:val="190"/>
        </w:trPr>
        <w:tc>
          <w:tcPr>
            <w:tcW w:w="19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Ms. Buck</w:t>
            </w:r>
          </w:p>
        </w:tc>
        <w:tc>
          <w:tcPr>
            <w:tcW w:w="10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1,211,246</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6,670,261</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2,685,985</w:t>
            </w:r>
          </w:p>
        </w:tc>
        <w:tc>
          <w:tcPr>
            <w:tcW w:w="104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8,318,012</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229,555</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19,115,059</w:t>
            </w:r>
          </w:p>
        </w:tc>
        <w:tc>
          <w:tcPr>
            <w:tcW w:w="0" w:type="dxa"/>
            <w:vAlign w:val="bottom"/>
          </w:tcPr>
          <w:p>
            <w:pPr>
              <w:spacing w:after="0"/>
              <w:rPr>
                <w:sz w:val="1"/>
                <w:szCs w:val="1"/>
                <w:color w:val="auto"/>
              </w:rPr>
            </w:pPr>
          </w:p>
        </w:tc>
      </w:tr>
      <w:tr>
        <w:trPr>
          <w:trHeight w:val="196"/>
        </w:trPr>
        <w:tc>
          <w:tcPr>
            <w:tcW w:w="1900" w:type="dxa"/>
            <w:vAlign w:val="bottom"/>
            <w:tcBorders>
              <w:left w:val="single" w:sz="8" w:color="3F000B"/>
              <w:right w:val="single" w:sz="8" w:color="3F000B"/>
            </w:tcBorders>
          </w:tcPr>
          <w:p>
            <w:pPr>
              <w:ind w:left="140"/>
              <w:spacing w:after="0"/>
              <w:rPr>
                <w:sz w:val="20"/>
                <w:szCs w:val="20"/>
                <w:color w:val="auto"/>
              </w:rPr>
            </w:pPr>
            <w:r>
              <w:rPr>
                <w:rFonts w:ascii="Arial" w:cs="Arial" w:eastAsia="Arial" w:hAnsi="Arial"/>
                <w:sz w:val="14"/>
                <w:szCs w:val="14"/>
                <w:color w:val="auto"/>
              </w:rPr>
              <w:t>Chairman of the Board,</w:t>
            </w:r>
          </w:p>
        </w:tc>
        <w:tc>
          <w:tcPr>
            <w:tcW w:w="1020" w:type="dxa"/>
            <w:vAlign w:val="bottom"/>
            <w:tcBorders>
              <w:right w:val="single" w:sz="8" w:color="3F000B"/>
            </w:tcBorders>
            <w:vMerge w:val="restart"/>
          </w:tcPr>
          <w:p>
            <w:pPr>
              <w:jc w:val="right"/>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1,171,479</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6,422,295</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2,705,043</w:t>
            </w:r>
          </w:p>
        </w:tc>
        <w:tc>
          <w:tcPr>
            <w:tcW w:w="1040" w:type="dxa"/>
            <w:vAlign w:val="bottom"/>
            <w:tcBorders>
              <w:right w:val="single" w:sz="8" w:color="3F000B"/>
            </w:tcBorders>
            <w:vMerge w:val="restart"/>
          </w:tcPr>
          <w:p>
            <w:pPr>
              <w:jc w:val="right"/>
              <w:ind w:right="12"/>
              <w:spacing w:after="0"/>
              <w:rPr>
                <w:sz w:val="20"/>
                <w:szCs w:val="20"/>
                <w:color w:val="auto"/>
              </w:rPr>
            </w:pPr>
            <w:r>
              <w:rPr>
                <w:rFonts w:ascii="Arial" w:cs="Arial" w:eastAsia="Arial" w:hAnsi="Arial"/>
                <w:sz w:val="14"/>
                <w:szCs w:val="14"/>
                <w:color w:val="auto"/>
              </w:rPr>
              <w:t>6,276,714</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211,657</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16,787,188</w:t>
            </w:r>
          </w:p>
        </w:tc>
        <w:tc>
          <w:tcPr>
            <w:tcW w:w="0" w:type="dxa"/>
            <w:vAlign w:val="bottom"/>
          </w:tcPr>
          <w:p>
            <w:pPr>
              <w:spacing w:after="0"/>
              <w:rPr>
                <w:sz w:val="1"/>
                <w:szCs w:val="1"/>
                <w:color w:val="auto"/>
              </w:rPr>
            </w:pPr>
          </w:p>
        </w:tc>
      </w:tr>
      <w:tr>
        <w:trPr>
          <w:trHeight w:val="74"/>
        </w:trPr>
        <w:tc>
          <w:tcPr>
            <w:tcW w:w="1900" w:type="dxa"/>
            <w:vAlign w:val="bottom"/>
            <w:tcBorders>
              <w:left w:val="single" w:sz="8" w:color="3F000B"/>
              <w:right w:val="single" w:sz="8" w:color="3F000B"/>
            </w:tcBorders>
            <w:vMerge w:val="restart"/>
          </w:tcPr>
          <w:p>
            <w:pPr>
              <w:ind w:left="140"/>
              <w:spacing w:after="0"/>
              <w:rPr>
                <w:sz w:val="20"/>
                <w:szCs w:val="20"/>
                <w:color w:val="auto"/>
              </w:rPr>
            </w:pPr>
            <w:r>
              <w:rPr>
                <w:rFonts w:ascii="Arial" w:cs="Arial" w:eastAsia="Arial" w:hAnsi="Arial"/>
                <w:sz w:val="14"/>
                <w:szCs w:val="14"/>
                <w:color w:val="auto"/>
              </w:rPr>
              <w:t>President and CEO</w:t>
            </w:r>
          </w:p>
        </w:tc>
        <w:tc>
          <w:tcPr>
            <w:tcW w:w="102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3F000B"/>
              <w:right w:val="single" w:sz="8" w:color="3F000B"/>
            </w:tcBorders>
            <w:vMerge w:val="continue"/>
          </w:tcPr>
          <w:p>
            <w:pPr>
              <w:spacing w:after="0"/>
              <w:rPr>
                <w:sz w:val="9"/>
                <w:szCs w:val="9"/>
                <w:color w:val="auto"/>
              </w:rPr>
            </w:pPr>
          </w:p>
        </w:tc>
        <w:tc>
          <w:tcPr>
            <w:tcW w:w="1020" w:type="dxa"/>
            <w:vAlign w:val="bottom"/>
            <w:tcBorders>
              <w:right w:val="single" w:sz="8" w:color="3F000B"/>
            </w:tcBorders>
            <w:vMerge w:val="restart"/>
          </w:tcPr>
          <w:p>
            <w:pPr>
              <w:jc w:val="right"/>
              <w:spacing w:after="0"/>
              <w:rPr>
                <w:sz w:val="20"/>
                <w:szCs w:val="20"/>
                <w:color w:val="auto"/>
              </w:rPr>
            </w:pPr>
            <w:r>
              <w:rPr>
                <w:rFonts w:ascii="Arial" w:cs="Arial" w:eastAsia="Arial" w:hAnsi="Arial"/>
                <w:sz w:val="14"/>
                <w:szCs w:val="14"/>
                <w:color w:val="auto"/>
              </w:rPr>
              <w:t>2018</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1,137,357</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4,112,889</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1,416,300</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1,747,950</w:t>
            </w:r>
          </w:p>
        </w:tc>
        <w:tc>
          <w:tcPr>
            <w:tcW w:w="1040" w:type="dxa"/>
            <w:vAlign w:val="bottom"/>
            <w:tcBorders>
              <w:right w:val="single" w:sz="8" w:color="3F000B"/>
            </w:tcBorders>
            <w:vMerge w:val="restart"/>
          </w:tcPr>
          <w:p>
            <w:pPr>
              <w:jc w:val="right"/>
              <w:ind w:right="12"/>
              <w:spacing w:after="0"/>
              <w:rPr>
                <w:sz w:val="20"/>
                <w:szCs w:val="20"/>
                <w:color w:val="auto"/>
              </w:rPr>
            </w:pPr>
            <w:r>
              <w:rPr>
                <w:rFonts w:ascii="Arial" w:cs="Arial" w:eastAsia="Arial" w:hAnsi="Arial"/>
                <w:sz w:val="14"/>
                <w:szCs w:val="14"/>
                <w:color w:val="auto"/>
              </w:rPr>
              <w:t>2,988,474</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315,402</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11,718,372</w:t>
            </w:r>
          </w:p>
        </w:tc>
        <w:tc>
          <w:tcPr>
            <w:tcW w:w="0" w:type="dxa"/>
            <w:vAlign w:val="bottom"/>
          </w:tcPr>
          <w:p>
            <w:pPr>
              <w:spacing w:after="0"/>
              <w:rPr>
                <w:sz w:val="1"/>
                <w:szCs w:val="1"/>
                <w:color w:val="auto"/>
              </w:rPr>
            </w:pPr>
          </w:p>
        </w:tc>
      </w:tr>
      <w:tr>
        <w:trPr>
          <w:trHeight w:val="162"/>
        </w:trPr>
        <w:tc>
          <w:tcPr>
            <w:tcW w:w="1900" w:type="dxa"/>
            <w:vAlign w:val="bottom"/>
            <w:tcBorders>
              <w:left w:val="single" w:sz="8" w:color="3F000B"/>
              <w:right w:val="single" w:sz="8" w:color="3F000B"/>
            </w:tcBorders>
          </w:tcPr>
          <w:p>
            <w:pPr>
              <w:spacing w:after="0"/>
              <w:rPr>
                <w:sz w:val="14"/>
                <w:szCs w:val="14"/>
                <w:color w:val="auto"/>
              </w:rPr>
            </w:pPr>
          </w:p>
        </w:tc>
        <w:tc>
          <w:tcPr>
            <w:tcW w:w="102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1040" w:type="dxa"/>
            <w:vAlign w:val="bottom"/>
            <w:tcBorders>
              <w:right w:val="single" w:sz="8" w:color="3F000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900" w:type="dxa"/>
            <w:vAlign w:val="bottom"/>
            <w:tcBorders>
              <w:left w:val="single" w:sz="8" w:color="3F000B"/>
              <w:right w:val="single" w:sz="8" w:color="3F000B"/>
            </w:tcBorders>
          </w:tcPr>
          <w:p>
            <w:pPr>
              <w:spacing w:after="0"/>
              <w:rPr>
                <w:sz w:val="2"/>
                <w:szCs w:val="2"/>
                <w:color w:val="auto"/>
              </w:rPr>
            </w:pPr>
          </w:p>
        </w:tc>
        <w:tc>
          <w:tcPr>
            <w:tcW w:w="102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9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4"/>
                <w:szCs w:val="14"/>
                <w:color w:val="auto"/>
              </w:rPr>
              <w:t>Mr. Voskuil</w:t>
            </w:r>
          </w:p>
        </w:tc>
        <w:tc>
          <w:tcPr>
            <w:tcW w:w="102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4"/>
                <w:szCs w:val="14"/>
                <w:color w:val="auto"/>
              </w:rPr>
              <w:t>2020</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680,192</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135,000</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1,994,837</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853,698</w:t>
            </w:r>
          </w:p>
        </w:tc>
        <w:tc>
          <w:tcPr>
            <w:tcW w:w="104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238,341</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3,902,068</w:t>
            </w:r>
          </w:p>
        </w:tc>
        <w:tc>
          <w:tcPr>
            <w:tcW w:w="0" w:type="dxa"/>
            <w:vAlign w:val="bottom"/>
          </w:tcPr>
          <w:p>
            <w:pPr>
              <w:spacing w:after="0"/>
              <w:rPr>
                <w:sz w:val="1"/>
                <w:szCs w:val="1"/>
                <w:color w:val="auto"/>
              </w:rPr>
            </w:pPr>
          </w:p>
        </w:tc>
      </w:tr>
      <w:tr>
        <w:trPr>
          <w:trHeight w:val="196"/>
        </w:trPr>
        <w:tc>
          <w:tcPr>
            <w:tcW w:w="1900" w:type="dxa"/>
            <w:vAlign w:val="bottom"/>
            <w:tcBorders>
              <w:left w:val="single" w:sz="8" w:color="3F000B"/>
              <w:right w:val="single" w:sz="8" w:color="3F000B"/>
            </w:tcBorders>
            <w:shd w:val="clear" w:color="auto" w:fill="DADADA"/>
          </w:tcPr>
          <w:p>
            <w:pPr>
              <w:ind w:left="140"/>
              <w:spacing w:after="0"/>
              <w:rPr>
                <w:sz w:val="20"/>
                <w:szCs w:val="20"/>
                <w:color w:val="auto"/>
              </w:rPr>
            </w:pPr>
            <w:r>
              <w:rPr>
                <w:rFonts w:ascii="Arial" w:cs="Arial" w:eastAsia="Arial" w:hAnsi="Arial"/>
                <w:sz w:val="14"/>
                <w:szCs w:val="14"/>
                <w:color w:val="auto"/>
                <w:w w:val="98"/>
              </w:rPr>
              <w:t>Senior Vice President, Chief</w:t>
            </w:r>
          </w:p>
        </w:tc>
        <w:tc>
          <w:tcPr>
            <w:tcW w:w="1020" w:type="dxa"/>
            <w:vAlign w:val="bottom"/>
            <w:tcBorders>
              <w:right w:val="single" w:sz="8" w:color="3F000B"/>
            </w:tcBorders>
            <w:vMerge w:val="restart"/>
            <w:shd w:val="clear" w:color="auto" w:fill="DADADA"/>
          </w:tcPr>
          <w:p>
            <w:pPr>
              <w:jc w:val="right"/>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3F000B"/>
            </w:tcBorders>
            <w:vMerge w:val="restart"/>
            <w:shd w:val="clear" w:color="auto" w:fill="DADADA"/>
          </w:tcPr>
          <w:p>
            <w:pPr>
              <w:jc w:val="right"/>
              <w:ind w:right="10"/>
              <w:spacing w:after="0"/>
              <w:rPr>
                <w:sz w:val="20"/>
                <w:szCs w:val="20"/>
                <w:color w:val="auto"/>
              </w:rPr>
            </w:pPr>
            <w:r>
              <w:rPr>
                <w:rFonts w:ascii="Arial" w:cs="Arial" w:eastAsia="Arial" w:hAnsi="Arial"/>
                <w:sz w:val="14"/>
                <w:szCs w:val="14"/>
                <w:color w:val="auto"/>
              </w:rPr>
              <w:t>401,442</w:t>
            </w:r>
          </w:p>
        </w:tc>
        <w:tc>
          <w:tcPr>
            <w:tcW w:w="1040" w:type="dxa"/>
            <w:vAlign w:val="bottom"/>
            <w:tcBorders>
              <w:right w:val="single" w:sz="8" w:color="3F000B"/>
            </w:tcBorders>
            <w:vMerge w:val="restart"/>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shd w:val="clear" w:color="auto" w:fill="DADADA"/>
          </w:tcPr>
          <w:p>
            <w:pPr>
              <w:jc w:val="right"/>
              <w:ind w:right="10"/>
              <w:spacing w:after="0"/>
              <w:rPr>
                <w:sz w:val="20"/>
                <w:szCs w:val="20"/>
                <w:color w:val="auto"/>
              </w:rPr>
            </w:pPr>
            <w:r>
              <w:rPr>
                <w:rFonts w:ascii="Arial" w:cs="Arial" w:eastAsia="Arial" w:hAnsi="Arial"/>
                <w:sz w:val="14"/>
                <w:szCs w:val="14"/>
                <w:color w:val="auto"/>
              </w:rPr>
              <w:t>2,598,858</w:t>
            </w:r>
          </w:p>
        </w:tc>
        <w:tc>
          <w:tcPr>
            <w:tcW w:w="1040" w:type="dxa"/>
            <w:vAlign w:val="bottom"/>
            <w:tcBorders>
              <w:right w:val="single" w:sz="8" w:color="3F000B"/>
            </w:tcBorders>
            <w:vMerge w:val="restart"/>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shd w:val="clear" w:color="auto" w:fill="DADADA"/>
          </w:tcPr>
          <w:p>
            <w:pPr>
              <w:jc w:val="right"/>
              <w:ind w:right="11"/>
              <w:spacing w:after="0"/>
              <w:rPr>
                <w:sz w:val="20"/>
                <w:szCs w:val="20"/>
                <w:color w:val="auto"/>
              </w:rPr>
            </w:pPr>
            <w:r>
              <w:rPr>
                <w:rFonts w:ascii="Arial" w:cs="Arial" w:eastAsia="Arial" w:hAnsi="Arial"/>
                <w:sz w:val="14"/>
                <w:szCs w:val="14"/>
                <w:color w:val="auto"/>
              </w:rPr>
              <w:t>472,835</w:t>
            </w:r>
          </w:p>
        </w:tc>
        <w:tc>
          <w:tcPr>
            <w:tcW w:w="1040" w:type="dxa"/>
            <w:vAlign w:val="bottom"/>
            <w:tcBorders>
              <w:right w:val="single" w:sz="8" w:color="3F000B"/>
            </w:tcBorders>
            <w:vMerge w:val="restart"/>
            <w:shd w:val="clear" w:color="auto" w:fill="DADADA"/>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shd w:val="clear" w:color="auto" w:fill="DADADA"/>
          </w:tcPr>
          <w:p>
            <w:pPr>
              <w:jc w:val="right"/>
              <w:ind w:right="11"/>
              <w:spacing w:after="0"/>
              <w:rPr>
                <w:sz w:val="20"/>
                <w:szCs w:val="20"/>
                <w:color w:val="auto"/>
              </w:rPr>
            </w:pPr>
            <w:r>
              <w:rPr>
                <w:rFonts w:ascii="Arial" w:cs="Arial" w:eastAsia="Arial" w:hAnsi="Arial"/>
                <w:sz w:val="14"/>
                <w:szCs w:val="14"/>
                <w:color w:val="auto"/>
              </w:rPr>
              <w:t>319,008</w:t>
            </w:r>
          </w:p>
        </w:tc>
        <w:tc>
          <w:tcPr>
            <w:tcW w:w="1040" w:type="dxa"/>
            <w:vAlign w:val="bottom"/>
            <w:tcBorders>
              <w:right w:val="single" w:sz="8" w:color="3F000B"/>
            </w:tcBorders>
            <w:vMerge w:val="restart"/>
            <w:shd w:val="clear" w:color="auto" w:fill="DADADA"/>
          </w:tcPr>
          <w:p>
            <w:pPr>
              <w:jc w:val="right"/>
              <w:ind w:right="10"/>
              <w:spacing w:after="0"/>
              <w:rPr>
                <w:sz w:val="20"/>
                <w:szCs w:val="20"/>
                <w:color w:val="auto"/>
              </w:rPr>
            </w:pPr>
            <w:r>
              <w:rPr>
                <w:rFonts w:ascii="Arial" w:cs="Arial" w:eastAsia="Arial" w:hAnsi="Arial"/>
                <w:sz w:val="14"/>
                <w:szCs w:val="14"/>
                <w:color w:val="auto"/>
              </w:rPr>
              <w:t>3,792,143</w:t>
            </w:r>
          </w:p>
        </w:tc>
        <w:tc>
          <w:tcPr>
            <w:tcW w:w="0" w:type="dxa"/>
            <w:vAlign w:val="bottom"/>
          </w:tcPr>
          <w:p>
            <w:pPr>
              <w:spacing w:after="0"/>
              <w:rPr>
                <w:sz w:val="1"/>
                <w:szCs w:val="1"/>
                <w:color w:val="auto"/>
              </w:rPr>
            </w:pPr>
          </w:p>
        </w:tc>
      </w:tr>
      <w:tr>
        <w:trPr>
          <w:trHeight w:val="74"/>
        </w:trPr>
        <w:tc>
          <w:tcPr>
            <w:tcW w:w="1900" w:type="dxa"/>
            <w:vAlign w:val="bottom"/>
            <w:tcBorders>
              <w:left w:val="single" w:sz="8" w:color="3F000B"/>
              <w:right w:val="single" w:sz="8" w:color="3F000B"/>
            </w:tcBorders>
            <w:vMerge w:val="restart"/>
            <w:shd w:val="clear" w:color="auto" w:fill="DADADA"/>
          </w:tcPr>
          <w:p>
            <w:pPr>
              <w:ind w:left="140"/>
              <w:spacing w:after="0"/>
              <w:rPr>
                <w:sz w:val="20"/>
                <w:szCs w:val="20"/>
                <w:color w:val="auto"/>
              </w:rPr>
            </w:pPr>
            <w:r>
              <w:rPr>
                <w:rFonts w:ascii="Arial" w:cs="Arial" w:eastAsia="Arial" w:hAnsi="Arial"/>
                <w:sz w:val="14"/>
                <w:szCs w:val="14"/>
                <w:color w:val="auto"/>
              </w:rPr>
              <w:t>Financial Officer</w:t>
            </w:r>
          </w:p>
        </w:tc>
        <w:tc>
          <w:tcPr>
            <w:tcW w:w="102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1040" w:type="dxa"/>
            <w:vAlign w:val="bottom"/>
            <w:tcBorders>
              <w:right w:val="single" w:sz="8" w:color="3F000B"/>
            </w:tcBorders>
            <w:vMerge w:val="continue"/>
            <w:shd w:val="clear" w:color="auto" w:fill="DADADA"/>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tcBorders>
              <w:left w:val="single" w:sz="8" w:color="3F000B"/>
              <w:right w:val="single" w:sz="8" w:color="3F000B"/>
            </w:tcBorders>
            <w:vMerge w:val="continue"/>
            <w:shd w:val="clear" w:color="auto" w:fill="DADADA"/>
          </w:tcPr>
          <w:p>
            <w:pPr>
              <w:spacing w:after="0"/>
              <w:rPr>
                <w:sz w:val="9"/>
                <w:szCs w:val="9"/>
                <w:color w:val="auto"/>
              </w:rPr>
            </w:pPr>
          </w:p>
        </w:tc>
        <w:tc>
          <w:tcPr>
            <w:tcW w:w="102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1040" w:type="dxa"/>
            <w:vAlign w:val="bottom"/>
            <w:tcBorders>
              <w:right w:val="single" w:sz="8" w:color="3F000B"/>
            </w:tcBorders>
            <w:shd w:val="clear" w:color="auto" w:fill="DADADA"/>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900" w:type="dxa"/>
            <w:vAlign w:val="bottom"/>
            <w:tcBorders>
              <w:left w:val="single" w:sz="8" w:color="3F000B"/>
              <w:right w:val="single" w:sz="8" w:color="3F000B"/>
            </w:tcBorders>
            <w:shd w:val="clear" w:color="auto" w:fill="DADADA"/>
          </w:tcPr>
          <w:p>
            <w:pPr>
              <w:spacing w:after="0"/>
              <w:rPr>
                <w:sz w:val="16"/>
                <w:szCs w:val="16"/>
                <w:color w:val="auto"/>
              </w:rPr>
            </w:pPr>
          </w:p>
        </w:tc>
        <w:tc>
          <w:tcPr>
            <w:tcW w:w="102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Mr. Raup</w:t>
            </w:r>
          </w:p>
        </w:tc>
        <w:tc>
          <w:tcPr>
            <w:tcW w:w="10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503,846</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832,446</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563,312</w:t>
            </w:r>
          </w:p>
        </w:tc>
        <w:tc>
          <w:tcPr>
            <w:tcW w:w="104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220,579</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2,120,183</w:t>
            </w:r>
          </w:p>
        </w:tc>
        <w:tc>
          <w:tcPr>
            <w:tcW w:w="0" w:type="dxa"/>
            <w:vAlign w:val="bottom"/>
          </w:tcPr>
          <w:p>
            <w:pPr>
              <w:spacing w:after="0"/>
              <w:rPr>
                <w:sz w:val="1"/>
                <w:szCs w:val="1"/>
                <w:color w:val="auto"/>
              </w:rPr>
            </w:pPr>
          </w:p>
        </w:tc>
      </w:tr>
      <w:tr>
        <w:trPr>
          <w:trHeight w:val="216"/>
        </w:trPr>
        <w:tc>
          <w:tcPr>
            <w:tcW w:w="1900" w:type="dxa"/>
            <w:vAlign w:val="bottom"/>
            <w:tcBorders>
              <w:left w:val="single" w:sz="8" w:color="3F000B"/>
              <w:right w:val="single" w:sz="8" w:color="3F000B"/>
            </w:tcBorders>
          </w:tcPr>
          <w:p>
            <w:pPr>
              <w:ind w:left="140"/>
              <w:spacing w:after="0"/>
              <w:rPr>
                <w:sz w:val="20"/>
                <w:szCs w:val="20"/>
                <w:color w:val="auto"/>
              </w:rPr>
            </w:pPr>
            <w:r>
              <w:rPr>
                <w:rFonts w:ascii="Arial" w:cs="Arial" w:eastAsia="Arial" w:hAnsi="Arial"/>
                <w:sz w:val="14"/>
                <w:szCs w:val="14"/>
                <w:color w:val="auto"/>
              </w:rPr>
              <w:t>President, U.S.</w:t>
            </w:r>
          </w:p>
        </w:tc>
        <w:tc>
          <w:tcPr>
            <w:tcW w:w="102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1040" w:type="dxa"/>
            <w:vAlign w:val="bottom"/>
            <w:tcBorders>
              <w:right w:val="single" w:sz="8" w:color="3F000B"/>
            </w:tcBorders>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1900" w:type="dxa"/>
            <w:vAlign w:val="bottom"/>
            <w:tcBorders>
              <w:left w:val="single" w:sz="8" w:color="3F000B"/>
              <w:right w:val="single" w:sz="8" w:color="3F000B"/>
            </w:tcBorders>
          </w:tcPr>
          <w:p>
            <w:pPr>
              <w:spacing w:after="0"/>
              <w:rPr>
                <w:sz w:val="24"/>
                <w:szCs w:val="24"/>
                <w:color w:val="auto"/>
              </w:rPr>
            </w:pPr>
          </w:p>
        </w:tc>
        <w:tc>
          <w:tcPr>
            <w:tcW w:w="102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1040" w:type="dxa"/>
            <w:vAlign w:val="bottom"/>
            <w:tcBorders>
              <w:right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4"/>
                <w:szCs w:val="14"/>
                <w:color w:val="auto"/>
              </w:rPr>
              <w:t>Mr. Reiman</w:t>
            </w:r>
          </w:p>
        </w:tc>
        <w:tc>
          <w:tcPr>
            <w:tcW w:w="102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4"/>
                <w:szCs w:val="14"/>
                <w:color w:val="auto"/>
              </w:rPr>
              <w:t>2020</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516,947</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854,222</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496,149</w:t>
            </w:r>
          </w:p>
        </w:tc>
        <w:tc>
          <w:tcPr>
            <w:tcW w:w="104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133,764</w:t>
            </w:r>
          </w:p>
        </w:tc>
        <w:tc>
          <w:tcPr>
            <w:tcW w:w="10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141,231</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2,142,313</w:t>
            </w:r>
          </w:p>
        </w:tc>
        <w:tc>
          <w:tcPr>
            <w:tcW w:w="0" w:type="dxa"/>
            <w:vAlign w:val="bottom"/>
          </w:tcPr>
          <w:p>
            <w:pPr>
              <w:spacing w:after="0"/>
              <w:rPr>
                <w:sz w:val="1"/>
                <w:szCs w:val="1"/>
                <w:color w:val="auto"/>
              </w:rPr>
            </w:pPr>
          </w:p>
        </w:tc>
      </w:tr>
      <w:tr>
        <w:trPr>
          <w:trHeight w:val="196"/>
        </w:trPr>
        <w:tc>
          <w:tcPr>
            <w:tcW w:w="1900" w:type="dxa"/>
            <w:vAlign w:val="bottom"/>
            <w:tcBorders>
              <w:left w:val="single" w:sz="8" w:color="3F000B"/>
              <w:right w:val="single" w:sz="8" w:color="3F000B"/>
            </w:tcBorders>
            <w:shd w:val="clear" w:color="auto" w:fill="DADADA"/>
          </w:tcPr>
          <w:p>
            <w:pPr>
              <w:ind w:left="140"/>
              <w:spacing w:after="0"/>
              <w:rPr>
                <w:sz w:val="20"/>
                <w:szCs w:val="20"/>
                <w:color w:val="auto"/>
              </w:rPr>
            </w:pPr>
            <w:r>
              <w:rPr>
                <w:rFonts w:ascii="Arial" w:cs="Arial" w:eastAsia="Arial" w:hAnsi="Arial"/>
                <w:sz w:val="14"/>
                <w:szCs w:val="14"/>
                <w:color w:val="auto"/>
                <w:w w:val="98"/>
              </w:rPr>
              <w:t>Senior Vice President, Chief</w:t>
            </w:r>
          </w:p>
        </w:tc>
        <w:tc>
          <w:tcPr>
            <w:tcW w:w="102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00" w:type="dxa"/>
            <w:vAlign w:val="bottom"/>
            <w:tcBorders>
              <w:left w:val="single" w:sz="8" w:color="3F000B"/>
              <w:right w:val="single" w:sz="8" w:color="3F000B"/>
            </w:tcBorders>
            <w:shd w:val="clear" w:color="auto" w:fill="DADADA"/>
          </w:tcPr>
          <w:p>
            <w:pPr>
              <w:ind w:left="140"/>
              <w:spacing w:after="0"/>
              <w:rPr>
                <w:sz w:val="20"/>
                <w:szCs w:val="20"/>
                <w:color w:val="auto"/>
              </w:rPr>
            </w:pPr>
            <w:r>
              <w:rPr>
                <w:rFonts w:ascii="Arial" w:cs="Arial" w:eastAsia="Arial" w:hAnsi="Arial"/>
                <w:sz w:val="14"/>
                <w:szCs w:val="14"/>
                <w:color w:val="auto"/>
              </w:rPr>
              <w:t>Supply Chain Officer</w:t>
            </w:r>
          </w:p>
        </w:tc>
        <w:tc>
          <w:tcPr>
            <w:tcW w:w="102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1040" w:type="dxa"/>
            <w:vAlign w:val="bottom"/>
            <w:tcBorders>
              <w:right w:val="single" w:sz="8" w:color="3F000B"/>
            </w:tcBorders>
            <w:shd w:val="clear" w:color="auto" w:fill="DADADA"/>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00" w:type="dxa"/>
            <w:vAlign w:val="bottom"/>
            <w:tcBorders>
              <w:left w:val="single" w:sz="8" w:color="3F000B"/>
              <w:right w:val="single" w:sz="8" w:color="3F000B"/>
            </w:tcBorders>
            <w:shd w:val="clear" w:color="auto" w:fill="DADADA"/>
          </w:tcPr>
          <w:p>
            <w:pPr>
              <w:spacing w:after="0"/>
              <w:rPr>
                <w:sz w:val="16"/>
                <w:szCs w:val="16"/>
                <w:color w:val="auto"/>
              </w:rPr>
            </w:pPr>
          </w:p>
        </w:tc>
        <w:tc>
          <w:tcPr>
            <w:tcW w:w="102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1040" w:type="dxa"/>
            <w:vAlign w:val="bottom"/>
            <w:tcBorders>
              <w:right w:val="single" w:sz="8" w:color="3F000B"/>
            </w:tcBorders>
            <w:shd w:val="clear" w:color="auto" w:fill="DADADA"/>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Mr. Atkins</w:t>
            </w:r>
          </w:p>
        </w:tc>
        <w:tc>
          <w:tcPr>
            <w:tcW w:w="10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593,581</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1,111,448</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563,849</w:t>
            </w:r>
          </w:p>
        </w:tc>
        <w:tc>
          <w:tcPr>
            <w:tcW w:w="104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223,328</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2,492,206</w:t>
            </w:r>
          </w:p>
        </w:tc>
        <w:tc>
          <w:tcPr>
            <w:tcW w:w="0" w:type="dxa"/>
            <w:vAlign w:val="bottom"/>
          </w:tcPr>
          <w:p>
            <w:pPr>
              <w:spacing w:after="0"/>
              <w:rPr>
                <w:sz w:val="1"/>
                <w:szCs w:val="1"/>
                <w:color w:val="auto"/>
              </w:rPr>
            </w:pPr>
          </w:p>
        </w:tc>
      </w:tr>
      <w:tr>
        <w:trPr>
          <w:trHeight w:val="196"/>
        </w:trPr>
        <w:tc>
          <w:tcPr>
            <w:tcW w:w="1900" w:type="dxa"/>
            <w:vAlign w:val="bottom"/>
            <w:tcBorders>
              <w:left w:val="single" w:sz="8" w:color="3F000B"/>
              <w:right w:val="single" w:sz="8" w:color="3F000B"/>
            </w:tcBorders>
          </w:tcPr>
          <w:p>
            <w:pPr>
              <w:ind w:left="140"/>
              <w:spacing w:after="0"/>
              <w:rPr>
                <w:sz w:val="20"/>
                <w:szCs w:val="20"/>
                <w:color w:val="auto"/>
              </w:rPr>
            </w:pPr>
            <w:r>
              <w:rPr>
                <w:rFonts w:ascii="Arial" w:cs="Arial" w:eastAsia="Arial" w:hAnsi="Arial"/>
                <w:sz w:val="14"/>
                <w:szCs w:val="14"/>
                <w:color w:val="auto"/>
              </w:rPr>
              <w:t>Former Senior Vice</w:t>
            </w:r>
          </w:p>
        </w:tc>
        <w:tc>
          <w:tcPr>
            <w:tcW w:w="1020" w:type="dxa"/>
            <w:vAlign w:val="bottom"/>
            <w:tcBorders>
              <w:right w:val="single" w:sz="8" w:color="3F000B"/>
            </w:tcBorders>
            <w:vMerge w:val="restart"/>
          </w:tcPr>
          <w:p>
            <w:pPr>
              <w:jc w:val="right"/>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579,722</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250,000</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923,175</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523,055</w:t>
            </w:r>
          </w:p>
        </w:tc>
        <w:tc>
          <w:tcPr>
            <w:tcW w:w="1040" w:type="dxa"/>
            <w:vAlign w:val="bottom"/>
            <w:tcBorders>
              <w:right w:val="single" w:sz="8" w:color="3F000B"/>
            </w:tcBorders>
            <w:vMerge w:val="restart"/>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303,338</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2,579,290</w:t>
            </w:r>
          </w:p>
        </w:tc>
        <w:tc>
          <w:tcPr>
            <w:tcW w:w="0" w:type="dxa"/>
            <w:vAlign w:val="bottom"/>
          </w:tcPr>
          <w:p>
            <w:pPr>
              <w:spacing w:after="0"/>
              <w:rPr>
                <w:sz w:val="1"/>
                <w:szCs w:val="1"/>
                <w:color w:val="auto"/>
              </w:rPr>
            </w:pPr>
          </w:p>
        </w:tc>
      </w:tr>
      <w:tr>
        <w:trPr>
          <w:trHeight w:val="74"/>
        </w:trPr>
        <w:tc>
          <w:tcPr>
            <w:tcW w:w="1900" w:type="dxa"/>
            <w:vAlign w:val="bottom"/>
            <w:tcBorders>
              <w:left w:val="single" w:sz="8" w:color="3F000B"/>
              <w:right w:val="single" w:sz="8" w:color="3F000B"/>
            </w:tcBorders>
            <w:vMerge w:val="restart"/>
          </w:tcPr>
          <w:p>
            <w:pPr>
              <w:ind w:left="140"/>
              <w:spacing w:after="0"/>
              <w:rPr>
                <w:sz w:val="20"/>
                <w:szCs w:val="20"/>
                <w:color w:val="auto"/>
              </w:rPr>
            </w:pPr>
            <w:r>
              <w:rPr>
                <w:rFonts w:ascii="Arial" w:cs="Arial" w:eastAsia="Arial" w:hAnsi="Arial"/>
                <w:sz w:val="14"/>
                <w:szCs w:val="14"/>
                <w:color w:val="auto"/>
                <w:w w:val="99"/>
              </w:rPr>
              <w:t>President, General Counsel</w:t>
            </w:r>
          </w:p>
        </w:tc>
        <w:tc>
          <w:tcPr>
            <w:tcW w:w="102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900" w:type="dxa"/>
            <w:vAlign w:val="bottom"/>
            <w:tcBorders>
              <w:left w:val="single" w:sz="8" w:color="3F000B"/>
              <w:right w:val="single" w:sz="8" w:color="3F000B"/>
            </w:tcBorders>
            <w:vMerge w:val="continue"/>
          </w:tcPr>
          <w:p>
            <w:pPr>
              <w:spacing w:after="0"/>
              <w:rPr>
                <w:sz w:val="7"/>
                <w:szCs w:val="7"/>
                <w:color w:val="auto"/>
              </w:rPr>
            </w:pPr>
          </w:p>
        </w:tc>
        <w:tc>
          <w:tcPr>
            <w:tcW w:w="102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900" w:type="dxa"/>
            <w:vAlign w:val="bottom"/>
            <w:tcBorders>
              <w:left w:val="single" w:sz="8" w:color="3F000B"/>
              <w:right w:val="single" w:sz="8" w:color="3F000B"/>
            </w:tcBorders>
          </w:tcPr>
          <w:p>
            <w:pPr>
              <w:ind w:left="140"/>
              <w:spacing w:after="0"/>
              <w:rPr>
                <w:sz w:val="20"/>
                <w:szCs w:val="20"/>
                <w:color w:val="auto"/>
              </w:rPr>
            </w:pPr>
            <w:r>
              <w:rPr>
                <w:rFonts w:ascii="Arial" w:cs="Arial" w:eastAsia="Arial" w:hAnsi="Arial"/>
                <w:sz w:val="14"/>
                <w:szCs w:val="14"/>
                <w:color w:val="auto"/>
              </w:rPr>
              <w:t>and Secretary</w:t>
            </w:r>
          </w:p>
        </w:tc>
        <w:tc>
          <w:tcPr>
            <w:tcW w:w="102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1040" w:type="dxa"/>
            <w:vAlign w:val="bottom"/>
            <w:tcBorders>
              <w:right w:val="single" w:sz="8" w:color="3F000B"/>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900" w:type="dxa"/>
            <w:vAlign w:val="bottom"/>
            <w:tcBorders>
              <w:left w:val="single" w:sz="8" w:color="3F000B"/>
              <w:right w:val="single" w:sz="8" w:color="3F000B"/>
            </w:tcBorders>
          </w:tcPr>
          <w:p>
            <w:pPr>
              <w:spacing w:after="0"/>
              <w:rPr>
                <w:sz w:val="2"/>
                <w:szCs w:val="2"/>
                <w:color w:val="auto"/>
              </w:rPr>
            </w:pPr>
          </w:p>
        </w:tc>
        <w:tc>
          <w:tcPr>
            <w:tcW w:w="102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104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9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4"/>
                <w:szCs w:val="14"/>
                <w:color w:val="auto"/>
              </w:rPr>
              <w:t>Mr. Walling</w:t>
            </w:r>
          </w:p>
        </w:tc>
        <w:tc>
          <w:tcPr>
            <w:tcW w:w="102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4"/>
                <w:szCs w:val="14"/>
                <w:color w:val="auto"/>
              </w:rPr>
              <w:t>2020</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87,998</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398,827</w:t>
            </w:r>
          </w:p>
        </w:tc>
        <w:tc>
          <w:tcPr>
            <w:tcW w:w="104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2,577,244</w:t>
            </w:r>
          </w:p>
        </w:tc>
        <w:tc>
          <w:tcPr>
            <w:tcW w:w="104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3,064,069</w:t>
            </w:r>
          </w:p>
        </w:tc>
        <w:tc>
          <w:tcPr>
            <w:tcW w:w="0" w:type="dxa"/>
            <w:vAlign w:val="bottom"/>
          </w:tcPr>
          <w:p>
            <w:pPr>
              <w:spacing w:after="0"/>
              <w:rPr>
                <w:sz w:val="1"/>
                <w:szCs w:val="1"/>
                <w:color w:val="auto"/>
              </w:rPr>
            </w:pPr>
          </w:p>
        </w:tc>
      </w:tr>
      <w:tr>
        <w:trPr>
          <w:trHeight w:val="196"/>
        </w:trPr>
        <w:tc>
          <w:tcPr>
            <w:tcW w:w="1900" w:type="dxa"/>
            <w:vAlign w:val="bottom"/>
            <w:tcBorders>
              <w:left w:val="single" w:sz="8" w:color="3F000B"/>
              <w:right w:val="single" w:sz="8" w:color="3F000B"/>
            </w:tcBorders>
            <w:shd w:val="clear" w:color="auto" w:fill="DADADA"/>
          </w:tcPr>
          <w:p>
            <w:pPr>
              <w:ind w:left="140"/>
              <w:spacing w:after="0"/>
              <w:rPr>
                <w:sz w:val="20"/>
                <w:szCs w:val="20"/>
                <w:color w:val="auto"/>
              </w:rPr>
            </w:pPr>
            <w:r>
              <w:rPr>
                <w:rFonts w:ascii="Arial" w:cs="Arial" w:eastAsia="Arial" w:hAnsi="Arial"/>
                <w:sz w:val="14"/>
                <w:szCs w:val="14"/>
                <w:color w:val="auto"/>
              </w:rPr>
              <w:t>Former Senior Vice</w:t>
            </w:r>
          </w:p>
        </w:tc>
        <w:tc>
          <w:tcPr>
            <w:tcW w:w="102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1040" w:type="dxa"/>
            <w:vAlign w:val="bottom"/>
            <w:tcBorders>
              <w:right w:val="single" w:sz="8" w:color="3F000B"/>
            </w:tcBorders>
            <w:shd w:val="clear" w:color="auto" w:fill="DADAD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3F000B"/>
              <w:right w:val="single" w:sz="8" w:color="3F000B"/>
            </w:tcBorders>
            <w:shd w:val="clear" w:color="auto" w:fill="DADADA"/>
          </w:tcPr>
          <w:p>
            <w:pPr>
              <w:ind w:left="140"/>
              <w:spacing w:after="0"/>
              <w:rPr>
                <w:sz w:val="20"/>
                <w:szCs w:val="20"/>
                <w:color w:val="auto"/>
              </w:rPr>
            </w:pPr>
            <w:r>
              <w:rPr>
                <w:rFonts w:ascii="Arial" w:cs="Arial" w:eastAsia="Arial" w:hAnsi="Arial"/>
                <w:sz w:val="14"/>
                <w:szCs w:val="14"/>
                <w:color w:val="auto"/>
              </w:rPr>
              <w:t>President, Chief Human</w:t>
            </w:r>
          </w:p>
        </w:tc>
        <w:tc>
          <w:tcPr>
            <w:tcW w:w="102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1040" w:type="dxa"/>
            <w:vAlign w:val="bottom"/>
            <w:tcBorders>
              <w:right w:val="single" w:sz="8" w:color="3F000B"/>
            </w:tcBorders>
            <w:shd w:val="clear" w:color="auto" w:fill="DADADA"/>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Borders>
              <w:left w:val="single" w:sz="8" w:color="3F000B"/>
              <w:bottom w:val="single" w:sz="8" w:color="DADADA"/>
              <w:right w:val="single" w:sz="8" w:color="3F000B"/>
            </w:tcBorders>
            <w:shd w:val="clear" w:color="auto" w:fill="DADADA"/>
          </w:tcPr>
          <w:p>
            <w:pPr>
              <w:ind w:left="140"/>
              <w:spacing w:after="0"/>
              <w:rPr>
                <w:sz w:val="20"/>
                <w:szCs w:val="20"/>
                <w:color w:val="auto"/>
              </w:rPr>
            </w:pPr>
            <w:r>
              <w:rPr>
                <w:rFonts w:ascii="Arial" w:cs="Arial" w:eastAsia="Arial" w:hAnsi="Arial"/>
                <w:sz w:val="14"/>
                <w:szCs w:val="14"/>
                <w:color w:val="auto"/>
              </w:rPr>
              <w:t>Resources Officer</w:t>
            </w:r>
          </w:p>
        </w:tc>
        <w:tc>
          <w:tcPr>
            <w:tcW w:w="102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1040" w:type="dxa"/>
            <w:vAlign w:val="bottom"/>
            <w:tcBorders>
              <w:bottom w:val="single" w:sz="8" w:color="DADADA"/>
              <w:right w:val="single" w:sz="8" w:color="3F000B"/>
            </w:tcBorders>
            <w:shd w:val="clear" w:color="auto" w:fill="DADADA"/>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Ms. West</w:t>
            </w:r>
          </w:p>
        </w:tc>
        <w:tc>
          <w:tcPr>
            <w:tcW w:w="10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116,269</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602,237</w:t>
            </w:r>
          </w:p>
        </w:tc>
        <w:tc>
          <w:tcPr>
            <w:tcW w:w="104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4,523,700</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5,242,206</w:t>
            </w:r>
          </w:p>
        </w:tc>
        <w:tc>
          <w:tcPr>
            <w:tcW w:w="0" w:type="dxa"/>
            <w:vAlign w:val="bottom"/>
          </w:tcPr>
          <w:p>
            <w:pPr>
              <w:spacing w:after="0"/>
              <w:rPr>
                <w:sz w:val="1"/>
                <w:szCs w:val="1"/>
                <w:color w:val="auto"/>
              </w:rPr>
            </w:pPr>
          </w:p>
        </w:tc>
      </w:tr>
      <w:tr>
        <w:trPr>
          <w:trHeight w:val="196"/>
        </w:trPr>
        <w:tc>
          <w:tcPr>
            <w:tcW w:w="1900" w:type="dxa"/>
            <w:vAlign w:val="bottom"/>
            <w:tcBorders>
              <w:left w:val="single" w:sz="8" w:color="3F000B"/>
              <w:right w:val="single" w:sz="8" w:color="3F000B"/>
            </w:tcBorders>
          </w:tcPr>
          <w:p>
            <w:pPr>
              <w:ind w:left="160"/>
              <w:spacing w:after="0"/>
              <w:rPr>
                <w:sz w:val="20"/>
                <w:szCs w:val="20"/>
                <w:color w:val="auto"/>
              </w:rPr>
            </w:pPr>
            <w:r>
              <w:rPr>
                <w:rFonts w:ascii="Arial" w:cs="Arial" w:eastAsia="Arial" w:hAnsi="Arial"/>
                <w:sz w:val="14"/>
                <w:szCs w:val="14"/>
                <w:color w:val="auto"/>
              </w:rPr>
              <w:t>Former Senior Vice</w:t>
            </w:r>
          </w:p>
        </w:tc>
        <w:tc>
          <w:tcPr>
            <w:tcW w:w="1020" w:type="dxa"/>
            <w:vAlign w:val="bottom"/>
            <w:tcBorders>
              <w:right w:val="single" w:sz="8" w:color="3F000B"/>
            </w:tcBorders>
            <w:vMerge w:val="restart"/>
          </w:tcPr>
          <w:p>
            <w:pPr>
              <w:jc w:val="right"/>
              <w:spacing w:after="0"/>
              <w:rPr>
                <w:sz w:val="20"/>
                <w:szCs w:val="20"/>
                <w:color w:val="auto"/>
              </w:rPr>
            </w:pPr>
            <w:r>
              <w:rPr>
                <w:rFonts w:ascii="Arial" w:cs="Arial" w:eastAsia="Arial" w:hAnsi="Arial"/>
                <w:sz w:val="14"/>
                <w:szCs w:val="14"/>
                <w:color w:val="auto"/>
              </w:rPr>
              <w:t>2019</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705,723</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1,836,416</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756,618</w:t>
            </w:r>
          </w:p>
        </w:tc>
        <w:tc>
          <w:tcPr>
            <w:tcW w:w="1040" w:type="dxa"/>
            <w:vAlign w:val="bottom"/>
            <w:tcBorders>
              <w:right w:val="single" w:sz="8" w:color="3F000B"/>
            </w:tcBorders>
            <w:vMerge w:val="restart"/>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vMerge w:val="restart"/>
          </w:tcPr>
          <w:p>
            <w:pPr>
              <w:jc w:val="right"/>
              <w:ind w:right="11"/>
              <w:spacing w:after="0"/>
              <w:rPr>
                <w:sz w:val="20"/>
                <w:szCs w:val="20"/>
                <w:color w:val="auto"/>
              </w:rPr>
            </w:pPr>
            <w:r>
              <w:rPr>
                <w:rFonts w:ascii="Arial" w:cs="Arial" w:eastAsia="Arial" w:hAnsi="Arial"/>
                <w:sz w:val="14"/>
                <w:szCs w:val="14"/>
                <w:color w:val="auto"/>
              </w:rPr>
              <w:t>271,189</w:t>
            </w:r>
          </w:p>
        </w:tc>
        <w:tc>
          <w:tcPr>
            <w:tcW w:w="1040" w:type="dxa"/>
            <w:vAlign w:val="bottom"/>
            <w:tcBorders>
              <w:right w:val="single" w:sz="8" w:color="3F000B"/>
            </w:tcBorders>
            <w:vMerge w:val="restart"/>
          </w:tcPr>
          <w:p>
            <w:pPr>
              <w:jc w:val="right"/>
              <w:ind w:right="10"/>
              <w:spacing w:after="0"/>
              <w:rPr>
                <w:sz w:val="20"/>
                <w:szCs w:val="20"/>
                <w:color w:val="auto"/>
              </w:rPr>
            </w:pPr>
            <w:r>
              <w:rPr>
                <w:rFonts w:ascii="Arial" w:cs="Arial" w:eastAsia="Arial" w:hAnsi="Arial"/>
                <w:sz w:val="14"/>
                <w:szCs w:val="14"/>
                <w:color w:val="auto"/>
              </w:rPr>
              <w:t>3,569,946</w:t>
            </w:r>
          </w:p>
        </w:tc>
        <w:tc>
          <w:tcPr>
            <w:tcW w:w="0" w:type="dxa"/>
            <w:vAlign w:val="bottom"/>
          </w:tcPr>
          <w:p>
            <w:pPr>
              <w:spacing w:after="0"/>
              <w:rPr>
                <w:sz w:val="1"/>
                <w:szCs w:val="1"/>
                <w:color w:val="auto"/>
              </w:rPr>
            </w:pPr>
          </w:p>
        </w:tc>
      </w:tr>
      <w:tr>
        <w:trPr>
          <w:trHeight w:val="74"/>
        </w:trPr>
        <w:tc>
          <w:tcPr>
            <w:tcW w:w="1900" w:type="dxa"/>
            <w:vAlign w:val="bottom"/>
            <w:tcBorders>
              <w:left w:val="single" w:sz="8" w:color="3F000B"/>
              <w:right w:val="single" w:sz="8" w:color="3F000B"/>
            </w:tcBorders>
            <w:vMerge w:val="restart"/>
          </w:tcPr>
          <w:p>
            <w:pPr>
              <w:ind w:left="160"/>
              <w:spacing w:after="0"/>
              <w:rPr>
                <w:sz w:val="20"/>
                <w:szCs w:val="20"/>
                <w:color w:val="auto"/>
              </w:rPr>
            </w:pPr>
            <w:r>
              <w:rPr>
                <w:rFonts w:ascii="Arial" w:cs="Arial" w:eastAsia="Arial" w:hAnsi="Arial"/>
                <w:sz w:val="14"/>
                <w:szCs w:val="14"/>
                <w:color w:val="auto"/>
              </w:rPr>
              <w:t>President, Chief Growth</w:t>
            </w:r>
          </w:p>
        </w:tc>
        <w:tc>
          <w:tcPr>
            <w:tcW w:w="102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1040" w:type="dxa"/>
            <w:vAlign w:val="bottom"/>
            <w:tcBorders>
              <w:right w:val="single" w:sz="8" w:color="3F000B"/>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900" w:type="dxa"/>
            <w:vAlign w:val="bottom"/>
            <w:tcBorders>
              <w:left w:val="single" w:sz="8" w:color="3F000B"/>
              <w:right w:val="single" w:sz="8" w:color="3F000B"/>
            </w:tcBorders>
            <w:vMerge w:val="continue"/>
          </w:tcPr>
          <w:p>
            <w:pPr>
              <w:spacing w:after="0"/>
              <w:rPr>
                <w:sz w:val="7"/>
                <w:szCs w:val="7"/>
                <w:color w:val="auto"/>
              </w:rPr>
            </w:pPr>
          </w:p>
        </w:tc>
        <w:tc>
          <w:tcPr>
            <w:tcW w:w="102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1040" w:type="dxa"/>
            <w:vAlign w:val="bottom"/>
            <w:tcBorders>
              <w:right w:val="single" w:sz="8" w:color="3F000B"/>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900" w:type="dxa"/>
            <w:vAlign w:val="bottom"/>
            <w:tcBorders>
              <w:left w:val="single" w:sz="8" w:color="3F000B"/>
              <w:right w:val="single" w:sz="8" w:color="3F000B"/>
            </w:tcBorders>
          </w:tcPr>
          <w:p>
            <w:pPr>
              <w:ind w:left="160"/>
              <w:spacing w:after="0"/>
              <w:rPr>
                <w:sz w:val="20"/>
                <w:szCs w:val="20"/>
                <w:color w:val="auto"/>
              </w:rPr>
            </w:pPr>
            <w:r>
              <w:rPr>
                <w:rFonts w:ascii="Arial" w:cs="Arial" w:eastAsia="Arial" w:hAnsi="Arial"/>
                <w:sz w:val="14"/>
                <w:szCs w:val="14"/>
                <w:color w:val="auto"/>
              </w:rPr>
              <w:t>Officer</w:t>
            </w:r>
          </w:p>
        </w:tc>
        <w:tc>
          <w:tcPr>
            <w:tcW w:w="10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2018</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681,863</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1,329,645</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585,886</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596,748</w:t>
            </w:r>
          </w:p>
        </w:tc>
        <w:tc>
          <w:tcPr>
            <w:tcW w:w="104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977,954</w:t>
            </w:r>
          </w:p>
        </w:tc>
        <w:tc>
          <w:tcPr>
            <w:tcW w:w="104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4,172,096</w:t>
            </w:r>
          </w:p>
        </w:tc>
        <w:tc>
          <w:tcPr>
            <w:tcW w:w="0" w:type="dxa"/>
            <w:vAlign w:val="bottom"/>
          </w:tcPr>
          <w:p>
            <w:pPr>
              <w:spacing w:after="0"/>
              <w:rPr>
                <w:sz w:val="1"/>
                <w:szCs w:val="1"/>
                <w:color w:val="auto"/>
              </w:rPr>
            </w:pPr>
          </w:p>
        </w:tc>
      </w:tr>
      <w:tr>
        <w:trPr>
          <w:trHeight w:val="25"/>
        </w:trPr>
        <w:tc>
          <w:tcPr>
            <w:tcW w:w="1900" w:type="dxa"/>
            <w:vAlign w:val="bottom"/>
            <w:tcBorders>
              <w:left w:val="single" w:sz="8" w:color="3F000B"/>
              <w:bottom w:val="single" w:sz="8" w:color="3F000B"/>
              <w:right w:val="single" w:sz="8" w:color="3F000B"/>
            </w:tcBorders>
          </w:tcPr>
          <w:p>
            <w:pPr>
              <w:spacing w:after="0"/>
              <w:rPr>
                <w:sz w:val="2"/>
                <w:szCs w:val="2"/>
                <w:color w:val="auto"/>
              </w:rPr>
            </w:pPr>
          </w:p>
        </w:tc>
        <w:tc>
          <w:tcPr>
            <w:tcW w:w="102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104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20" w:hanging="312"/>
        <w:spacing w:after="0"/>
        <w:tabs>
          <w:tab w:leader="none" w:pos="3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Mr. Atkins left the Company on January 31, 2021. Mr. Walling and Ms. West both retired on February 29, 2020.</w:t>
      </w:r>
    </w:p>
    <w:p>
      <w:pPr>
        <w:spacing w:after="0" w:line="109" w:lineRule="exact"/>
        <w:rPr>
          <w:rFonts w:ascii="Arial" w:cs="Arial" w:eastAsia="Arial" w:hAnsi="Arial"/>
          <w:sz w:val="14"/>
          <w:szCs w:val="14"/>
          <w:color w:val="auto"/>
        </w:rPr>
      </w:pPr>
    </w:p>
    <w:p>
      <w:pPr>
        <w:ind w:left="340" w:right="140" w:hanging="332"/>
        <w:spacing w:after="0" w:line="273" w:lineRule="auto"/>
        <w:tabs>
          <w:tab w:leader="none" w:pos="332" w:val="left"/>
        </w:tabs>
        <w:numPr>
          <w:ilvl w:val="0"/>
          <w:numId w:val="141"/>
        </w:numPr>
        <w:rPr>
          <w:rFonts w:ascii="Arial" w:cs="Arial" w:eastAsia="Arial" w:hAnsi="Arial"/>
          <w:sz w:val="14"/>
          <w:szCs w:val="14"/>
          <w:color w:val="auto"/>
        </w:rPr>
      </w:pPr>
      <w:r>
        <w:rPr>
          <w:rFonts w:ascii="Arial" w:cs="Arial" w:eastAsia="Arial" w:hAnsi="Arial"/>
          <w:sz w:val="14"/>
          <w:szCs w:val="14"/>
          <w:color w:val="auto"/>
        </w:rPr>
        <w:t>Column (c) reflects base salary earned, on an accrual basis, for the years indicated and includes IRC Section 125 deductions pursuant to The Hershey Company Flexible Benefits Plan and amounts deferred by the NEOs in accordance with the provisions of the 401(k) plan.</w:t>
      </w:r>
    </w:p>
    <w:p>
      <w:pPr>
        <w:spacing w:after="0" w:line="65" w:lineRule="exact"/>
        <w:rPr>
          <w:rFonts w:ascii="Arial" w:cs="Arial" w:eastAsia="Arial" w:hAnsi="Arial"/>
          <w:sz w:val="14"/>
          <w:szCs w:val="14"/>
          <w:color w:val="auto"/>
        </w:rPr>
      </w:pPr>
    </w:p>
    <w:p>
      <w:pPr>
        <w:jc w:val="both"/>
        <w:ind w:left="340" w:hanging="332"/>
        <w:spacing w:after="0" w:line="257" w:lineRule="auto"/>
        <w:tabs>
          <w:tab w:leader="none" w:pos="332" w:val="left"/>
        </w:tabs>
        <w:numPr>
          <w:ilvl w:val="0"/>
          <w:numId w:val="141"/>
        </w:numPr>
        <w:rPr>
          <w:rFonts w:ascii="Arial" w:cs="Arial" w:eastAsia="Arial" w:hAnsi="Arial"/>
          <w:sz w:val="14"/>
          <w:szCs w:val="14"/>
          <w:color w:val="auto"/>
        </w:rPr>
      </w:pPr>
      <w:r>
        <w:rPr>
          <w:rFonts w:ascii="Arial" w:cs="Arial" w:eastAsia="Arial" w:hAnsi="Arial"/>
          <w:sz w:val="14"/>
          <w:szCs w:val="14"/>
          <w:color w:val="auto"/>
        </w:rPr>
        <w:t>With the exception of Messrs. Atkins and Voskuil, Column (d) indicates that no discretionary bonuses were paid to the NEOs in 2020, 2019 or 2018. Mr. Atkins, who joined the Company in August 2018, received a cash anniversary bonus in 2019 to replace awards forfeited at his prior employer. Mr. Voskuil, who joined the Company in May 2019, received a cash bonus in 2020 to replace awards forfeited at his prior employer.</w:t>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20"/>
          </w:cols>
          <w:pgMar w:left="320" w:top="1111" w:right="359" w:bottom="1440" w:gutter="0" w:footer="0" w:header="0"/>
          <w:type w:val="continuous"/>
        </w:sectPr>
      </w:pPr>
    </w:p>
    <w:bookmarkStart w:id="69" w:name="page70"/>
    <w:bookmarkEnd w:id="69"/>
    <w:p>
      <w:pPr>
        <w:ind w:left="332" w:right="220" w:hanging="332"/>
        <w:spacing w:after="0" w:line="286" w:lineRule="auto"/>
        <w:tabs>
          <w:tab w:leader="none" w:pos="32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Column (e) shows the aggregate grant date fair value of RSUs and contingent target PSU awards granted to the NEOs in the years indicated. The assumptions used to determine the grant date fair value of awards listed in Column (e) are set forth in Note 12 to the Company’s Consolidated Financial Statements included in our 2020 Annual Report on Form 10-K that accompanies this Proxy Statement. The amounts in Column (e) do not reflect the value of shares actually received or which may be received in the future with respect to such awards.</w:t>
      </w:r>
    </w:p>
    <w:p>
      <w:pPr>
        <w:spacing w:after="0" w:line="59" w:lineRule="exact"/>
        <w:rPr>
          <w:rFonts w:ascii="Arial" w:cs="Arial" w:eastAsia="Arial" w:hAnsi="Arial"/>
          <w:sz w:val="13"/>
          <w:szCs w:val="13"/>
          <w:color w:val="auto"/>
        </w:rPr>
      </w:pPr>
    </w:p>
    <w:p>
      <w:pPr>
        <w:ind w:left="332" w:right="40"/>
        <w:spacing w:after="0" w:line="273" w:lineRule="auto"/>
        <w:rPr>
          <w:rFonts w:ascii="Arial" w:cs="Arial" w:eastAsia="Arial" w:hAnsi="Arial"/>
          <w:sz w:val="13"/>
          <w:szCs w:val="13"/>
          <w:color w:val="auto"/>
        </w:rPr>
      </w:pPr>
      <w:r>
        <w:rPr>
          <w:rFonts w:ascii="Arial" w:cs="Arial" w:eastAsia="Arial" w:hAnsi="Arial"/>
          <w:sz w:val="14"/>
          <w:szCs w:val="14"/>
          <w:color w:val="auto"/>
        </w:rPr>
        <w:t>The number of contingent target PSUs awarded in 2020 to each NEO is shown on the 2020 Grants of Plan-Based Awards Table in Column (g). Assuming the highest level of performance is achieved for each of the PSU awards included in Column (e), the value of the awards at grant date for each of the NEOs would be as follows:</w:t>
      </w:r>
    </w:p>
    <w:p>
      <w:pPr>
        <w:spacing w:after="0" w:line="78" w:lineRule="exact"/>
        <w:rPr>
          <w:sz w:val="20"/>
          <w:szCs w:val="20"/>
          <w:color w:val="auto"/>
        </w:rPr>
      </w:pPr>
    </w:p>
    <w:tbl>
      <w:tblPr>
        <w:tblLayout w:type="fixed"/>
        <w:tblInd w:w="342" w:type="dxa"/>
        <w:tblCellMar>
          <w:top w:w="0" w:type="dxa"/>
          <w:left w:w="0" w:type="dxa"/>
          <w:bottom w:w="0" w:type="dxa"/>
          <w:right w:w="0" w:type="dxa"/>
        </w:tblCellMar>
      </w:tblPr>
      <w:tr>
        <w:trPr>
          <w:trHeight w:val="234"/>
        </w:trPr>
        <w:tc>
          <w:tcPr>
            <w:tcW w:w="6560" w:type="dxa"/>
            <w:vAlign w:val="bottom"/>
            <w:tcBorders>
              <w:top w:val="single" w:sz="8" w:color="3F000B"/>
              <w:left w:val="single" w:sz="8" w:color="3F000B"/>
              <w:right w:val="single" w:sz="8" w:color="DADADA"/>
            </w:tcBorders>
            <w:shd w:val="clear" w:color="auto" w:fill="3F000B"/>
          </w:tcPr>
          <w:p>
            <w:pPr>
              <w:spacing w:after="0"/>
              <w:rPr>
                <w:sz w:val="20"/>
                <w:szCs w:val="20"/>
                <w:color w:val="auto"/>
              </w:rPr>
            </w:pPr>
          </w:p>
        </w:tc>
        <w:tc>
          <w:tcPr>
            <w:tcW w:w="1920" w:type="dxa"/>
            <w:vAlign w:val="bottom"/>
            <w:tcBorders>
              <w:top w:val="single" w:sz="8" w:color="3F000B"/>
              <w:right w:val="single" w:sz="8" w:color="DADADA"/>
            </w:tcBorders>
            <w:shd w:val="clear" w:color="auto" w:fill="3F000B"/>
          </w:tcPr>
          <w:p>
            <w:pPr>
              <w:spacing w:after="0"/>
              <w:rPr>
                <w:sz w:val="20"/>
                <w:szCs w:val="20"/>
                <w:color w:val="auto"/>
              </w:rPr>
            </w:pPr>
          </w:p>
        </w:tc>
        <w:tc>
          <w:tcPr>
            <w:tcW w:w="194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4"/>
              </w:rPr>
              <w:t>Maximum Value at</w:t>
            </w:r>
          </w:p>
        </w:tc>
      </w:tr>
      <w:tr>
        <w:trPr>
          <w:trHeight w:val="162"/>
        </w:trPr>
        <w:tc>
          <w:tcPr>
            <w:tcW w:w="6560" w:type="dxa"/>
            <w:vAlign w:val="bottom"/>
            <w:tcBorders>
              <w:left w:val="single" w:sz="8" w:color="3F000B"/>
              <w:right w:val="single" w:sz="8" w:color="DADADA"/>
            </w:tcBorders>
            <w:shd w:val="clear" w:color="auto" w:fill="3F000B"/>
          </w:tcPr>
          <w:p>
            <w:pPr>
              <w:spacing w:after="0"/>
              <w:rPr>
                <w:sz w:val="14"/>
                <w:szCs w:val="14"/>
                <w:color w:val="auto"/>
              </w:rPr>
            </w:pPr>
          </w:p>
        </w:tc>
        <w:tc>
          <w:tcPr>
            <w:tcW w:w="1920" w:type="dxa"/>
            <w:vAlign w:val="bottom"/>
            <w:tcBorders>
              <w:right w:val="single" w:sz="8" w:color="DADADA"/>
            </w:tcBorders>
            <w:shd w:val="clear" w:color="auto" w:fill="3F000B"/>
          </w:tcPr>
          <w:p>
            <w:pPr>
              <w:spacing w:after="0"/>
              <w:rPr>
                <w:sz w:val="14"/>
                <w:szCs w:val="14"/>
                <w:color w:val="auto"/>
              </w:rPr>
            </w:pPr>
          </w:p>
        </w:tc>
        <w:tc>
          <w:tcPr>
            <w:tcW w:w="19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7"/>
              </w:rPr>
              <w:t>Grant Date</w:t>
            </w:r>
          </w:p>
        </w:tc>
      </w:tr>
      <w:tr>
        <w:trPr>
          <w:trHeight w:val="205"/>
        </w:trPr>
        <w:tc>
          <w:tcPr>
            <w:tcW w:w="6560" w:type="dxa"/>
            <w:vAlign w:val="bottom"/>
            <w:tcBorders>
              <w:left w:val="single" w:sz="8" w:color="3F000B"/>
              <w:bottom w:val="single" w:sz="8" w:color="3F000B"/>
              <w:right w:val="single" w:sz="8" w:color="DADADA"/>
            </w:tcBorders>
            <w:shd w:val="clear" w:color="auto" w:fill="3F000B"/>
          </w:tcPr>
          <w:p>
            <w:pPr>
              <w:ind w:left="3100"/>
              <w:spacing w:after="0"/>
              <w:rPr>
                <w:sz w:val="20"/>
                <w:szCs w:val="20"/>
                <w:color w:val="auto"/>
              </w:rPr>
            </w:pPr>
            <w:r>
              <w:rPr>
                <w:rFonts w:ascii="Arial" w:cs="Arial" w:eastAsia="Arial" w:hAnsi="Arial"/>
                <w:sz w:val="14"/>
                <w:szCs w:val="14"/>
                <w:b w:val="1"/>
                <w:bCs w:val="1"/>
                <w:color w:val="FFFFFF"/>
              </w:rPr>
              <w:t>Name</w:t>
            </w:r>
          </w:p>
        </w:tc>
        <w:tc>
          <w:tcPr>
            <w:tcW w:w="1920" w:type="dxa"/>
            <w:vAlign w:val="bottom"/>
            <w:tcBorders>
              <w:bottom w:val="single" w:sz="8" w:color="3F000B"/>
              <w:right w:val="single" w:sz="8" w:color="DADADA"/>
            </w:tcBorders>
            <w:shd w:val="clear" w:color="auto" w:fill="3F000B"/>
          </w:tcPr>
          <w:p>
            <w:pPr>
              <w:jc w:val="right"/>
              <w:ind w:right="748"/>
              <w:spacing w:after="0"/>
              <w:rPr>
                <w:sz w:val="20"/>
                <w:szCs w:val="20"/>
                <w:color w:val="auto"/>
              </w:rPr>
            </w:pPr>
            <w:r>
              <w:rPr>
                <w:rFonts w:ascii="Arial" w:cs="Arial" w:eastAsia="Arial" w:hAnsi="Arial"/>
                <w:sz w:val="14"/>
                <w:szCs w:val="14"/>
                <w:b w:val="1"/>
                <w:bCs w:val="1"/>
                <w:color w:val="FFFFFF"/>
              </w:rPr>
              <w:t>Year</w:t>
            </w:r>
          </w:p>
        </w:tc>
        <w:tc>
          <w:tcPr>
            <w:tcW w:w="194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190"/>
        </w:trPr>
        <w:tc>
          <w:tcPr>
            <w:tcW w:w="656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Ms. Buck</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9,766,426</w:t>
            </w:r>
          </w:p>
        </w:tc>
      </w:tr>
      <w:tr>
        <w:trPr>
          <w:trHeight w:val="216"/>
        </w:trPr>
        <w:tc>
          <w:tcPr>
            <w:tcW w:w="6560" w:type="dxa"/>
            <w:vAlign w:val="bottom"/>
            <w:tcBorders>
              <w:left w:val="single" w:sz="8" w:color="3F000B"/>
              <w:right w:val="single" w:sz="8" w:color="3F000B"/>
            </w:tcBorders>
          </w:tcPr>
          <w:p>
            <w:pPr>
              <w:spacing w:after="0"/>
              <w:rPr>
                <w:sz w:val="18"/>
                <w:szCs w:val="18"/>
                <w:color w:val="auto"/>
              </w:rPr>
            </w:pP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2019</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9,481,865</w:t>
            </w:r>
          </w:p>
        </w:tc>
      </w:tr>
      <w:tr>
        <w:trPr>
          <w:trHeight w:val="216"/>
        </w:trPr>
        <w:tc>
          <w:tcPr>
            <w:tcW w:w="6560" w:type="dxa"/>
            <w:vAlign w:val="bottom"/>
            <w:tcBorders>
              <w:left w:val="single" w:sz="8" w:color="3F000B"/>
              <w:right w:val="single" w:sz="8" w:color="3F000B"/>
            </w:tcBorders>
          </w:tcPr>
          <w:p>
            <w:pPr>
              <w:spacing w:after="0"/>
              <w:rPr>
                <w:sz w:val="18"/>
                <w:szCs w:val="18"/>
                <w:color w:val="auto"/>
              </w:rPr>
            </w:pP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2018</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7,081,412</w:t>
            </w:r>
          </w:p>
        </w:tc>
      </w:tr>
      <w:tr>
        <w:trPr>
          <w:trHeight w:val="26"/>
        </w:trPr>
        <w:tc>
          <w:tcPr>
            <w:tcW w:w="6560" w:type="dxa"/>
            <w:vAlign w:val="bottom"/>
            <w:tcBorders>
              <w:left w:val="single" w:sz="8" w:color="3F000B"/>
              <w:right w:val="single" w:sz="8" w:color="3F000B"/>
            </w:tcBorders>
          </w:tcPr>
          <w:p>
            <w:pPr>
              <w:spacing w:after="0"/>
              <w:rPr>
                <w:sz w:val="2"/>
                <w:szCs w:val="2"/>
                <w:color w:val="auto"/>
              </w:rPr>
            </w:pPr>
          </w:p>
        </w:tc>
        <w:tc>
          <w:tcPr>
            <w:tcW w:w="1920" w:type="dxa"/>
            <w:vAlign w:val="bottom"/>
            <w:tcBorders>
              <w:right w:val="single" w:sz="8" w:color="3F000B"/>
            </w:tcBorders>
          </w:tcPr>
          <w:p>
            <w:pPr>
              <w:spacing w:after="0"/>
              <w:rPr>
                <w:sz w:val="2"/>
                <w:szCs w:val="2"/>
                <w:color w:val="auto"/>
              </w:rPr>
            </w:pPr>
          </w:p>
        </w:tc>
        <w:tc>
          <w:tcPr>
            <w:tcW w:w="1940" w:type="dxa"/>
            <w:vAlign w:val="bottom"/>
            <w:tcBorders>
              <w:right w:val="single" w:sz="8" w:color="3F000B"/>
            </w:tcBorders>
          </w:tcPr>
          <w:p>
            <w:pPr>
              <w:spacing w:after="0"/>
              <w:rPr>
                <w:sz w:val="2"/>
                <w:szCs w:val="2"/>
                <w:color w:val="auto"/>
              </w:rPr>
            </w:pPr>
          </w:p>
        </w:tc>
      </w:tr>
      <w:tr>
        <w:trPr>
          <w:trHeight w:val="191"/>
        </w:trPr>
        <w:tc>
          <w:tcPr>
            <w:tcW w:w="6560" w:type="dxa"/>
            <w:vAlign w:val="bottom"/>
            <w:tcBorders>
              <w:left w:val="single" w:sz="8" w:color="3F000B"/>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Mr. Voskuil</w:t>
            </w:r>
          </w:p>
        </w:tc>
        <w:tc>
          <w:tcPr>
            <w:tcW w:w="192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4"/>
                <w:szCs w:val="14"/>
                <w:color w:val="auto"/>
              </w:rPr>
              <w:t>2020</w:t>
            </w:r>
          </w:p>
        </w:tc>
        <w:tc>
          <w:tcPr>
            <w:tcW w:w="1940" w:type="dxa"/>
            <w:vAlign w:val="bottom"/>
            <w:tcBorders>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2,523,098</w:t>
            </w:r>
          </w:p>
        </w:tc>
      </w:tr>
      <w:tr>
        <w:trPr>
          <w:trHeight w:val="222"/>
        </w:trPr>
        <w:tc>
          <w:tcPr>
            <w:tcW w:w="6560" w:type="dxa"/>
            <w:vAlign w:val="bottom"/>
            <w:tcBorders>
              <w:left w:val="single" w:sz="8" w:color="3F000B"/>
              <w:bottom w:val="single" w:sz="8" w:color="DADADA"/>
              <w:right w:val="single" w:sz="8" w:color="3F000B"/>
            </w:tcBorders>
            <w:shd w:val="clear" w:color="auto" w:fill="DADADA"/>
          </w:tcPr>
          <w:p>
            <w:pPr>
              <w:spacing w:after="0"/>
              <w:rPr>
                <w:sz w:val="19"/>
                <w:szCs w:val="19"/>
                <w:color w:val="auto"/>
              </w:rPr>
            </w:pPr>
          </w:p>
        </w:tc>
        <w:tc>
          <w:tcPr>
            <w:tcW w:w="19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4"/>
                <w:szCs w:val="14"/>
                <w:color w:val="auto"/>
              </w:rPr>
              <w:t>2019</w:t>
            </w:r>
          </w:p>
        </w:tc>
        <w:tc>
          <w:tcPr>
            <w:tcW w:w="19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2,133,008</w:t>
            </w:r>
          </w:p>
        </w:tc>
      </w:tr>
      <w:tr>
        <w:trPr>
          <w:trHeight w:val="190"/>
        </w:trPr>
        <w:tc>
          <w:tcPr>
            <w:tcW w:w="656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Mr. Raup</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1,218,915</w:t>
            </w:r>
          </w:p>
        </w:tc>
      </w:tr>
      <w:tr>
        <w:trPr>
          <w:trHeight w:val="26"/>
        </w:trPr>
        <w:tc>
          <w:tcPr>
            <w:tcW w:w="6560" w:type="dxa"/>
            <w:vAlign w:val="bottom"/>
            <w:tcBorders>
              <w:left w:val="single" w:sz="8" w:color="3F000B"/>
              <w:right w:val="single" w:sz="8" w:color="3F000B"/>
            </w:tcBorders>
          </w:tcPr>
          <w:p>
            <w:pPr>
              <w:spacing w:after="0"/>
              <w:rPr>
                <w:sz w:val="2"/>
                <w:szCs w:val="2"/>
                <w:color w:val="auto"/>
              </w:rPr>
            </w:pPr>
          </w:p>
        </w:tc>
        <w:tc>
          <w:tcPr>
            <w:tcW w:w="1920" w:type="dxa"/>
            <w:vAlign w:val="bottom"/>
            <w:tcBorders>
              <w:right w:val="single" w:sz="8" w:color="3F000B"/>
            </w:tcBorders>
          </w:tcPr>
          <w:p>
            <w:pPr>
              <w:spacing w:after="0"/>
              <w:rPr>
                <w:sz w:val="2"/>
                <w:szCs w:val="2"/>
                <w:color w:val="auto"/>
              </w:rPr>
            </w:pPr>
          </w:p>
        </w:tc>
        <w:tc>
          <w:tcPr>
            <w:tcW w:w="1940" w:type="dxa"/>
            <w:vAlign w:val="bottom"/>
            <w:tcBorders>
              <w:right w:val="single" w:sz="8" w:color="3F000B"/>
            </w:tcBorders>
          </w:tcPr>
          <w:p>
            <w:pPr>
              <w:spacing w:after="0"/>
              <w:rPr>
                <w:sz w:val="2"/>
                <w:szCs w:val="2"/>
                <w:color w:val="auto"/>
              </w:rPr>
            </w:pPr>
          </w:p>
        </w:tc>
      </w:tr>
      <w:tr>
        <w:trPr>
          <w:trHeight w:val="196"/>
        </w:trPr>
        <w:tc>
          <w:tcPr>
            <w:tcW w:w="656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Mr. Reiman</w:t>
            </w:r>
          </w:p>
        </w:tc>
        <w:tc>
          <w:tcPr>
            <w:tcW w:w="19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4"/>
                <w:szCs w:val="14"/>
                <w:color w:val="auto"/>
              </w:rPr>
              <w:t>2020</w:t>
            </w:r>
          </w:p>
        </w:tc>
        <w:tc>
          <w:tcPr>
            <w:tcW w:w="19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1,250,694</w:t>
            </w:r>
          </w:p>
        </w:tc>
      </w:tr>
      <w:tr>
        <w:trPr>
          <w:trHeight w:val="190"/>
        </w:trPr>
        <w:tc>
          <w:tcPr>
            <w:tcW w:w="656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Mr. Atkins</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1,627,475</w:t>
            </w:r>
          </w:p>
        </w:tc>
      </w:tr>
      <w:tr>
        <w:trPr>
          <w:trHeight w:val="216"/>
        </w:trPr>
        <w:tc>
          <w:tcPr>
            <w:tcW w:w="6560" w:type="dxa"/>
            <w:vAlign w:val="bottom"/>
            <w:tcBorders>
              <w:left w:val="single" w:sz="8" w:color="3F000B"/>
              <w:right w:val="single" w:sz="8" w:color="3F000B"/>
            </w:tcBorders>
          </w:tcPr>
          <w:p>
            <w:pPr>
              <w:spacing w:after="0"/>
              <w:rPr>
                <w:sz w:val="18"/>
                <w:szCs w:val="18"/>
                <w:color w:val="auto"/>
              </w:rPr>
            </w:pP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2019</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1,407,745</w:t>
            </w:r>
          </w:p>
        </w:tc>
      </w:tr>
      <w:tr>
        <w:trPr>
          <w:trHeight w:val="26"/>
        </w:trPr>
        <w:tc>
          <w:tcPr>
            <w:tcW w:w="6560" w:type="dxa"/>
            <w:vAlign w:val="bottom"/>
            <w:tcBorders>
              <w:left w:val="single" w:sz="8" w:color="3F000B"/>
              <w:right w:val="single" w:sz="8" w:color="3F000B"/>
            </w:tcBorders>
          </w:tcPr>
          <w:p>
            <w:pPr>
              <w:spacing w:after="0"/>
              <w:rPr>
                <w:sz w:val="2"/>
                <w:szCs w:val="2"/>
                <w:color w:val="auto"/>
              </w:rPr>
            </w:pPr>
          </w:p>
        </w:tc>
        <w:tc>
          <w:tcPr>
            <w:tcW w:w="1920" w:type="dxa"/>
            <w:vAlign w:val="bottom"/>
            <w:tcBorders>
              <w:right w:val="single" w:sz="8" w:color="3F000B"/>
            </w:tcBorders>
          </w:tcPr>
          <w:p>
            <w:pPr>
              <w:spacing w:after="0"/>
              <w:rPr>
                <w:sz w:val="2"/>
                <w:szCs w:val="2"/>
                <w:color w:val="auto"/>
              </w:rPr>
            </w:pPr>
          </w:p>
        </w:tc>
        <w:tc>
          <w:tcPr>
            <w:tcW w:w="1940" w:type="dxa"/>
            <w:vAlign w:val="bottom"/>
            <w:tcBorders>
              <w:right w:val="single" w:sz="8" w:color="3F000B"/>
            </w:tcBorders>
          </w:tcPr>
          <w:p>
            <w:pPr>
              <w:spacing w:after="0"/>
              <w:rPr>
                <w:sz w:val="2"/>
                <w:szCs w:val="2"/>
                <w:color w:val="auto"/>
              </w:rPr>
            </w:pPr>
          </w:p>
        </w:tc>
      </w:tr>
      <w:tr>
        <w:trPr>
          <w:trHeight w:val="196"/>
        </w:trPr>
        <w:tc>
          <w:tcPr>
            <w:tcW w:w="656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Mr. Walling</w:t>
            </w:r>
          </w:p>
        </w:tc>
        <w:tc>
          <w:tcPr>
            <w:tcW w:w="19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4"/>
                <w:szCs w:val="14"/>
                <w:color w:val="auto"/>
              </w:rPr>
              <w:t>2020</w:t>
            </w:r>
          </w:p>
        </w:tc>
        <w:tc>
          <w:tcPr>
            <w:tcW w:w="19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656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Ms. West</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2020</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r>
      <w:tr>
        <w:trPr>
          <w:trHeight w:val="242"/>
        </w:trPr>
        <w:tc>
          <w:tcPr>
            <w:tcW w:w="6560" w:type="dxa"/>
            <w:vAlign w:val="bottom"/>
            <w:tcBorders>
              <w:left w:val="single" w:sz="8" w:color="3F000B"/>
              <w:right w:val="single" w:sz="8" w:color="3F000B"/>
            </w:tcBorders>
          </w:tcPr>
          <w:p>
            <w:pPr>
              <w:spacing w:after="0"/>
              <w:rPr>
                <w:sz w:val="21"/>
                <w:szCs w:val="21"/>
                <w:color w:val="auto"/>
              </w:rPr>
            </w:pP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4"/>
                <w:szCs w:val="14"/>
                <w:color w:val="auto"/>
              </w:rPr>
              <w:t>2019</w:t>
            </w:r>
          </w:p>
        </w:tc>
        <w:tc>
          <w:tcPr>
            <w:tcW w:w="19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2,627,724</w:t>
            </w:r>
          </w:p>
        </w:tc>
      </w:tr>
      <w:tr>
        <w:trPr>
          <w:trHeight w:val="216"/>
        </w:trPr>
        <w:tc>
          <w:tcPr>
            <w:tcW w:w="6560" w:type="dxa"/>
            <w:vAlign w:val="bottom"/>
            <w:tcBorders>
              <w:left w:val="single" w:sz="8" w:color="3F000B"/>
              <w:right w:val="single" w:sz="8" w:color="542121"/>
            </w:tcBorders>
          </w:tcPr>
          <w:p>
            <w:pPr>
              <w:spacing w:after="0"/>
              <w:rPr>
                <w:sz w:val="18"/>
                <w:szCs w:val="18"/>
                <w:color w:val="auto"/>
              </w:rPr>
            </w:pPr>
          </w:p>
        </w:tc>
        <w:tc>
          <w:tcPr>
            <w:tcW w:w="1920" w:type="dxa"/>
            <w:vAlign w:val="bottom"/>
            <w:tcBorders>
              <w:right w:val="single" w:sz="8" w:color="542121"/>
            </w:tcBorders>
          </w:tcPr>
          <w:p>
            <w:pPr>
              <w:jc w:val="right"/>
              <w:spacing w:after="0"/>
              <w:rPr>
                <w:sz w:val="20"/>
                <w:szCs w:val="20"/>
                <w:color w:val="auto"/>
              </w:rPr>
            </w:pPr>
            <w:r>
              <w:rPr>
                <w:rFonts w:ascii="Arial" w:cs="Arial" w:eastAsia="Arial" w:hAnsi="Arial"/>
                <w:sz w:val="14"/>
                <w:szCs w:val="14"/>
                <w:color w:val="auto"/>
              </w:rPr>
              <w:t>2018</w:t>
            </w:r>
          </w:p>
        </w:tc>
        <w:tc>
          <w:tcPr>
            <w:tcW w:w="1940" w:type="dxa"/>
            <w:vAlign w:val="bottom"/>
            <w:tcBorders>
              <w:right w:val="single" w:sz="8" w:color="542121"/>
            </w:tcBorders>
          </w:tcPr>
          <w:p>
            <w:pPr>
              <w:jc w:val="right"/>
              <w:ind w:right="8"/>
              <w:spacing w:after="0"/>
              <w:rPr>
                <w:sz w:val="20"/>
                <w:szCs w:val="20"/>
                <w:color w:val="auto"/>
              </w:rPr>
            </w:pPr>
            <w:r>
              <w:rPr>
                <w:rFonts w:ascii="Arial" w:cs="Arial" w:eastAsia="Arial" w:hAnsi="Arial"/>
                <w:sz w:val="14"/>
                <w:szCs w:val="14"/>
                <w:color w:val="auto"/>
              </w:rPr>
              <w:t>1,953,045</w:t>
            </w:r>
          </w:p>
        </w:tc>
      </w:tr>
      <w:tr>
        <w:trPr>
          <w:trHeight w:val="20"/>
        </w:trPr>
        <w:tc>
          <w:tcPr>
            <w:tcW w:w="6560" w:type="dxa"/>
            <w:vAlign w:val="bottom"/>
            <w:tcBorders>
              <w:left w:val="single" w:sz="8" w:color="3F000B"/>
              <w:right w:val="single" w:sz="8" w:color="542121"/>
            </w:tcBorders>
            <w:shd w:val="clear" w:color="auto" w:fill="3F000B"/>
          </w:tcPr>
          <w:p>
            <w:pPr>
              <w:spacing w:after="0" w:line="20" w:lineRule="exact"/>
              <w:rPr>
                <w:sz w:val="1"/>
                <w:szCs w:val="1"/>
                <w:color w:val="auto"/>
              </w:rPr>
            </w:pPr>
          </w:p>
        </w:tc>
        <w:tc>
          <w:tcPr>
            <w:tcW w:w="1920" w:type="dxa"/>
            <w:vAlign w:val="bottom"/>
            <w:tcBorders>
              <w:right w:val="single" w:sz="8" w:color="542121"/>
            </w:tcBorders>
            <w:shd w:val="clear" w:color="auto" w:fill="3F000B"/>
          </w:tcPr>
          <w:p>
            <w:pPr>
              <w:spacing w:after="0" w:line="20" w:lineRule="exact"/>
              <w:rPr>
                <w:sz w:val="1"/>
                <w:szCs w:val="1"/>
                <w:color w:val="auto"/>
              </w:rPr>
            </w:pPr>
          </w:p>
        </w:tc>
        <w:tc>
          <w:tcPr>
            <w:tcW w:w="1940" w:type="dxa"/>
            <w:vAlign w:val="bottom"/>
            <w:tcBorders>
              <w:right w:val="single" w:sz="8" w:color="3F000B"/>
            </w:tcBorders>
            <w:shd w:val="clear" w:color="auto" w:fill="3F000B"/>
          </w:tcPr>
          <w:p>
            <w:pPr>
              <w:spacing w:after="0" w:line="20" w:lineRule="exact"/>
              <w:rPr>
                <w:sz w:val="1"/>
                <w:szCs w:val="1"/>
                <w:color w:val="auto"/>
              </w:rPr>
            </w:pPr>
          </w:p>
        </w:tc>
      </w:tr>
    </w:tbl>
    <w:p>
      <w:pPr>
        <w:spacing w:after="0" w:line="184" w:lineRule="exact"/>
        <w:rPr>
          <w:sz w:val="20"/>
          <w:szCs w:val="20"/>
          <w:color w:val="auto"/>
        </w:rPr>
      </w:pPr>
    </w:p>
    <w:p>
      <w:pPr>
        <w:ind w:left="332" w:right="60"/>
        <w:spacing w:after="0" w:line="358" w:lineRule="auto"/>
        <w:rPr>
          <w:sz w:val="20"/>
          <w:szCs w:val="20"/>
          <w:color w:val="auto"/>
        </w:rPr>
      </w:pPr>
      <w:r>
        <w:rPr>
          <w:rFonts w:ascii="Arial" w:cs="Arial" w:eastAsia="Arial" w:hAnsi="Arial"/>
          <w:sz w:val="12"/>
          <w:szCs w:val="12"/>
          <w:color w:val="auto"/>
        </w:rPr>
        <w:t>The unvested portion of RSU awards is included in the amounts presented in Columns (g) and (h) of the Outstanding Equity Awards at 2020 Fiscal-Year End Table. The number of shares acquired and value received by the NEOs with respect to PSU and RSU awards that vested in 2020 is included in Columns (d) and (e) of the 2020 Option Exercises and Stock Vested Table.</w:t>
      </w:r>
    </w:p>
    <w:p>
      <w:pPr>
        <w:spacing w:after="0" w:line="20" w:lineRule="exact"/>
        <w:rPr>
          <w:sz w:val="20"/>
          <w:szCs w:val="20"/>
          <w:color w:val="auto"/>
        </w:rPr>
      </w:pPr>
    </w:p>
    <w:p>
      <w:pPr>
        <w:ind w:left="332" w:right="80" w:hanging="332"/>
        <w:spacing w:after="0" w:line="257" w:lineRule="auto"/>
        <w:tabs>
          <w:tab w:leader="none" w:pos="324"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Column (f) presents the grant date fair value of stock options awarded to the NEOs for the years indicated and does not reflect the value of shares actually received or which may be received in the future with respect to such stock options. The assumptions we made to determine the value of these awards are set forth in Note 12 to the Company’s Consolidated Financial Statements included in our 2020 Annual Report on Form 10-K that accompanies this Proxy Statement.</w:t>
      </w:r>
    </w:p>
    <w:p>
      <w:pPr>
        <w:spacing w:after="0" w:line="76" w:lineRule="exact"/>
        <w:rPr>
          <w:rFonts w:ascii="Arial" w:cs="Arial" w:eastAsia="Arial" w:hAnsi="Arial"/>
          <w:sz w:val="14"/>
          <w:szCs w:val="14"/>
          <w:color w:val="auto"/>
        </w:rPr>
      </w:pPr>
    </w:p>
    <w:p>
      <w:pPr>
        <w:ind w:left="312" w:hanging="312"/>
        <w:spacing w:after="0"/>
        <w:tabs>
          <w:tab w:leader="none" w:pos="312"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Column (g) reflects the OHIP payments made to each NEO based upon actual salary received in 2020.</w:t>
      </w:r>
    </w:p>
    <w:p>
      <w:pPr>
        <w:spacing w:after="0" w:line="109" w:lineRule="exact"/>
        <w:rPr>
          <w:rFonts w:ascii="Arial" w:cs="Arial" w:eastAsia="Arial" w:hAnsi="Arial"/>
          <w:sz w:val="14"/>
          <w:szCs w:val="14"/>
          <w:color w:val="auto"/>
        </w:rPr>
      </w:pPr>
    </w:p>
    <w:p>
      <w:pPr>
        <w:ind w:left="332" w:right="20" w:hanging="332"/>
        <w:spacing w:after="0" w:line="247" w:lineRule="auto"/>
        <w:tabs>
          <w:tab w:leader="none" w:pos="324"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Column (h) reflects the aggregate change in the actuarial present value of the NEO’s retirement benefit under the Company’s pension plan, the CLRP and the DB SERP. The change in value calculation uses the same discount rate and mortality rate assumptions as the 2020 and 2019 audited financial statements, as applicable, and measures the change in value between the pension plan measurement date in the 2020 and 2019 audited financial statements. The change in value during a year is primarily driven by three factors: 1) changes in valuation assumptions; 2) changes in the NEO’s pensionable earnings; and 3) an additional year of service and age. During 2020, changes in assumptions and earnings caused an increase to the pension value and an additional year of age caused a relatively smaller increase to the pension value. During 2019, each of the three factors driving change caused an increase to the pension value. The amounts in Column (h) do not reflect amounts paid or that might be paid to the NEO.</w:t>
      </w:r>
    </w:p>
    <w:p>
      <w:pPr>
        <w:spacing w:after="0" w:line="86" w:lineRule="exact"/>
        <w:rPr>
          <w:sz w:val="20"/>
          <w:szCs w:val="20"/>
          <w:color w:val="auto"/>
        </w:rPr>
      </w:pPr>
    </w:p>
    <w:p>
      <w:pPr>
        <w:ind w:left="332" w:hanging="179"/>
        <w:spacing w:after="0" w:line="252" w:lineRule="auto"/>
        <w:rPr>
          <w:sz w:val="20"/>
          <w:szCs w:val="20"/>
          <w:color w:val="auto"/>
        </w:rPr>
      </w:pPr>
      <w:r>
        <w:rPr>
          <w:rFonts w:ascii="Arial" w:cs="Arial" w:eastAsia="Arial" w:hAnsi="Arial"/>
          <w:sz w:val="14"/>
          <w:szCs w:val="14"/>
          <w:color w:val="auto"/>
        </w:rPr>
        <w:t>Messrs. Raup, Reiman and Voskuil participate in the DC SERP rather than the DB SERP. Messrs. Atkins and Walling and Ms. West participated in the DC SERP rather than the DB SERP prior to their respective separations. The DC SERP is established under the Company’s Deferred Compensation Plan. DC SERP contributions for Messrs. Atkins, Raup, Reiman and Voskuil are included in Column (i) in footnote (8) below. Mr. Atkins’ 2020 DC SERP contribution was subsequently forfeited upon his separation because he was not vested in the DC SERP. Mr. Walling and Ms. West were not eligible for a DC SERP contribution in 2020.</w:t>
      </w:r>
    </w:p>
    <w:p>
      <w:pPr>
        <w:spacing w:after="0" w:line="80" w:lineRule="exact"/>
        <w:rPr>
          <w:sz w:val="20"/>
          <w:szCs w:val="20"/>
          <w:color w:val="auto"/>
        </w:rPr>
      </w:pPr>
    </w:p>
    <w:p>
      <w:pPr>
        <w:ind w:left="332" w:right="40" w:hanging="182"/>
        <w:spacing w:after="0" w:line="277" w:lineRule="auto"/>
        <w:rPr>
          <w:sz w:val="20"/>
          <w:szCs w:val="20"/>
          <w:color w:val="auto"/>
        </w:rPr>
      </w:pPr>
      <w:r>
        <w:rPr>
          <w:rFonts w:ascii="Arial" w:cs="Arial" w:eastAsia="Arial" w:hAnsi="Arial"/>
          <w:sz w:val="13"/>
          <w:szCs w:val="13"/>
          <w:color w:val="auto"/>
        </w:rPr>
        <w:t>The NEOs also participate in our non-qualified, non-funded Deferred Compensation Plan under which deferred amounts are credited with notional earnings based on the performance of one or more third-party investment options available to all participants in our 401(k) plan. No portion of the notional earnings credited during 2020 was “above market” or “preferential.” Consequently, no Deferred Compensation Plan earnings are included in amounts reported in Column (h) above. See the 2020 Pension Benefits Table and the 2020 Non-Qualified Deferred Compensation Table for more information on the benefits payable to the NEOs under the pension plan, DB SERP, CLRP and Deferred Compensation Plan.</w:t>
      </w: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32"/>
          </w:cols>
          <w:pgMar w:left="328" w:top="890" w:right="339" w:bottom="1440" w:gutter="0" w:footer="0" w:header="0"/>
        </w:sectPr>
      </w:pPr>
    </w:p>
    <w:bookmarkStart w:id="70" w:name="page71"/>
    <w:bookmarkEnd w:id="70"/>
    <w:p>
      <w:pPr>
        <w:ind w:left="340" w:hanging="332"/>
        <w:spacing w:after="0"/>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All other compensation includes amounts as described below:</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900" w:type="dxa"/>
            <w:vAlign w:val="bottom"/>
            <w:tcBorders>
              <w:top w:val="single" w:sz="8" w:color="3F000B"/>
              <w:left w:val="single" w:sz="8" w:color="3F000B"/>
              <w:bottom w:val="single" w:sz="8" w:color="3F000B"/>
              <w:right w:val="single" w:sz="8" w:color="DADADA"/>
            </w:tcBorders>
            <w:shd w:val="clear" w:color="auto" w:fill="3F000B"/>
          </w:tcPr>
          <w:p>
            <w:pPr>
              <w:spacing w:after="0"/>
              <w:rPr>
                <w:sz w:val="20"/>
                <w:szCs w:val="20"/>
                <w:color w:val="auto"/>
              </w:rPr>
            </w:pPr>
          </w:p>
        </w:tc>
        <w:tc>
          <w:tcPr>
            <w:tcW w:w="64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78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78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1700" w:type="dxa"/>
            <w:vAlign w:val="bottom"/>
            <w:tcBorders>
              <w:top w:val="single" w:sz="8" w:color="3F000B"/>
              <w:bottom w:val="single" w:sz="8" w:color="3F000B"/>
              <w:right w:val="single" w:sz="8" w:color="3F000B"/>
            </w:tcBorders>
            <w:gridSpan w:val="2"/>
            <w:shd w:val="clear" w:color="auto" w:fill="3F000B"/>
          </w:tcPr>
          <w:p>
            <w:pPr>
              <w:jc w:val="right"/>
              <w:ind w:right="339"/>
              <w:spacing w:after="0"/>
              <w:rPr>
                <w:sz w:val="20"/>
                <w:szCs w:val="20"/>
                <w:color w:val="auto"/>
              </w:rPr>
            </w:pPr>
            <w:r>
              <w:rPr>
                <w:rFonts w:ascii="Arial" w:cs="Arial" w:eastAsia="Arial" w:hAnsi="Arial"/>
                <w:sz w:val="11"/>
                <w:szCs w:val="11"/>
                <w:b w:val="1"/>
                <w:bCs w:val="1"/>
                <w:color w:val="FFFFFF"/>
              </w:rPr>
              <w:t>Retirement Income</w:t>
            </w:r>
          </w:p>
        </w:tc>
        <w:tc>
          <w:tcPr>
            <w:tcW w:w="80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800" w:type="dxa"/>
            <w:vAlign w:val="bottom"/>
            <w:tcBorders>
              <w:top w:val="single" w:sz="8" w:color="3F000B"/>
              <w:bottom w:val="single" w:sz="8" w:color="3F000B"/>
              <w:right w:val="single" w:sz="8" w:color="DADADA"/>
            </w:tcBorders>
            <w:shd w:val="clear" w:color="auto" w:fill="3F000B"/>
          </w:tcPr>
          <w:p>
            <w:pPr>
              <w:spacing w:after="0"/>
              <w:rPr>
                <w:sz w:val="20"/>
                <w:szCs w:val="20"/>
                <w:color w:val="auto"/>
              </w:rPr>
            </w:pPr>
          </w:p>
        </w:tc>
        <w:tc>
          <w:tcPr>
            <w:tcW w:w="80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80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1660" w:type="dxa"/>
            <w:vAlign w:val="bottom"/>
            <w:tcBorders>
              <w:top w:val="single" w:sz="8" w:color="3F000B"/>
              <w:bottom w:val="single" w:sz="8" w:color="3F000B"/>
              <w:right w:val="single" w:sz="8" w:color="3F000B"/>
            </w:tcBorders>
            <w:gridSpan w:val="2"/>
            <w:shd w:val="clear" w:color="auto" w:fill="3F000B"/>
          </w:tcPr>
          <w:p>
            <w:pPr>
              <w:jc w:val="right"/>
              <w:ind w:right="80"/>
              <w:spacing w:after="0"/>
              <w:rPr>
                <w:sz w:val="20"/>
                <w:szCs w:val="20"/>
                <w:color w:val="auto"/>
              </w:rPr>
            </w:pPr>
            <w:r>
              <w:rPr>
                <w:rFonts w:ascii="Arial" w:cs="Arial" w:eastAsia="Arial" w:hAnsi="Arial"/>
                <w:sz w:val="11"/>
                <w:szCs w:val="11"/>
                <w:b w:val="1"/>
                <w:bCs w:val="1"/>
                <w:color w:val="FFFFFF"/>
                <w:w w:val="93"/>
              </w:rPr>
              <w:t>Perquisites and Other Benefits</w:t>
            </w:r>
          </w:p>
        </w:tc>
        <w:tc>
          <w:tcPr>
            <w:tcW w:w="80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800" w:type="dxa"/>
            <w:vAlign w:val="bottom"/>
            <w:tcBorders>
              <w:top w:val="single" w:sz="8" w:color="3F000B"/>
              <w:bottom w:val="single" w:sz="8" w:color="3F000B"/>
              <w:right w:val="single" w:sz="8" w:color="3F000B"/>
            </w:tcBorders>
            <w:shd w:val="clear" w:color="auto" w:fill="3F000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Borders>
              <w:left w:val="single" w:sz="8" w:color="3F000B"/>
              <w:right w:val="single" w:sz="8" w:color="DADADA"/>
            </w:tcBorders>
            <w:shd w:val="clear" w:color="auto" w:fill="3F000B"/>
          </w:tcPr>
          <w:p>
            <w:pPr>
              <w:spacing w:after="0"/>
              <w:rPr>
                <w:sz w:val="19"/>
                <w:szCs w:val="19"/>
                <w:color w:val="auto"/>
              </w:rPr>
            </w:pPr>
          </w:p>
        </w:tc>
        <w:tc>
          <w:tcPr>
            <w:tcW w:w="640" w:type="dxa"/>
            <w:vAlign w:val="bottom"/>
            <w:tcBorders>
              <w:right w:val="single" w:sz="8" w:color="3F000B"/>
            </w:tcBorders>
            <w:shd w:val="clear" w:color="auto" w:fill="3F000B"/>
          </w:tcPr>
          <w:p>
            <w:pPr>
              <w:spacing w:after="0"/>
              <w:rPr>
                <w:sz w:val="19"/>
                <w:szCs w:val="19"/>
                <w:color w:val="auto"/>
              </w:rPr>
            </w:pPr>
          </w:p>
        </w:tc>
        <w:tc>
          <w:tcPr>
            <w:tcW w:w="780" w:type="dxa"/>
            <w:vAlign w:val="bottom"/>
            <w:tcBorders>
              <w:right w:val="single" w:sz="8" w:color="DADADA"/>
            </w:tcBorders>
            <w:shd w:val="clear" w:color="auto" w:fill="3F000B"/>
          </w:tcPr>
          <w:p>
            <w:pPr>
              <w:spacing w:after="0"/>
              <w:rPr>
                <w:sz w:val="19"/>
                <w:szCs w:val="19"/>
                <w:color w:val="auto"/>
              </w:rPr>
            </w:pPr>
          </w:p>
        </w:tc>
        <w:tc>
          <w:tcPr>
            <w:tcW w:w="780" w:type="dxa"/>
            <w:vAlign w:val="bottom"/>
            <w:tcBorders>
              <w:right w:val="single" w:sz="8" w:color="DADADA"/>
            </w:tcBorders>
            <w:shd w:val="clear" w:color="auto" w:fill="3F000B"/>
          </w:tcPr>
          <w:p>
            <w:pPr>
              <w:spacing w:after="0"/>
              <w:rPr>
                <w:sz w:val="19"/>
                <w:szCs w:val="19"/>
                <w:color w:val="auto"/>
              </w:rPr>
            </w:pPr>
          </w:p>
        </w:tc>
        <w:tc>
          <w:tcPr>
            <w:tcW w:w="800" w:type="dxa"/>
            <w:vAlign w:val="bottom"/>
            <w:tcBorders>
              <w:right w:val="single" w:sz="8" w:color="DADADA"/>
            </w:tcBorders>
            <w:shd w:val="clear" w:color="auto" w:fill="3F000B"/>
          </w:tcPr>
          <w:p>
            <w:pPr>
              <w:spacing w:after="0"/>
              <w:rPr>
                <w:sz w:val="19"/>
                <w:szCs w:val="19"/>
                <w:color w:val="auto"/>
              </w:rPr>
            </w:pPr>
          </w:p>
        </w:tc>
        <w:tc>
          <w:tcPr>
            <w:tcW w:w="900" w:type="dxa"/>
            <w:vAlign w:val="bottom"/>
            <w:tcBorders>
              <w:right w:val="single" w:sz="8" w:color="DADADA"/>
            </w:tcBorders>
            <w:shd w:val="clear" w:color="auto" w:fill="3F000B"/>
          </w:tcPr>
          <w:p>
            <w:pPr>
              <w:spacing w:after="0"/>
              <w:rPr>
                <w:sz w:val="19"/>
                <w:szCs w:val="19"/>
                <w:color w:val="auto"/>
              </w:rPr>
            </w:pPr>
          </w:p>
        </w:tc>
        <w:tc>
          <w:tcPr>
            <w:tcW w:w="800" w:type="dxa"/>
            <w:vAlign w:val="bottom"/>
            <w:tcBorders>
              <w:right w:val="single" w:sz="8" w:color="DADADA"/>
            </w:tcBorders>
            <w:shd w:val="clear" w:color="auto" w:fill="3F000B"/>
          </w:tcPr>
          <w:p>
            <w:pPr>
              <w:spacing w:after="0"/>
              <w:rPr>
                <w:sz w:val="19"/>
                <w:szCs w:val="19"/>
                <w:color w:val="auto"/>
              </w:rPr>
            </w:pPr>
          </w:p>
        </w:tc>
        <w:tc>
          <w:tcPr>
            <w:tcW w:w="8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4"/>
              </w:rPr>
              <w:t>Supple-</w:t>
            </w:r>
          </w:p>
        </w:tc>
        <w:tc>
          <w:tcPr>
            <w:tcW w:w="800" w:type="dxa"/>
            <w:vAlign w:val="bottom"/>
            <w:tcBorders>
              <w:right w:val="single" w:sz="8" w:color="DADADA"/>
            </w:tcBorders>
            <w:shd w:val="clear" w:color="auto" w:fill="3F000B"/>
          </w:tcPr>
          <w:p>
            <w:pPr>
              <w:spacing w:after="0"/>
              <w:rPr>
                <w:sz w:val="19"/>
                <w:szCs w:val="19"/>
                <w:color w:val="auto"/>
              </w:rPr>
            </w:pPr>
          </w:p>
        </w:tc>
        <w:tc>
          <w:tcPr>
            <w:tcW w:w="800" w:type="dxa"/>
            <w:vAlign w:val="bottom"/>
            <w:tcBorders>
              <w:right w:val="single" w:sz="8" w:color="DADADA"/>
            </w:tcBorders>
            <w:shd w:val="clear" w:color="auto" w:fill="3F000B"/>
          </w:tcPr>
          <w:p>
            <w:pPr>
              <w:spacing w:after="0"/>
              <w:rPr>
                <w:sz w:val="19"/>
                <w:szCs w:val="19"/>
                <w:color w:val="auto"/>
              </w:rPr>
            </w:pPr>
          </w:p>
        </w:tc>
        <w:tc>
          <w:tcPr>
            <w:tcW w:w="880" w:type="dxa"/>
            <w:vAlign w:val="bottom"/>
            <w:tcBorders>
              <w:right w:val="single" w:sz="8" w:color="DADADA"/>
            </w:tcBorders>
            <w:vMerge w:val="restart"/>
            <w:shd w:val="clear" w:color="auto" w:fill="3F000B"/>
          </w:tcPr>
          <w:p>
            <w:pPr>
              <w:jc w:val="center"/>
              <w:ind w:right="1"/>
              <w:spacing w:after="0"/>
              <w:rPr>
                <w:sz w:val="20"/>
                <w:szCs w:val="20"/>
                <w:color w:val="auto"/>
              </w:rPr>
            </w:pPr>
            <w:r>
              <w:rPr>
                <w:rFonts w:ascii="Arial" w:cs="Arial" w:eastAsia="Arial" w:hAnsi="Arial"/>
                <w:sz w:val="11"/>
                <w:szCs w:val="11"/>
                <w:b w:val="1"/>
                <w:bCs w:val="1"/>
                <w:color w:val="FFFFFF"/>
                <w:w w:val="89"/>
              </w:rPr>
              <w:t>Reimburse-</w:t>
            </w:r>
          </w:p>
        </w:tc>
        <w:tc>
          <w:tcPr>
            <w:tcW w:w="780" w:type="dxa"/>
            <w:vAlign w:val="bottom"/>
            <w:tcBorders>
              <w:right w:val="single" w:sz="8" w:color="DADADA"/>
            </w:tcBorders>
            <w:shd w:val="clear" w:color="auto" w:fill="3F000B"/>
          </w:tcPr>
          <w:p>
            <w:pPr>
              <w:spacing w:after="0"/>
              <w:rPr>
                <w:sz w:val="19"/>
                <w:szCs w:val="19"/>
                <w:color w:val="auto"/>
              </w:rPr>
            </w:pPr>
          </w:p>
        </w:tc>
        <w:tc>
          <w:tcPr>
            <w:tcW w:w="800" w:type="dxa"/>
            <w:vAlign w:val="bottom"/>
            <w:tcBorders>
              <w:right w:val="single" w:sz="8" w:color="DADADA"/>
            </w:tcBorders>
            <w:shd w:val="clear" w:color="auto" w:fill="3F000B"/>
          </w:tcPr>
          <w:p>
            <w:pPr>
              <w:spacing w:after="0"/>
              <w:rPr>
                <w:sz w:val="19"/>
                <w:szCs w:val="19"/>
                <w:color w:val="auto"/>
              </w:rPr>
            </w:pPr>
          </w:p>
        </w:tc>
        <w:tc>
          <w:tcPr>
            <w:tcW w:w="800" w:type="dxa"/>
            <w:vAlign w:val="bottom"/>
            <w:tcBorders>
              <w:right w:val="single" w:sz="8" w:color="3F000B"/>
            </w:tcBorders>
            <w:shd w:val="clear" w:color="auto" w:fill="3F000B"/>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00" w:type="dxa"/>
            <w:vAlign w:val="bottom"/>
            <w:tcBorders>
              <w:left w:val="single" w:sz="8" w:color="3F000B"/>
              <w:right w:val="single" w:sz="8" w:color="DADADA"/>
            </w:tcBorders>
            <w:shd w:val="clear" w:color="auto" w:fill="3F000B"/>
          </w:tcPr>
          <w:p>
            <w:pPr>
              <w:spacing w:after="0"/>
              <w:rPr>
                <w:sz w:val="9"/>
                <w:szCs w:val="9"/>
                <w:color w:val="auto"/>
              </w:rPr>
            </w:pPr>
          </w:p>
        </w:tc>
        <w:tc>
          <w:tcPr>
            <w:tcW w:w="640" w:type="dxa"/>
            <w:vAlign w:val="bottom"/>
            <w:tcBorders>
              <w:right w:val="single" w:sz="8" w:color="3F000B"/>
            </w:tcBorders>
            <w:shd w:val="clear" w:color="auto" w:fill="3F000B"/>
          </w:tcPr>
          <w:p>
            <w:pPr>
              <w:spacing w:after="0"/>
              <w:rPr>
                <w:sz w:val="9"/>
                <w:szCs w:val="9"/>
                <w:color w:val="auto"/>
              </w:rPr>
            </w:pPr>
          </w:p>
        </w:tc>
        <w:tc>
          <w:tcPr>
            <w:tcW w:w="780" w:type="dxa"/>
            <w:vAlign w:val="bottom"/>
            <w:tcBorders>
              <w:right w:val="single" w:sz="8" w:color="DADADA"/>
            </w:tcBorders>
            <w:shd w:val="clear" w:color="auto" w:fill="3F000B"/>
          </w:tcPr>
          <w:p>
            <w:pPr>
              <w:spacing w:after="0"/>
              <w:rPr>
                <w:sz w:val="9"/>
                <w:szCs w:val="9"/>
                <w:color w:val="auto"/>
              </w:rPr>
            </w:pPr>
          </w:p>
        </w:tc>
        <w:tc>
          <w:tcPr>
            <w:tcW w:w="780" w:type="dxa"/>
            <w:vAlign w:val="bottom"/>
            <w:tcBorders>
              <w:right w:val="single" w:sz="8" w:color="DADADA"/>
            </w:tcBorders>
            <w:shd w:val="clear" w:color="auto" w:fill="3F000B"/>
          </w:tcPr>
          <w:p>
            <w:pPr>
              <w:spacing w:after="0"/>
              <w:rPr>
                <w:sz w:val="9"/>
                <w:szCs w:val="9"/>
                <w:color w:val="auto"/>
              </w:rPr>
            </w:pPr>
          </w:p>
        </w:tc>
        <w:tc>
          <w:tcPr>
            <w:tcW w:w="800" w:type="dxa"/>
            <w:vAlign w:val="bottom"/>
            <w:tcBorders>
              <w:right w:val="single" w:sz="8" w:color="DADADA"/>
            </w:tcBorders>
            <w:shd w:val="clear" w:color="auto" w:fill="3F000B"/>
          </w:tcPr>
          <w:p>
            <w:pPr>
              <w:spacing w:after="0"/>
              <w:rPr>
                <w:sz w:val="9"/>
                <w:szCs w:val="9"/>
                <w:color w:val="auto"/>
              </w:rPr>
            </w:pPr>
          </w:p>
        </w:tc>
        <w:tc>
          <w:tcPr>
            <w:tcW w:w="900" w:type="dxa"/>
            <w:vAlign w:val="bottom"/>
            <w:tcBorders>
              <w:right w:val="single" w:sz="8" w:color="DADADA"/>
            </w:tcBorders>
            <w:shd w:val="clear" w:color="auto" w:fill="3F000B"/>
          </w:tcPr>
          <w:p>
            <w:pPr>
              <w:spacing w:after="0"/>
              <w:rPr>
                <w:sz w:val="9"/>
                <w:szCs w:val="9"/>
                <w:color w:val="auto"/>
              </w:rPr>
            </w:pPr>
          </w:p>
        </w:tc>
        <w:tc>
          <w:tcPr>
            <w:tcW w:w="800" w:type="dxa"/>
            <w:vAlign w:val="bottom"/>
            <w:tcBorders>
              <w:right w:val="single" w:sz="8" w:color="DADADA"/>
            </w:tcBorders>
            <w:shd w:val="clear" w:color="auto" w:fill="3F000B"/>
          </w:tcPr>
          <w:p>
            <w:pPr>
              <w:spacing w:after="0"/>
              <w:rPr>
                <w:sz w:val="9"/>
                <w:szCs w:val="9"/>
                <w:color w:val="auto"/>
              </w:rPr>
            </w:pPr>
          </w:p>
        </w:tc>
        <w:tc>
          <w:tcPr>
            <w:tcW w:w="800" w:type="dxa"/>
            <w:vAlign w:val="bottom"/>
            <w:tcBorders>
              <w:right w:val="single" w:sz="8" w:color="DADADA"/>
            </w:tcBorders>
            <w:shd w:val="clear" w:color="auto" w:fill="3F000B"/>
          </w:tcPr>
          <w:p>
            <w:pPr>
              <w:jc w:val="center"/>
              <w:spacing w:after="0" w:line="109" w:lineRule="exact"/>
              <w:rPr>
                <w:sz w:val="20"/>
                <w:szCs w:val="20"/>
                <w:color w:val="auto"/>
              </w:rPr>
            </w:pPr>
            <w:r>
              <w:rPr>
                <w:rFonts w:ascii="Arial" w:cs="Arial" w:eastAsia="Arial" w:hAnsi="Arial"/>
                <w:sz w:val="11"/>
                <w:szCs w:val="11"/>
                <w:b w:val="1"/>
                <w:bCs w:val="1"/>
                <w:color w:val="FFFFFF"/>
                <w:w w:val="90"/>
              </w:rPr>
              <w:t>mental</w:t>
            </w:r>
          </w:p>
        </w:tc>
        <w:tc>
          <w:tcPr>
            <w:tcW w:w="800" w:type="dxa"/>
            <w:vAlign w:val="bottom"/>
            <w:tcBorders>
              <w:right w:val="single" w:sz="8" w:color="DADADA"/>
            </w:tcBorders>
            <w:shd w:val="clear" w:color="auto" w:fill="3F000B"/>
          </w:tcPr>
          <w:p>
            <w:pPr>
              <w:spacing w:after="0"/>
              <w:rPr>
                <w:sz w:val="9"/>
                <w:szCs w:val="9"/>
                <w:color w:val="auto"/>
              </w:rPr>
            </w:pPr>
          </w:p>
        </w:tc>
        <w:tc>
          <w:tcPr>
            <w:tcW w:w="800" w:type="dxa"/>
            <w:vAlign w:val="bottom"/>
            <w:tcBorders>
              <w:right w:val="single" w:sz="8" w:color="DADADA"/>
            </w:tcBorders>
            <w:shd w:val="clear" w:color="auto" w:fill="3F000B"/>
          </w:tcPr>
          <w:p>
            <w:pPr>
              <w:spacing w:after="0"/>
              <w:rPr>
                <w:sz w:val="9"/>
                <w:szCs w:val="9"/>
                <w:color w:val="auto"/>
              </w:rPr>
            </w:pPr>
          </w:p>
        </w:tc>
        <w:tc>
          <w:tcPr>
            <w:tcW w:w="880" w:type="dxa"/>
            <w:vAlign w:val="bottom"/>
            <w:tcBorders>
              <w:right w:val="single" w:sz="8" w:color="DADADA"/>
            </w:tcBorders>
            <w:vMerge w:val="continue"/>
            <w:shd w:val="clear" w:color="auto" w:fill="3F000B"/>
          </w:tcPr>
          <w:p>
            <w:pPr>
              <w:spacing w:after="0"/>
              <w:rPr>
                <w:sz w:val="9"/>
                <w:szCs w:val="9"/>
                <w:color w:val="auto"/>
              </w:rPr>
            </w:pPr>
          </w:p>
        </w:tc>
        <w:tc>
          <w:tcPr>
            <w:tcW w:w="780" w:type="dxa"/>
            <w:vAlign w:val="bottom"/>
            <w:tcBorders>
              <w:right w:val="single" w:sz="8" w:color="DADADA"/>
            </w:tcBorders>
            <w:shd w:val="clear" w:color="auto" w:fill="3F000B"/>
          </w:tcPr>
          <w:p>
            <w:pPr>
              <w:jc w:val="center"/>
              <w:spacing w:after="0" w:line="109" w:lineRule="exact"/>
              <w:rPr>
                <w:sz w:val="20"/>
                <w:szCs w:val="20"/>
                <w:color w:val="auto"/>
              </w:rPr>
            </w:pPr>
            <w:r>
              <w:rPr>
                <w:rFonts w:ascii="Arial" w:cs="Arial" w:eastAsia="Arial" w:hAnsi="Arial"/>
                <w:sz w:val="11"/>
                <w:szCs w:val="11"/>
                <w:b w:val="1"/>
                <w:bCs w:val="1"/>
                <w:color w:val="FFFFFF"/>
                <w:w w:val="88"/>
              </w:rPr>
              <w:t>Relocation</w:t>
            </w:r>
          </w:p>
        </w:tc>
        <w:tc>
          <w:tcPr>
            <w:tcW w:w="800" w:type="dxa"/>
            <w:vAlign w:val="bottom"/>
            <w:tcBorders>
              <w:right w:val="single" w:sz="8" w:color="DADADA"/>
            </w:tcBorders>
            <w:shd w:val="clear" w:color="auto" w:fill="3F000B"/>
          </w:tcPr>
          <w:p>
            <w:pPr>
              <w:spacing w:after="0"/>
              <w:rPr>
                <w:sz w:val="9"/>
                <w:szCs w:val="9"/>
                <w:color w:val="auto"/>
              </w:rPr>
            </w:pPr>
          </w:p>
        </w:tc>
        <w:tc>
          <w:tcPr>
            <w:tcW w:w="800" w:type="dxa"/>
            <w:vAlign w:val="bottom"/>
            <w:tcBorders>
              <w:right w:val="single" w:sz="8" w:color="3F000B"/>
            </w:tcBorders>
            <w:shd w:val="clear" w:color="auto" w:fill="3F000B"/>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00" w:type="dxa"/>
            <w:vAlign w:val="bottom"/>
            <w:tcBorders>
              <w:left w:val="single" w:sz="8" w:color="3F000B"/>
              <w:right w:val="single" w:sz="8" w:color="DADADA"/>
            </w:tcBorders>
            <w:shd w:val="clear" w:color="auto" w:fill="3F000B"/>
          </w:tcPr>
          <w:p>
            <w:pPr>
              <w:spacing w:after="0"/>
              <w:rPr>
                <w:sz w:val="10"/>
                <w:szCs w:val="10"/>
                <w:color w:val="auto"/>
              </w:rPr>
            </w:pPr>
          </w:p>
        </w:tc>
        <w:tc>
          <w:tcPr>
            <w:tcW w:w="640" w:type="dxa"/>
            <w:vAlign w:val="bottom"/>
            <w:tcBorders>
              <w:right w:val="single" w:sz="8" w:color="3F000B"/>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9"/>
              </w:rPr>
              <w:t>Supple-</w:t>
            </w:r>
          </w:p>
        </w:tc>
        <w:tc>
          <w:tcPr>
            <w:tcW w:w="800" w:type="dxa"/>
            <w:vAlign w:val="bottom"/>
            <w:tcBorders>
              <w:right w:val="single" w:sz="8" w:color="DADADA"/>
            </w:tcBorders>
            <w:shd w:val="clear" w:color="auto" w:fill="3F000B"/>
          </w:tcPr>
          <w:p>
            <w:pPr>
              <w:spacing w:after="0"/>
              <w:rPr>
                <w:sz w:val="10"/>
                <w:szCs w:val="10"/>
                <w:color w:val="auto"/>
              </w:rPr>
            </w:pPr>
          </w:p>
        </w:tc>
        <w:tc>
          <w:tcPr>
            <w:tcW w:w="9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7"/>
              </w:rPr>
              <w:t>Core</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7"/>
              </w:rPr>
              <w:t>Core</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5"/>
              </w:rPr>
              <w:t>Personal</w:t>
            </w:r>
          </w:p>
        </w:tc>
        <w:tc>
          <w:tcPr>
            <w:tcW w:w="800" w:type="dxa"/>
            <w:vAlign w:val="bottom"/>
            <w:tcBorders>
              <w:right w:val="single" w:sz="8" w:color="DADADA"/>
            </w:tcBorders>
            <w:shd w:val="clear" w:color="auto" w:fill="3F000B"/>
          </w:tcPr>
          <w:p>
            <w:pPr>
              <w:spacing w:after="0"/>
              <w:rPr>
                <w:sz w:val="10"/>
                <w:szCs w:val="10"/>
                <w:color w:val="auto"/>
              </w:rPr>
            </w:pPr>
          </w:p>
        </w:tc>
        <w:tc>
          <w:tcPr>
            <w:tcW w:w="8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ment of</w:t>
            </w: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1"/>
              </w:rPr>
              <w:t>Expenses</w:t>
            </w: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3F000B"/>
            </w:tcBorders>
            <w:shd w:val="clear" w:color="auto" w:fill="3F000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tcBorders>
              <w:left w:val="single" w:sz="8" w:color="3F000B"/>
              <w:right w:val="single" w:sz="8" w:color="DADADA"/>
            </w:tcBorders>
            <w:shd w:val="clear" w:color="auto" w:fill="3F000B"/>
          </w:tcPr>
          <w:p>
            <w:pPr>
              <w:spacing w:after="0"/>
              <w:rPr>
                <w:sz w:val="10"/>
                <w:szCs w:val="10"/>
                <w:color w:val="auto"/>
              </w:rPr>
            </w:pPr>
          </w:p>
        </w:tc>
        <w:tc>
          <w:tcPr>
            <w:tcW w:w="640" w:type="dxa"/>
            <w:vAlign w:val="bottom"/>
            <w:tcBorders>
              <w:right w:val="single" w:sz="8" w:color="3F000B"/>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mental</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4"/>
              </w:rPr>
              <w:t>Supple-</w:t>
            </w:r>
          </w:p>
        </w:tc>
        <w:tc>
          <w:tcPr>
            <w:tcW w:w="9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Retirement</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Retirement</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3"/>
              </w:rPr>
              <w:t>Use of</w:t>
            </w:r>
          </w:p>
        </w:tc>
        <w:tc>
          <w:tcPr>
            <w:tcW w:w="800" w:type="dxa"/>
            <w:vAlign w:val="bottom"/>
            <w:tcBorders>
              <w:right w:val="single" w:sz="8" w:color="DADADA"/>
            </w:tcBorders>
            <w:shd w:val="clear" w:color="auto" w:fill="3F000B"/>
          </w:tcPr>
          <w:p>
            <w:pPr>
              <w:spacing w:after="0"/>
              <w:rPr>
                <w:sz w:val="10"/>
                <w:szCs w:val="10"/>
                <w:color w:val="auto"/>
              </w:rPr>
            </w:pPr>
          </w:p>
        </w:tc>
        <w:tc>
          <w:tcPr>
            <w:tcW w:w="8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5"/>
              </w:rPr>
              <w:t>Personal</w:t>
            </w: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1"/>
              </w:rPr>
              <w:t>and</w:t>
            </w: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3F000B"/>
            </w:tcBorders>
            <w:shd w:val="clear" w:color="auto" w:fill="3F000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tcBorders>
              <w:left w:val="single" w:sz="8" w:color="3F000B"/>
              <w:right w:val="single" w:sz="8" w:color="DADADA"/>
            </w:tcBorders>
            <w:shd w:val="clear" w:color="auto" w:fill="3F000B"/>
          </w:tcPr>
          <w:p>
            <w:pPr>
              <w:spacing w:after="0"/>
              <w:rPr>
                <w:sz w:val="10"/>
                <w:szCs w:val="10"/>
                <w:color w:val="auto"/>
              </w:rPr>
            </w:pPr>
          </w:p>
        </w:tc>
        <w:tc>
          <w:tcPr>
            <w:tcW w:w="640" w:type="dxa"/>
            <w:vAlign w:val="bottom"/>
            <w:tcBorders>
              <w:right w:val="single" w:sz="8" w:color="3F000B"/>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7"/>
              </w:rPr>
              <w:t>401(k)</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mental</w:t>
            </w:r>
          </w:p>
        </w:tc>
        <w:tc>
          <w:tcPr>
            <w:tcW w:w="9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4"/>
              </w:rPr>
              <w:t>Contri-</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4"/>
              </w:rPr>
              <w:t>Contri-</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1"/>
              </w:rPr>
              <w:t>Company</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9"/>
              </w:rPr>
              <w:t>Company-</w:t>
            </w:r>
          </w:p>
        </w:tc>
        <w:tc>
          <w:tcPr>
            <w:tcW w:w="8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4"/>
              </w:rPr>
              <w:t>Tax</w:t>
            </w: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Related</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7"/>
              </w:rPr>
              <w:t>Separation</w:t>
            </w:r>
          </w:p>
        </w:tc>
        <w:tc>
          <w:tcPr>
            <w:tcW w:w="800" w:type="dxa"/>
            <w:vAlign w:val="bottom"/>
            <w:tcBorders>
              <w:right w:val="single" w:sz="8" w:color="3F000B"/>
            </w:tcBorders>
            <w:shd w:val="clear" w:color="auto" w:fill="3F000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00" w:type="dxa"/>
            <w:vAlign w:val="bottom"/>
            <w:tcBorders>
              <w:left w:val="single" w:sz="8" w:color="3F000B"/>
              <w:right w:val="single" w:sz="8" w:color="DADADA"/>
            </w:tcBorders>
            <w:shd w:val="clear" w:color="auto" w:fill="3F000B"/>
          </w:tcPr>
          <w:p>
            <w:pPr>
              <w:spacing w:after="0"/>
              <w:rPr>
                <w:sz w:val="10"/>
                <w:szCs w:val="10"/>
                <w:color w:val="auto"/>
              </w:rPr>
            </w:pPr>
          </w:p>
        </w:tc>
        <w:tc>
          <w:tcPr>
            <w:tcW w:w="640" w:type="dxa"/>
            <w:vAlign w:val="bottom"/>
            <w:tcBorders>
              <w:right w:val="single" w:sz="8" w:color="3F000B"/>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Retirement</w:t>
            </w:r>
          </w:p>
        </w:tc>
        <w:tc>
          <w:tcPr>
            <w:tcW w:w="9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5"/>
              </w:rPr>
              <w:t>Paid</w:t>
            </w:r>
          </w:p>
        </w:tc>
        <w:tc>
          <w:tcPr>
            <w:tcW w:w="8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Return</w:t>
            </w:r>
          </w:p>
        </w:tc>
        <w:tc>
          <w:tcPr>
            <w:tcW w:w="78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3F000B"/>
            </w:tcBorders>
            <w:shd w:val="clear" w:color="auto" w:fill="3F000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00" w:type="dxa"/>
            <w:vAlign w:val="bottom"/>
            <w:tcBorders>
              <w:left w:val="single" w:sz="8" w:color="3F000B"/>
              <w:right w:val="single" w:sz="8" w:color="DADADA"/>
            </w:tcBorders>
            <w:shd w:val="clear" w:color="auto" w:fill="3F000B"/>
          </w:tcPr>
          <w:p>
            <w:pPr>
              <w:spacing w:after="0"/>
              <w:rPr>
                <w:sz w:val="10"/>
                <w:szCs w:val="10"/>
                <w:color w:val="auto"/>
              </w:rPr>
            </w:pPr>
          </w:p>
        </w:tc>
        <w:tc>
          <w:tcPr>
            <w:tcW w:w="640" w:type="dxa"/>
            <w:vAlign w:val="bottom"/>
            <w:tcBorders>
              <w:right w:val="single" w:sz="8" w:color="3F000B"/>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7"/>
              </w:rPr>
              <w:t>401(k)</w:t>
            </w:r>
          </w:p>
        </w:tc>
        <w:tc>
          <w:tcPr>
            <w:tcW w:w="78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4"/>
              </w:rPr>
              <w:t>Contri-</w:t>
            </w:r>
          </w:p>
        </w:tc>
        <w:tc>
          <w:tcPr>
            <w:tcW w:w="9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3"/>
              </w:rPr>
              <w:t>DC SERP</w:t>
            </w: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2"/>
              </w:rPr>
              <w:t>Financial</w:t>
            </w:r>
          </w:p>
        </w:tc>
        <w:tc>
          <w:tcPr>
            <w:tcW w:w="8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1"/>
              </w:rPr>
              <w:t>Preparation</w:t>
            </w:r>
          </w:p>
        </w:tc>
        <w:tc>
          <w:tcPr>
            <w:tcW w:w="78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DADADA"/>
            </w:tcBorders>
            <w:shd w:val="clear" w:color="auto" w:fill="3F000B"/>
          </w:tcPr>
          <w:p>
            <w:pPr>
              <w:spacing w:after="0"/>
              <w:rPr>
                <w:sz w:val="10"/>
                <w:szCs w:val="10"/>
                <w:color w:val="auto"/>
              </w:rPr>
            </w:pPr>
          </w:p>
        </w:tc>
        <w:tc>
          <w:tcPr>
            <w:tcW w:w="800" w:type="dxa"/>
            <w:vAlign w:val="bottom"/>
            <w:tcBorders>
              <w:right w:val="single" w:sz="8" w:color="3F000B"/>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9"/>
              </w:rPr>
              <w:t>Tax Reimburse-</w:t>
            </w:r>
          </w:p>
        </w:tc>
        <w:tc>
          <w:tcPr>
            <w:tcW w:w="0" w:type="dxa"/>
            <w:vAlign w:val="bottom"/>
          </w:tcPr>
          <w:p>
            <w:pPr>
              <w:spacing w:after="0"/>
              <w:rPr>
                <w:sz w:val="1"/>
                <w:szCs w:val="1"/>
                <w:color w:val="auto"/>
              </w:rPr>
            </w:pPr>
          </w:p>
        </w:tc>
      </w:tr>
      <w:tr>
        <w:trPr>
          <w:trHeight w:val="122"/>
        </w:trPr>
        <w:tc>
          <w:tcPr>
            <w:tcW w:w="900" w:type="dxa"/>
            <w:vAlign w:val="bottom"/>
            <w:tcBorders>
              <w:left w:val="single" w:sz="8" w:color="3F000B"/>
              <w:right w:val="single" w:sz="8" w:color="DADADA"/>
            </w:tcBorders>
            <w:shd w:val="clear" w:color="auto" w:fill="3F000B"/>
          </w:tcPr>
          <w:p>
            <w:pPr>
              <w:spacing w:after="0"/>
              <w:rPr>
                <w:sz w:val="10"/>
                <w:szCs w:val="10"/>
                <w:color w:val="auto"/>
              </w:rPr>
            </w:pPr>
          </w:p>
        </w:tc>
        <w:tc>
          <w:tcPr>
            <w:tcW w:w="640" w:type="dxa"/>
            <w:vAlign w:val="bottom"/>
            <w:tcBorders>
              <w:right w:val="single" w:sz="8" w:color="3F000B"/>
            </w:tcBorders>
            <w:shd w:val="clear" w:color="auto" w:fill="3F000B"/>
          </w:tcPr>
          <w:p>
            <w:pPr>
              <w:spacing w:after="0"/>
              <w:rPr>
                <w:sz w:val="10"/>
                <w:szCs w:val="10"/>
                <w:color w:val="auto"/>
              </w:rPr>
            </w:pP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4"/>
              </w:rPr>
              <w:t>Match</w:t>
            </w: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7"/>
              </w:rPr>
              <w:t>Match</w:t>
            </w:r>
            <w:r>
              <w:rPr>
                <w:rFonts w:ascii="Arial" w:cs="Arial" w:eastAsia="Arial" w:hAnsi="Arial"/>
                <w:sz w:val="14"/>
                <w:szCs w:val="14"/>
                <w:b w:val="1"/>
                <w:bCs w:val="1"/>
                <w:color w:val="FFFFFF"/>
                <w:w w:val="87"/>
                <w:vertAlign w:val="superscript"/>
              </w:rPr>
              <w:t>(a)</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9"/>
              </w:rPr>
              <w:t>bution</w:t>
            </w:r>
          </w:p>
        </w:tc>
        <w:tc>
          <w:tcPr>
            <w:tcW w:w="9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Contribution</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3"/>
              </w:rPr>
              <w:t>bution</w:t>
            </w:r>
            <w:r>
              <w:rPr>
                <w:rFonts w:ascii="Arial" w:cs="Arial" w:eastAsia="Arial" w:hAnsi="Arial"/>
                <w:sz w:val="14"/>
                <w:szCs w:val="14"/>
                <w:b w:val="1"/>
                <w:bCs w:val="1"/>
                <w:color w:val="FFFFFF"/>
                <w:w w:val="83"/>
                <w:vertAlign w:val="superscript"/>
              </w:rPr>
              <w:t>(b)</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3"/>
              </w:rPr>
              <w:t>bution</w:t>
            </w:r>
            <w:r>
              <w:rPr>
                <w:rFonts w:ascii="Arial" w:cs="Arial" w:eastAsia="Arial" w:hAnsi="Arial"/>
                <w:sz w:val="14"/>
                <w:szCs w:val="14"/>
                <w:b w:val="1"/>
                <w:bCs w:val="1"/>
                <w:color w:val="FFFFFF"/>
                <w:w w:val="83"/>
                <w:vertAlign w:val="superscript"/>
              </w:rPr>
              <w:t>(b)</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90"/>
              </w:rPr>
              <w:t>Aircraft</w:t>
            </w:r>
            <w:r>
              <w:rPr>
                <w:rFonts w:ascii="Arial" w:cs="Arial" w:eastAsia="Arial" w:hAnsi="Arial"/>
                <w:sz w:val="14"/>
                <w:szCs w:val="14"/>
                <w:b w:val="1"/>
                <w:bCs w:val="1"/>
                <w:color w:val="FFFFFF"/>
                <w:w w:val="90"/>
                <w:vertAlign w:val="superscript"/>
              </w:rPr>
              <w:t>(c)</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6"/>
              </w:rPr>
              <w:t>Counseling</w:t>
            </w:r>
          </w:p>
        </w:tc>
        <w:tc>
          <w:tcPr>
            <w:tcW w:w="8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4"/>
              </w:rPr>
              <w:t>Fee</w:t>
            </w:r>
          </w:p>
        </w:tc>
        <w:tc>
          <w:tcPr>
            <w:tcW w:w="78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3"/>
              </w:rPr>
              <w:t>Taxes</w:t>
            </w:r>
          </w:p>
        </w:tc>
        <w:tc>
          <w:tcPr>
            <w:tcW w:w="800" w:type="dxa"/>
            <w:vAlign w:val="bottom"/>
            <w:tcBorders>
              <w:right w:val="single" w:sz="8" w:color="DADADA"/>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83"/>
              </w:rPr>
              <w:t>Benefits</w:t>
            </w:r>
            <w:r>
              <w:rPr>
                <w:rFonts w:ascii="Arial" w:cs="Arial" w:eastAsia="Arial" w:hAnsi="Arial"/>
                <w:sz w:val="14"/>
                <w:szCs w:val="14"/>
                <w:b w:val="1"/>
                <w:bCs w:val="1"/>
                <w:color w:val="FFFFFF"/>
                <w:w w:val="83"/>
                <w:vertAlign w:val="superscript"/>
              </w:rPr>
              <w:t>(d)</w:t>
            </w:r>
          </w:p>
        </w:tc>
        <w:tc>
          <w:tcPr>
            <w:tcW w:w="800" w:type="dxa"/>
            <w:vAlign w:val="bottom"/>
            <w:tcBorders>
              <w:right w:val="single" w:sz="8" w:color="3F000B"/>
            </w:tcBorders>
            <w:shd w:val="clear" w:color="auto" w:fill="3F000B"/>
          </w:tcPr>
          <w:p>
            <w:pPr>
              <w:jc w:val="center"/>
              <w:spacing w:after="0" w:line="122" w:lineRule="exact"/>
              <w:rPr>
                <w:sz w:val="20"/>
                <w:szCs w:val="20"/>
                <w:color w:val="auto"/>
              </w:rPr>
            </w:pPr>
            <w:r>
              <w:rPr>
                <w:rFonts w:ascii="Arial" w:cs="Arial" w:eastAsia="Arial" w:hAnsi="Arial"/>
                <w:sz w:val="11"/>
                <w:szCs w:val="11"/>
                <w:b w:val="1"/>
                <w:bCs w:val="1"/>
                <w:color w:val="FFFFFF"/>
                <w:w w:val="79"/>
              </w:rPr>
              <w:t>ment</w:t>
            </w:r>
            <w:r>
              <w:rPr>
                <w:rFonts w:ascii="Arial" w:cs="Arial" w:eastAsia="Arial" w:hAnsi="Arial"/>
                <w:sz w:val="14"/>
                <w:szCs w:val="14"/>
                <w:b w:val="1"/>
                <w:bCs w:val="1"/>
                <w:color w:val="FFFFFF"/>
                <w:w w:val="79"/>
                <w:vertAlign w:val="superscript"/>
              </w:rPr>
              <w:t>(e)</w:t>
            </w:r>
          </w:p>
        </w:tc>
        <w:tc>
          <w:tcPr>
            <w:tcW w:w="0" w:type="dxa"/>
            <w:vAlign w:val="bottom"/>
          </w:tcPr>
          <w:p>
            <w:pPr>
              <w:spacing w:after="0"/>
              <w:rPr>
                <w:sz w:val="1"/>
                <w:szCs w:val="1"/>
                <w:color w:val="auto"/>
              </w:rPr>
            </w:pPr>
          </w:p>
        </w:tc>
      </w:tr>
      <w:tr>
        <w:trPr>
          <w:trHeight w:val="181"/>
        </w:trPr>
        <w:tc>
          <w:tcPr>
            <w:tcW w:w="900" w:type="dxa"/>
            <w:vAlign w:val="bottom"/>
            <w:tcBorders>
              <w:left w:val="single" w:sz="8" w:color="3F000B"/>
              <w:bottom w:val="single" w:sz="8" w:color="3F000B"/>
              <w:right w:val="single" w:sz="8" w:color="DADADA"/>
            </w:tcBorders>
            <w:shd w:val="clear" w:color="auto" w:fill="3F000B"/>
          </w:tcPr>
          <w:p>
            <w:pPr>
              <w:ind w:left="40"/>
              <w:spacing w:after="0"/>
              <w:rPr>
                <w:sz w:val="20"/>
                <w:szCs w:val="20"/>
                <w:color w:val="auto"/>
              </w:rPr>
            </w:pPr>
            <w:r>
              <w:rPr>
                <w:rFonts w:ascii="Arial" w:cs="Arial" w:eastAsia="Arial" w:hAnsi="Arial"/>
                <w:sz w:val="11"/>
                <w:szCs w:val="11"/>
                <w:b w:val="1"/>
                <w:bCs w:val="1"/>
                <w:color w:val="FFFFFF"/>
              </w:rPr>
              <w:t>Name</w:t>
            </w:r>
          </w:p>
        </w:tc>
        <w:tc>
          <w:tcPr>
            <w:tcW w:w="640" w:type="dxa"/>
            <w:vAlign w:val="bottom"/>
            <w:tcBorders>
              <w:bottom w:val="single" w:sz="8" w:color="3F000B"/>
              <w:right w:val="single" w:sz="8" w:color="3F000B"/>
            </w:tcBorders>
            <w:shd w:val="clear" w:color="auto" w:fill="3F000B"/>
          </w:tcPr>
          <w:p>
            <w:pPr>
              <w:jc w:val="right"/>
              <w:ind w:right="158"/>
              <w:spacing w:after="0"/>
              <w:rPr>
                <w:sz w:val="20"/>
                <w:szCs w:val="20"/>
                <w:color w:val="auto"/>
              </w:rPr>
            </w:pPr>
            <w:r>
              <w:rPr>
                <w:rFonts w:ascii="Arial" w:cs="Arial" w:eastAsia="Arial" w:hAnsi="Arial"/>
                <w:sz w:val="11"/>
                <w:szCs w:val="11"/>
                <w:b w:val="1"/>
                <w:bCs w:val="1"/>
                <w:color w:val="FFFFFF"/>
              </w:rPr>
              <w:t>Year</w:t>
            </w:r>
          </w:p>
        </w:tc>
        <w:tc>
          <w:tcPr>
            <w:tcW w:w="78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rPr>
              <w:t>($)</w:t>
            </w:r>
          </w:p>
        </w:tc>
        <w:tc>
          <w:tcPr>
            <w:tcW w:w="780" w:type="dxa"/>
            <w:vAlign w:val="bottom"/>
            <w:tcBorders>
              <w:bottom w:val="single" w:sz="8" w:color="3F000B"/>
              <w:right w:val="single" w:sz="8" w:color="DADADA"/>
            </w:tcBorders>
            <w:shd w:val="clear" w:color="auto" w:fill="3F000B"/>
          </w:tcPr>
          <w:p>
            <w:pPr>
              <w:jc w:val="right"/>
              <w:ind w:right="280"/>
              <w:spacing w:after="0"/>
              <w:rPr>
                <w:sz w:val="20"/>
                <w:szCs w:val="20"/>
                <w:color w:val="auto"/>
              </w:rPr>
            </w:pPr>
            <w:r>
              <w:rPr>
                <w:rFonts w:ascii="Arial" w:cs="Arial" w:eastAsia="Arial" w:hAnsi="Arial"/>
                <w:sz w:val="11"/>
                <w:szCs w:val="11"/>
                <w:b w:val="1"/>
                <w:bCs w:val="1"/>
                <w:color w:val="FFFFFF"/>
              </w:rPr>
              <w:t>($)</w:t>
            </w:r>
          </w:p>
        </w:tc>
        <w:tc>
          <w:tcPr>
            <w:tcW w:w="8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rPr>
              <w:t>($)</w:t>
            </w:r>
          </w:p>
        </w:tc>
        <w:tc>
          <w:tcPr>
            <w:tcW w:w="9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8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8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8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8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88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78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8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rPr>
              <w:t>($)</w:t>
            </w:r>
          </w:p>
        </w:tc>
        <w:tc>
          <w:tcPr>
            <w:tcW w:w="80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167"/>
        </w:trPr>
        <w:tc>
          <w:tcPr>
            <w:tcW w:w="900" w:type="dxa"/>
            <w:vAlign w:val="bottom"/>
            <w:tcBorders>
              <w:top w:val="single" w:sz="8" w:color="3F000B"/>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Ms. Buck</w:t>
            </w:r>
          </w:p>
        </w:tc>
        <w:tc>
          <w:tcPr>
            <w:tcW w:w="640" w:type="dxa"/>
            <w:vAlign w:val="bottom"/>
            <w:tcBorders>
              <w:top w:val="single" w:sz="8" w:color="3F000B"/>
              <w:right w:val="single" w:sz="8" w:color="3F000B"/>
            </w:tcBorders>
          </w:tcPr>
          <w:p>
            <w:pPr>
              <w:jc w:val="right"/>
              <w:spacing w:after="0"/>
              <w:rPr>
                <w:sz w:val="20"/>
                <w:szCs w:val="20"/>
                <w:color w:val="auto"/>
              </w:rPr>
            </w:pPr>
            <w:r>
              <w:rPr>
                <w:rFonts w:ascii="Arial" w:cs="Arial" w:eastAsia="Arial" w:hAnsi="Arial"/>
                <w:sz w:val="13"/>
                <w:szCs w:val="13"/>
                <w:color w:val="auto"/>
              </w:rPr>
              <w:t>2020</w:t>
            </w:r>
          </w:p>
        </w:tc>
        <w:tc>
          <w:tcPr>
            <w:tcW w:w="780" w:type="dxa"/>
            <w:vAlign w:val="bottom"/>
            <w:tcBorders>
              <w:top w:val="single" w:sz="8" w:color="3F000B"/>
              <w:right w:val="single" w:sz="8" w:color="3F000B"/>
            </w:tcBorders>
          </w:tcPr>
          <w:p>
            <w:pPr>
              <w:jc w:val="right"/>
              <w:ind w:right="19"/>
              <w:spacing w:after="0"/>
              <w:rPr>
                <w:sz w:val="20"/>
                <w:szCs w:val="20"/>
                <w:color w:val="auto"/>
              </w:rPr>
            </w:pPr>
            <w:r>
              <w:rPr>
                <w:rFonts w:ascii="Arial" w:cs="Arial" w:eastAsia="Arial" w:hAnsi="Arial"/>
                <w:sz w:val="13"/>
                <w:szCs w:val="13"/>
                <w:color w:val="auto"/>
              </w:rPr>
              <w:t>12,825</w:t>
            </w:r>
          </w:p>
        </w:tc>
        <w:tc>
          <w:tcPr>
            <w:tcW w:w="780" w:type="dxa"/>
            <w:vAlign w:val="bottom"/>
            <w:tcBorders>
              <w:top w:val="single" w:sz="8" w:color="3F000B"/>
              <w:right w:val="single" w:sz="8" w:color="3F000B"/>
            </w:tcBorders>
          </w:tcPr>
          <w:p>
            <w:pPr>
              <w:jc w:val="right"/>
              <w:ind w:right="20"/>
              <w:spacing w:after="0"/>
              <w:rPr>
                <w:sz w:val="20"/>
                <w:szCs w:val="20"/>
                <w:color w:val="auto"/>
              </w:rPr>
            </w:pPr>
            <w:r>
              <w:rPr>
                <w:rFonts w:ascii="Arial" w:cs="Arial" w:eastAsia="Arial" w:hAnsi="Arial"/>
                <w:sz w:val="13"/>
                <w:szCs w:val="13"/>
                <w:color w:val="auto"/>
              </w:rPr>
              <w:t>163,408</w:t>
            </w:r>
          </w:p>
        </w:tc>
        <w:tc>
          <w:tcPr>
            <w:tcW w:w="800" w:type="dxa"/>
            <w:vAlign w:val="bottom"/>
            <w:tcBorders>
              <w:top w:val="single" w:sz="8" w:color="3F000B"/>
              <w:right w:val="single" w:sz="8" w:color="3F000B"/>
            </w:tcBorders>
          </w:tcPr>
          <w:p>
            <w:pPr>
              <w:jc w:val="right"/>
              <w:ind w:right="20"/>
              <w:spacing w:after="0"/>
              <w:rPr>
                <w:sz w:val="20"/>
                <w:szCs w:val="20"/>
                <w:color w:val="auto"/>
              </w:rPr>
            </w:pPr>
            <w:r>
              <w:rPr>
                <w:rFonts w:ascii="Arial" w:cs="Arial" w:eastAsia="Arial" w:hAnsi="Arial"/>
                <w:sz w:val="13"/>
                <w:szCs w:val="13"/>
                <w:color w:val="auto"/>
              </w:rPr>
              <w:t>1,129</w:t>
            </w:r>
          </w:p>
        </w:tc>
        <w:tc>
          <w:tcPr>
            <w:tcW w:w="900" w:type="dxa"/>
            <w:vAlign w:val="bottom"/>
            <w:tcBorders>
              <w:top w:val="single" w:sz="8" w:color="3F000B"/>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3F000B"/>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3F000B"/>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3F000B"/>
              <w:right w:val="single" w:sz="8" w:color="3F000B"/>
            </w:tcBorders>
          </w:tcPr>
          <w:p>
            <w:pPr>
              <w:jc w:val="right"/>
              <w:ind w:right="20"/>
              <w:spacing w:after="0"/>
              <w:rPr>
                <w:sz w:val="20"/>
                <w:szCs w:val="20"/>
                <w:color w:val="auto"/>
              </w:rPr>
            </w:pPr>
            <w:r>
              <w:rPr>
                <w:rFonts w:ascii="Arial" w:cs="Arial" w:eastAsia="Arial" w:hAnsi="Arial"/>
                <w:sz w:val="13"/>
                <w:szCs w:val="13"/>
                <w:color w:val="auto"/>
              </w:rPr>
              <w:t>39,733</w:t>
            </w:r>
          </w:p>
        </w:tc>
        <w:tc>
          <w:tcPr>
            <w:tcW w:w="800" w:type="dxa"/>
            <w:vAlign w:val="bottom"/>
            <w:tcBorders>
              <w:top w:val="single" w:sz="8" w:color="3F000B"/>
              <w:right w:val="single" w:sz="8" w:color="3F000B"/>
            </w:tcBorders>
          </w:tcPr>
          <w:p>
            <w:pPr>
              <w:jc w:val="right"/>
              <w:ind w:right="20"/>
              <w:spacing w:after="0"/>
              <w:rPr>
                <w:sz w:val="20"/>
                <w:szCs w:val="20"/>
                <w:color w:val="auto"/>
              </w:rPr>
            </w:pPr>
            <w:r>
              <w:rPr>
                <w:rFonts w:ascii="Arial" w:cs="Arial" w:eastAsia="Arial" w:hAnsi="Arial"/>
                <w:sz w:val="13"/>
                <w:szCs w:val="13"/>
                <w:color w:val="auto"/>
              </w:rPr>
              <w:t>10,960</w:t>
            </w:r>
          </w:p>
        </w:tc>
        <w:tc>
          <w:tcPr>
            <w:tcW w:w="880" w:type="dxa"/>
            <w:vAlign w:val="bottom"/>
            <w:tcBorders>
              <w:top w:val="single" w:sz="8" w:color="3F000B"/>
              <w:right w:val="single" w:sz="8" w:color="3F000B"/>
            </w:tcBorders>
          </w:tcPr>
          <w:p>
            <w:pPr>
              <w:jc w:val="right"/>
              <w:ind w:right="21"/>
              <w:spacing w:after="0"/>
              <w:rPr>
                <w:sz w:val="20"/>
                <w:szCs w:val="20"/>
                <w:color w:val="auto"/>
              </w:rPr>
            </w:pPr>
            <w:r>
              <w:rPr>
                <w:rFonts w:ascii="Arial" w:cs="Arial" w:eastAsia="Arial" w:hAnsi="Arial"/>
                <w:sz w:val="13"/>
                <w:szCs w:val="13"/>
                <w:color w:val="auto"/>
              </w:rPr>
              <w:t>1,500</w:t>
            </w:r>
          </w:p>
        </w:tc>
        <w:tc>
          <w:tcPr>
            <w:tcW w:w="780" w:type="dxa"/>
            <w:vAlign w:val="bottom"/>
            <w:tcBorders>
              <w:top w:val="single" w:sz="8" w:color="3F000B"/>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3F000B"/>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3F000B"/>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900" w:type="dxa"/>
            <w:vAlign w:val="bottom"/>
            <w:tcBorders>
              <w:left w:val="single" w:sz="8" w:color="3F000B"/>
              <w:right w:val="single" w:sz="8" w:color="3F000B"/>
            </w:tcBorders>
          </w:tcPr>
          <w:p>
            <w:pPr>
              <w:spacing w:after="0"/>
              <w:rPr>
                <w:sz w:val="17"/>
                <w:szCs w:val="17"/>
                <w:color w:val="auto"/>
              </w:rPr>
            </w:pPr>
          </w:p>
        </w:tc>
        <w:tc>
          <w:tcPr>
            <w:tcW w:w="64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2019</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12,600</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118,774</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1,075</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67,013</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10,695</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1,500</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900" w:type="dxa"/>
            <w:vAlign w:val="bottom"/>
            <w:tcBorders>
              <w:left w:val="single" w:sz="8" w:color="3F000B"/>
              <w:right w:val="single" w:sz="8" w:color="3F000B"/>
            </w:tcBorders>
          </w:tcPr>
          <w:p>
            <w:pPr>
              <w:spacing w:after="0"/>
              <w:rPr>
                <w:sz w:val="17"/>
                <w:szCs w:val="17"/>
                <w:color w:val="auto"/>
              </w:rPr>
            </w:pPr>
          </w:p>
        </w:tc>
        <w:tc>
          <w:tcPr>
            <w:tcW w:w="64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2018</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12,375</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97,663</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1,021</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192,443</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10,400</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1,500</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900" w:type="dxa"/>
            <w:vAlign w:val="bottom"/>
            <w:tcBorders>
              <w:left w:val="single" w:sz="8" w:color="3F000B"/>
              <w:right w:val="single" w:sz="8" w:color="3F000B"/>
            </w:tcBorders>
          </w:tcPr>
          <w:p>
            <w:pPr>
              <w:spacing w:after="0"/>
              <w:rPr>
                <w:sz w:val="2"/>
                <w:szCs w:val="2"/>
                <w:color w:val="auto"/>
              </w:rPr>
            </w:pPr>
          </w:p>
        </w:tc>
        <w:tc>
          <w:tcPr>
            <w:tcW w:w="640" w:type="dxa"/>
            <w:vAlign w:val="bottom"/>
            <w:tcBorders>
              <w:right w:val="single" w:sz="8" w:color="3F000B"/>
            </w:tcBorders>
          </w:tcPr>
          <w:p>
            <w:pPr>
              <w:spacing w:after="0"/>
              <w:rPr>
                <w:sz w:val="2"/>
                <w:szCs w:val="2"/>
                <w:color w:val="auto"/>
              </w:rPr>
            </w:pPr>
          </w:p>
        </w:tc>
        <w:tc>
          <w:tcPr>
            <w:tcW w:w="780" w:type="dxa"/>
            <w:vAlign w:val="bottom"/>
            <w:tcBorders>
              <w:right w:val="single" w:sz="8" w:color="3F000B"/>
            </w:tcBorders>
          </w:tcPr>
          <w:p>
            <w:pPr>
              <w:spacing w:after="0"/>
              <w:rPr>
                <w:sz w:val="2"/>
                <w:szCs w:val="2"/>
                <w:color w:val="auto"/>
              </w:rPr>
            </w:pPr>
          </w:p>
        </w:tc>
        <w:tc>
          <w:tcPr>
            <w:tcW w:w="780" w:type="dxa"/>
            <w:vAlign w:val="bottom"/>
            <w:tcBorders>
              <w:right w:val="single" w:sz="8" w:color="3F000B"/>
            </w:tcBorders>
          </w:tcPr>
          <w:p>
            <w:pPr>
              <w:spacing w:after="0"/>
              <w:rPr>
                <w:sz w:val="2"/>
                <w:szCs w:val="2"/>
                <w:color w:val="auto"/>
              </w:rPr>
            </w:pPr>
          </w:p>
        </w:tc>
        <w:tc>
          <w:tcPr>
            <w:tcW w:w="800" w:type="dxa"/>
            <w:vAlign w:val="bottom"/>
            <w:tcBorders>
              <w:right w:val="single" w:sz="8" w:color="3F000B"/>
            </w:tcBorders>
          </w:tcPr>
          <w:p>
            <w:pPr>
              <w:spacing w:after="0"/>
              <w:rPr>
                <w:sz w:val="2"/>
                <w:szCs w:val="2"/>
                <w:color w:val="auto"/>
              </w:rPr>
            </w:pPr>
          </w:p>
        </w:tc>
        <w:tc>
          <w:tcPr>
            <w:tcW w:w="900" w:type="dxa"/>
            <w:vAlign w:val="bottom"/>
            <w:tcBorders>
              <w:right w:val="single" w:sz="8" w:color="3F000B"/>
            </w:tcBorders>
          </w:tcPr>
          <w:p>
            <w:pPr>
              <w:spacing w:after="0"/>
              <w:rPr>
                <w:sz w:val="2"/>
                <w:szCs w:val="2"/>
                <w:color w:val="auto"/>
              </w:rPr>
            </w:pPr>
          </w:p>
        </w:tc>
        <w:tc>
          <w:tcPr>
            <w:tcW w:w="800" w:type="dxa"/>
            <w:vAlign w:val="bottom"/>
            <w:tcBorders>
              <w:right w:val="single" w:sz="8" w:color="3F000B"/>
            </w:tcBorders>
          </w:tcPr>
          <w:p>
            <w:pPr>
              <w:spacing w:after="0"/>
              <w:rPr>
                <w:sz w:val="2"/>
                <w:szCs w:val="2"/>
                <w:color w:val="auto"/>
              </w:rPr>
            </w:pPr>
          </w:p>
        </w:tc>
        <w:tc>
          <w:tcPr>
            <w:tcW w:w="800" w:type="dxa"/>
            <w:vAlign w:val="bottom"/>
            <w:tcBorders>
              <w:right w:val="single" w:sz="8" w:color="3F000B"/>
            </w:tcBorders>
          </w:tcPr>
          <w:p>
            <w:pPr>
              <w:spacing w:after="0"/>
              <w:rPr>
                <w:sz w:val="2"/>
                <w:szCs w:val="2"/>
                <w:color w:val="auto"/>
              </w:rPr>
            </w:pPr>
          </w:p>
        </w:tc>
        <w:tc>
          <w:tcPr>
            <w:tcW w:w="800" w:type="dxa"/>
            <w:vAlign w:val="bottom"/>
            <w:tcBorders>
              <w:right w:val="single" w:sz="8" w:color="3F000B"/>
            </w:tcBorders>
          </w:tcPr>
          <w:p>
            <w:pPr>
              <w:spacing w:after="0"/>
              <w:rPr>
                <w:sz w:val="2"/>
                <w:szCs w:val="2"/>
                <w:color w:val="auto"/>
              </w:rPr>
            </w:pPr>
          </w:p>
        </w:tc>
        <w:tc>
          <w:tcPr>
            <w:tcW w:w="800" w:type="dxa"/>
            <w:vAlign w:val="bottom"/>
            <w:tcBorders>
              <w:right w:val="single" w:sz="8" w:color="3F000B"/>
            </w:tcBorders>
          </w:tcPr>
          <w:p>
            <w:pPr>
              <w:spacing w:after="0"/>
              <w:rPr>
                <w:sz w:val="2"/>
                <w:szCs w:val="2"/>
                <w:color w:val="auto"/>
              </w:rPr>
            </w:pPr>
          </w:p>
        </w:tc>
        <w:tc>
          <w:tcPr>
            <w:tcW w:w="880" w:type="dxa"/>
            <w:vAlign w:val="bottom"/>
            <w:tcBorders>
              <w:right w:val="single" w:sz="8" w:color="3F000B"/>
            </w:tcBorders>
          </w:tcPr>
          <w:p>
            <w:pPr>
              <w:spacing w:after="0"/>
              <w:rPr>
                <w:sz w:val="2"/>
                <w:szCs w:val="2"/>
                <w:color w:val="auto"/>
              </w:rPr>
            </w:pPr>
          </w:p>
        </w:tc>
        <w:tc>
          <w:tcPr>
            <w:tcW w:w="780" w:type="dxa"/>
            <w:vAlign w:val="bottom"/>
            <w:tcBorders>
              <w:right w:val="single" w:sz="8" w:color="3F000B"/>
            </w:tcBorders>
          </w:tcPr>
          <w:p>
            <w:pPr>
              <w:spacing w:after="0"/>
              <w:rPr>
                <w:sz w:val="2"/>
                <w:szCs w:val="2"/>
                <w:color w:val="auto"/>
              </w:rPr>
            </w:pPr>
          </w:p>
        </w:tc>
        <w:tc>
          <w:tcPr>
            <w:tcW w:w="800" w:type="dxa"/>
            <w:vAlign w:val="bottom"/>
            <w:tcBorders>
              <w:right w:val="single" w:sz="8" w:color="3F000B"/>
            </w:tcBorders>
          </w:tcPr>
          <w:p>
            <w:pPr>
              <w:spacing w:after="0"/>
              <w:rPr>
                <w:sz w:val="2"/>
                <w:szCs w:val="2"/>
                <w:color w:val="auto"/>
              </w:rPr>
            </w:pPr>
          </w:p>
        </w:tc>
        <w:tc>
          <w:tcPr>
            <w:tcW w:w="80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90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Voskuil</w:t>
            </w:r>
          </w:p>
        </w:tc>
        <w:tc>
          <w:tcPr>
            <w:tcW w:w="64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2020</w:t>
            </w:r>
          </w:p>
        </w:tc>
        <w:tc>
          <w:tcPr>
            <w:tcW w:w="780" w:type="dxa"/>
            <w:vAlign w:val="bottom"/>
            <w:tcBorders>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12,825</w:t>
            </w:r>
          </w:p>
        </w:tc>
        <w:tc>
          <w:tcPr>
            <w:tcW w:w="780" w:type="dxa"/>
            <w:vAlign w:val="bottom"/>
            <w:tcBorders>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39,061</w:t>
            </w:r>
          </w:p>
        </w:tc>
        <w:tc>
          <w:tcPr>
            <w:tcW w:w="800" w:type="dxa"/>
            <w:vAlign w:val="bottom"/>
            <w:tcBorders>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144,128</w:t>
            </w:r>
          </w:p>
        </w:tc>
        <w:tc>
          <w:tcPr>
            <w:tcW w:w="800" w:type="dxa"/>
            <w:vAlign w:val="bottom"/>
            <w:tcBorders>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8,550</w:t>
            </w:r>
          </w:p>
        </w:tc>
        <w:tc>
          <w:tcPr>
            <w:tcW w:w="800" w:type="dxa"/>
            <w:vAlign w:val="bottom"/>
            <w:tcBorders>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26,041</w:t>
            </w:r>
          </w:p>
        </w:tc>
        <w:tc>
          <w:tcPr>
            <w:tcW w:w="800" w:type="dxa"/>
            <w:vAlign w:val="bottom"/>
            <w:tcBorders>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6,236</w:t>
            </w:r>
          </w:p>
        </w:tc>
        <w:tc>
          <w:tcPr>
            <w:tcW w:w="880" w:type="dxa"/>
            <w:vAlign w:val="bottom"/>
            <w:tcBorders>
              <w:right w:val="single" w:sz="8" w:color="3F000B"/>
            </w:tcBorders>
            <w:shd w:val="clear" w:color="auto" w:fill="DADADA"/>
          </w:tcPr>
          <w:p>
            <w:pPr>
              <w:jc w:val="right"/>
              <w:ind w:right="21"/>
              <w:spacing w:after="0"/>
              <w:rPr>
                <w:sz w:val="20"/>
                <w:szCs w:val="20"/>
                <w:color w:val="auto"/>
              </w:rPr>
            </w:pPr>
            <w:r>
              <w:rPr>
                <w:rFonts w:ascii="Arial" w:cs="Arial" w:eastAsia="Arial" w:hAnsi="Arial"/>
                <w:sz w:val="13"/>
                <w:szCs w:val="13"/>
                <w:color w:val="auto"/>
              </w:rPr>
              <w:t>1,500</w:t>
            </w:r>
          </w:p>
        </w:tc>
        <w:tc>
          <w:tcPr>
            <w:tcW w:w="780" w:type="dxa"/>
            <w:vAlign w:val="bottom"/>
            <w:tcBorders>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2"/>
        </w:trPr>
        <w:tc>
          <w:tcPr>
            <w:tcW w:w="900" w:type="dxa"/>
            <w:vAlign w:val="bottom"/>
            <w:tcBorders>
              <w:left w:val="single" w:sz="8" w:color="3F000B"/>
              <w:bottom w:val="single" w:sz="8" w:color="DADADA"/>
              <w:right w:val="single" w:sz="8" w:color="3F000B"/>
            </w:tcBorders>
            <w:shd w:val="clear" w:color="auto" w:fill="DADADA"/>
          </w:tcPr>
          <w:p>
            <w:pPr>
              <w:spacing w:after="0"/>
              <w:rPr>
                <w:sz w:val="18"/>
                <w:szCs w:val="18"/>
                <w:color w:val="auto"/>
              </w:rPr>
            </w:pPr>
          </w:p>
        </w:tc>
        <w:tc>
          <w:tcPr>
            <w:tcW w:w="6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2019</w:t>
            </w:r>
          </w:p>
        </w:tc>
        <w:tc>
          <w:tcPr>
            <w:tcW w:w="78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8,654</w:t>
            </w:r>
          </w:p>
        </w:tc>
        <w:tc>
          <w:tcPr>
            <w:tcW w:w="78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5,465</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50,180</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8,400</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3,643</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ADADA"/>
              <w:right w:val="single" w:sz="8" w:color="3F000B"/>
            </w:tcBorders>
            <w:shd w:val="clear" w:color="auto" w:fill="DADADA"/>
          </w:tcPr>
          <w:p>
            <w:pPr>
              <w:jc w:val="right"/>
              <w:ind w:right="21"/>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242,666</w:t>
            </w:r>
          </w:p>
        </w:tc>
        <w:tc>
          <w:tcPr>
            <w:tcW w:w="8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9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Raup</w:t>
            </w:r>
          </w:p>
        </w:tc>
        <w:tc>
          <w:tcPr>
            <w:tcW w:w="64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2020</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12,825</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23,096</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62,981</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8,550</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15,397</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9,744</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9,675</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3,325</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74,986</w:t>
            </w:r>
          </w:p>
        </w:tc>
        <w:tc>
          <w:tcPr>
            <w:tcW w:w="0" w:type="dxa"/>
            <w:vAlign w:val="bottom"/>
          </w:tcPr>
          <w:p>
            <w:pPr>
              <w:spacing w:after="0"/>
              <w:rPr>
                <w:sz w:val="1"/>
                <w:szCs w:val="1"/>
                <w:color w:val="auto"/>
              </w:rPr>
            </w:pPr>
          </w:p>
        </w:tc>
      </w:tr>
      <w:tr>
        <w:trPr>
          <w:trHeight w:val="190"/>
        </w:trPr>
        <w:tc>
          <w:tcPr>
            <w:tcW w:w="90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Reiman</w:t>
            </w:r>
          </w:p>
        </w:tc>
        <w:tc>
          <w:tcPr>
            <w:tcW w:w="6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2020</w:t>
            </w:r>
          </w:p>
        </w:tc>
        <w:tc>
          <w:tcPr>
            <w:tcW w:w="78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12,825</w:t>
            </w:r>
          </w:p>
        </w:tc>
        <w:tc>
          <w:tcPr>
            <w:tcW w:w="78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25,071</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1,392</w:t>
            </w:r>
          </w:p>
        </w:tc>
        <w:tc>
          <w:tcPr>
            <w:tcW w:w="9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90,099</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9,999</w:t>
            </w:r>
          </w:p>
        </w:tc>
        <w:tc>
          <w:tcPr>
            <w:tcW w:w="880" w:type="dxa"/>
            <w:vAlign w:val="bottom"/>
            <w:tcBorders>
              <w:bottom w:val="single" w:sz="8" w:color="DADADA"/>
              <w:right w:val="single" w:sz="8" w:color="3F000B"/>
            </w:tcBorders>
            <w:shd w:val="clear" w:color="auto" w:fill="DADADA"/>
          </w:tcPr>
          <w:p>
            <w:pPr>
              <w:jc w:val="right"/>
              <w:ind w:right="21"/>
              <w:spacing w:after="0"/>
              <w:rPr>
                <w:sz w:val="20"/>
                <w:szCs w:val="20"/>
                <w:color w:val="auto"/>
              </w:rPr>
            </w:pPr>
            <w:r>
              <w:rPr>
                <w:rFonts w:ascii="Arial" w:cs="Arial" w:eastAsia="Arial" w:hAnsi="Arial"/>
                <w:sz w:val="13"/>
                <w:szCs w:val="13"/>
                <w:color w:val="auto"/>
              </w:rPr>
              <w:t>1,725</w:t>
            </w:r>
          </w:p>
        </w:tc>
        <w:tc>
          <w:tcPr>
            <w:tcW w:w="78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7"/>
        </w:trPr>
        <w:tc>
          <w:tcPr>
            <w:tcW w:w="9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Atkins</w:t>
            </w:r>
          </w:p>
        </w:tc>
        <w:tc>
          <w:tcPr>
            <w:tcW w:w="64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2020</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12,825</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37,424</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139,580</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8,550</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24,949</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1"/>
        </w:trPr>
        <w:tc>
          <w:tcPr>
            <w:tcW w:w="900" w:type="dxa"/>
            <w:vAlign w:val="bottom"/>
            <w:tcBorders>
              <w:left w:val="single" w:sz="8" w:color="3F000B"/>
              <w:right w:val="single" w:sz="8" w:color="3F000B"/>
            </w:tcBorders>
          </w:tcPr>
          <w:p>
            <w:pPr>
              <w:spacing w:after="0"/>
              <w:rPr>
                <w:sz w:val="18"/>
                <w:szCs w:val="18"/>
                <w:color w:val="auto"/>
              </w:rPr>
            </w:pPr>
          </w:p>
        </w:tc>
        <w:tc>
          <w:tcPr>
            <w:tcW w:w="64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2019</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12,600</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19,065</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87,959</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8,400</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12,710</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162,604</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90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Walling</w:t>
            </w:r>
          </w:p>
        </w:tc>
        <w:tc>
          <w:tcPr>
            <w:tcW w:w="6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2020</w:t>
            </w:r>
          </w:p>
        </w:tc>
        <w:tc>
          <w:tcPr>
            <w:tcW w:w="78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4,605</w:t>
            </w:r>
          </w:p>
        </w:tc>
        <w:tc>
          <w:tcPr>
            <w:tcW w:w="78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2,355</w:t>
            </w:r>
          </w:p>
        </w:tc>
        <w:tc>
          <w:tcPr>
            <w:tcW w:w="880" w:type="dxa"/>
            <w:vAlign w:val="bottom"/>
            <w:tcBorders>
              <w:bottom w:val="single" w:sz="8" w:color="DADADA"/>
              <w:right w:val="single" w:sz="8" w:color="3F000B"/>
            </w:tcBorders>
            <w:shd w:val="clear" w:color="auto" w:fill="DADADA"/>
          </w:tcPr>
          <w:p>
            <w:pPr>
              <w:jc w:val="right"/>
              <w:ind w:right="21"/>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2,570,284</w:t>
            </w:r>
          </w:p>
        </w:tc>
        <w:tc>
          <w:tcPr>
            <w:tcW w:w="800" w:type="dxa"/>
            <w:vAlign w:val="bottom"/>
            <w:tcBorders>
              <w:bottom w:val="single" w:sz="8" w:color="DADADA"/>
              <w:right w:val="single" w:sz="8" w:color="3F000B"/>
            </w:tcBorders>
            <w:shd w:val="clear" w:color="auto" w:fill="DADADA"/>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9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Ms. West</w:t>
            </w:r>
          </w:p>
        </w:tc>
        <w:tc>
          <w:tcPr>
            <w:tcW w:w="640" w:type="dxa"/>
            <w:vAlign w:val="bottom"/>
            <w:tcBorders>
              <w:right w:val="single" w:sz="8" w:color="3F000B"/>
            </w:tcBorders>
          </w:tcPr>
          <w:p>
            <w:pPr>
              <w:jc w:val="right"/>
              <w:ind w:right="18"/>
              <w:spacing w:after="0"/>
              <w:rPr>
                <w:sz w:val="20"/>
                <w:szCs w:val="20"/>
                <w:color w:val="auto"/>
              </w:rPr>
            </w:pPr>
            <w:r>
              <w:rPr>
                <w:rFonts w:ascii="Arial" w:cs="Arial" w:eastAsia="Arial" w:hAnsi="Arial"/>
                <w:sz w:val="13"/>
                <w:szCs w:val="13"/>
                <w:color w:val="auto"/>
              </w:rPr>
              <w:t>2020</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4,867</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4,518,832</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900" w:type="dxa"/>
            <w:vAlign w:val="bottom"/>
            <w:tcBorders>
              <w:left w:val="single" w:sz="8" w:color="3F000B"/>
              <w:right w:val="single" w:sz="8" w:color="3F000B"/>
            </w:tcBorders>
          </w:tcPr>
          <w:p>
            <w:pPr>
              <w:spacing w:after="0"/>
              <w:rPr>
                <w:sz w:val="17"/>
                <w:szCs w:val="17"/>
                <w:color w:val="auto"/>
              </w:rPr>
            </w:pPr>
          </w:p>
        </w:tc>
        <w:tc>
          <w:tcPr>
            <w:tcW w:w="640" w:type="dxa"/>
            <w:vAlign w:val="bottom"/>
            <w:tcBorders>
              <w:right w:val="single" w:sz="8" w:color="3F000B"/>
            </w:tcBorders>
          </w:tcPr>
          <w:p>
            <w:pPr>
              <w:jc w:val="right"/>
              <w:ind w:right="18"/>
              <w:spacing w:after="0"/>
              <w:rPr>
                <w:sz w:val="20"/>
                <w:szCs w:val="20"/>
                <w:color w:val="auto"/>
              </w:rPr>
            </w:pPr>
            <w:r>
              <w:rPr>
                <w:rFonts w:ascii="Arial" w:cs="Arial" w:eastAsia="Arial" w:hAnsi="Arial"/>
                <w:sz w:val="13"/>
                <w:szCs w:val="13"/>
                <w:color w:val="auto"/>
              </w:rPr>
              <w:t>2019</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12,600</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46,011</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162,809</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8,400</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30,674</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10,695</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900" w:type="dxa"/>
            <w:vAlign w:val="bottom"/>
            <w:tcBorders>
              <w:left w:val="single" w:sz="8" w:color="3F000B"/>
              <w:right w:val="single" w:sz="8" w:color="3F000B"/>
            </w:tcBorders>
          </w:tcPr>
          <w:p>
            <w:pPr>
              <w:spacing w:after="0"/>
              <w:rPr>
                <w:sz w:val="17"/>
                <w:szCs w:val="17"/>
                <w:color w:val="auto"/>
              </w:rPr>
            </w:pPr>
          </w:p>
        </w:tc>
        <w:tc>
          <w:tcPr>
            <w:tcW w:w="640" w:type="dxa"/>
            <w:vAlign w:val="bottom"/>
            <w:tcBorders>
              <w:right w:val="single" w:sz="8" w:color="3F000B"/>
            </w:tcBorders>
          </w:tcPr>
          <w:p>
            <w:pPr>
              <w:jc w:val="right"/>
              <w:ind w:right="18"/>
              <w:spacing w:after="0"/>
              <w:rPr>
                <w:sz w:val="20"/>
                <w:szCs w:val="20"/>
                <w:color w:val="auto"/>
              </w:rPr>
            </w:pPr>
            <w:r>
              <w:rPr>
                <w:rFonts w:ascii="Arial" w:cs="Arial" w:eastAsia="Arial" w:hAnsi="Arial"/>
                <w:sz w:val="13"/>
                <w:szCs w:val="13"/>
                <w:color w:val="auto"/>
              </w:rPr>
              <w:t>2018</w:t>
            </w:r>
          </w:p>
        </w:tc>
        <w:tc>
          <w:tcPr>
            <w:tcW w:w="78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12,375</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36,077</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134,588</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8,250</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24,051</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10,400</w:t>
            </w:r>
          </w:p>
        </w:tc>
        <w:tc>
          <w:tcPr>
            <w:tcW w:w="880" w:type="dxa"/>
            <w:vAlign w:val="bottom"/>
            <w:tcBorders>
              <w:right w:val="single" w:sz="8" w:color="3F000B"/>
            </w:tcBorders>
          </w:tcPr>
          <w:p>
            <w:pPr>
              <w:jc w:val="right"/>
              <w:ind w:right="21"/>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752,213</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3F000B"/>
            </w:tcBorders>
          </w:tcPr>
          <w:p>
            <w:pPr>
              <w:jc w:val="right"/>
              <w:ind w:right="1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900" w:type="dxa"/>
            <w:vAlign w:val="bottom"/>
            <w:tcBorders>
              <w:left w:val="single" w:sz="8" w:color="3F000B"/>
              <w:bottom w:val="single" w:sz="8" w:color="3F000B"/>
              <w:right w:val="single" w:sz="8" w:color="3F000B"/>
            </w:tcBorders>
          </w:tcPr>
          <w:p>
            <w:pPr>
              <w:spacing w:after="0"/>
              <w:rPr>
                <w:sz w:val="2"/>
                <w:szCs w:val="2"/>
                <w:color w:val="auto"/>
              </w:rPr>
            </w:pPr>
          </w:p>
        </w:tc>
        <w:tc>
          <w:tcPr>
            <w:tcW w:w="640" w:type="dxa"/>
            <w:vAlign w:val="bottom"/>
            <w:tcBorders>
              <w:bottom w:val="single" w:sz="8" w:color="3F000B"/>
              <w:right w:val="single" w:sz="8" w:color="3F000B"/>
            </w:tcBorders>
          </w:tcPr>
          <w:p>
            <w:pPr>
              <w:spacing w:after="0"/>
              <w:rPr>
                <w:sz w:val="2"/>
                <w:szCs w:val="2"/>
                <w:color w:val="auto"/>
              </w:rPr>
            </w:pPr>
          </w:p>
        </w:tc>
        <w:tc>
          <w:tcPr>
            <w:tcW w:w="780" w:type="dxa"/>
            <w:vAlign w:val="bottom"/>
            <w:tcBorders>
              <w:bottom w:val="single" w:sz="8" w:color="3F000B"/>
              <w:right w:val="single" w:sz="8" w:color="3F000B"/>
            </w:tcBorders>
          </w:tcPr>
          <w:p>
            <w:pPr>
              <w:spacing w:after="0"/>
              <w:rPr>
                <w:sz w:val="2"/>
                <w:szCs w:val="2"/>
                <w:color w:val="auto"/>
              </w:rPr>
            </w:pPr>
          </w:p>
        </w:tc>
        <w:tc>
          <w:tcPr>
            <w:tcW w:w="780" w:type="dxa"/>
            <w:vAlign w:val="bottom"/>
            <w:tcBorders>
              <w:bottom w:val="single" w:sz="8" w:color="3F000B"/>
              <w:right w:val="single" w:sz="8" w:color="3F000B"/>
            </w:tcBorders>
          </w:tcPr>
          <w:p>
            <w:pPr>
              <w:spacing w:after="0"/>
              <w:rPr>
                <w:sz w:val="2"/>
                <w:szCs w:val="2"/>
                <w:color w:val="auto"/>
              </w:rPr>
            </w:pPr>
          </w:p>
        </w:tc>
        <w:tc>
          <w:tcPr>
            <w:tcW w:w="800" w:type="dxa"/>
            <w:vAlign w:val="bottom"/>
            <w:tcBorders>
              <w:bottom w:val="single" w:sz="8" w:color="3F000B"/>
              <w:right w:val="single" w:sz="8" w:color="3F000B"/>
            </w:tcBorders>
          </w:tcPr>
          <w:p>
            <w:pPr>
              <w:spacing w:after="0"/>
              <w:rPr>
                <w:sz w:val="2"/>
                <w:szCs w:val="2"/>
                <w:color w:val="auto"/>
              </w:rPr>
            </w:pPr>
          </w:p>
        </w:tc>
        <w:tc>
          <w:tcPr>
            <w:tcW w:w="900" w:type="dxa"/>
            <w:vAlign w:val="bottom"/>
            <w:tcBorders>
              <w:bottom w:val="single" w:sz="8" w:color="3F000B"/>
              <w:right w:val="single" w:sz="8" w:color="3F000B"/>
            </w:tcBorders>
          </w:tcPr>
          <w:p>
            <w:pPr>
              <w:spacing w:after="0"/>
              <w:rPr>
                <w:sz w:val="2"/>
                <w:szCs w:val="2"/>
                <w:color w:val="auto"/>
              </w:rPr>
            </w:pPr>
          </w:p>
        </w:tc>
        <w:tc>
          <w:tcPr>
            <w:tcW w:w="800" w:type="dxa"/>
            <w:vAlign w:val="bottom"/>
            <w:tcBorders>
              <w:bottom w:val="single" w:sz="8" w:color="3F000B"/>
              <w:right w:val="single" w:sz="8" w:color="3F000B"/>
            </w:tcBorders>
          </w:tcPr>
          <w:p>
            <w:pPr>
              <w:spacing w:after="0"/>
              <w:rPr>
                <w:sz w:val="2"/>
                <w:szCs w:val="2"/>
                <w:color w:val="auto"/>
              </w:rPr>
            </w:pPr>
          </w:p>
        </w:tc>
        <w:tc>
          <w:tcPr>
            <w:tcW w:w="800" w:type="dxa"/>
            <w:vAlign w:val="bottom"/>
            <w:tcBorders>
              <w:bottom w:val="single" w:sz="8" w:color="3F000B"/>
              <w:right w:val="single" w:sz="8" w:color="3F000B"/>
            </w:tcBorders>
          </w:tcPr>
          <w:p>
            <w:pPr>
              <w:spacing w:after="0"/>
              <w:rPr>
                <w:sz w:val="2"/>
                <w:szCs w:val="2"/>
                <w:color w:val="auto"/>
              </w:rPr>
            </w:pPr>
          </w:p>
        </w:tc>
        <w:tc>
          <w:tcPr>
            <w:tcW w:w="800" w:type="dxa"/>
            <w:vAlign w:val="bottom"/>
            <w:tcBorders>
              <w:bottom w:val="single" w:sz="8" w:color="3F000B"/>
              <w:right w:val="single" w:sz="8" w:color="3F000B"/>
            </w:tcBorders>
          </w:tcPr>
          <w:p>
            <w:pPr>
              <w:spacing w:after="0"/>
              <w:rPr>
                <w:sz w:val="2"/>
                <w:szCs w:val="2"/>
                <w:color w:val="auto"/>
              </w:rPr>
            </w:pPr>
          </w:p>
        </w:tc>
        <w:tc>
          <w:tcPr>
            <w:tcW w:w="800" w:type="dxa"/>
            <w:vAlign w:val="bottom"/>
            <w:tcBorders>
              <w:bottom w:val="single" w:sz="8" w:color="3F000B"/>
              <w:right w:val="single" w:sz="8" w:color="3F000B"/>
            </w:tcBorders>
          </w:tcPr>
          <w:p>
            <w:pPr>
              <w:spacing w:after="0"/>
              <w:rPr>
                <w:sz w:val="2"/>
                <w:szCs w:val="2"/>
                <w:color w:val="auto"/>
              </w:rPr>
            </w:pPr>
          </w:p>
        </w:tc>
        <w:tc>
          <w:tcPr>
            <w:tcW w:w="880" w:type="dxa"/>
            <w:vAlign w:val="bottom"/>
            <w:tcBorders>
              <w:bottom w:val="single" w:sz="8" w:color="3F000B"/>
              <w:right w:val="single" w:sz="8" w:color="3F000B"/>
            </w:tcBorders>
          </w:tcPr>
          <w:p>
            <w:pPr>
              <w:spacing w:after="0"/>
              <w:rPr>
                <w:sz w:val="2"/>
                <w:szCs w:val="2"/>
                <w:color w:val="auto"/>
              </w:rPr>
            </w:pPr>
          </w:p>
        </w:tc>
        <w:tc>
          <w:tcPr>
            <w:tcW w:w="780" w:type="dxa"/>
            <w:vAlign w:val="bottom"/>
            <w:tcBorders>
              <w:bottom w:val="single" w:sz="8" w:color="3F000B"/>
              <w:right w:val="single" w:sz="8" w:color="3F000B"/>
            </w:tcBorders>
          </w:tcPr>
          <w:p>
            <w:pPr>
              <w:spacing w:after="0"/>
              <w:rPr>
                <w:sz w:val="2"/>
                <w:szCs w:val="2"/>
                <w:color w:val="auto"/>
              </w:rPr>
            </w:pPr>
          </w:p>
        </w:tc>
        <w:tc>
          <w:tcPr>
            <w:tcW w:w="800" w:type="dxa"/>
            <w:vAlign w:val="bottom"/>
            <w:tcBorders>
              <w:bottom w:val="single" w:sz="8" w:color="3F000B"/>
              <w:right w:val="single" w:sz="8" w:color="3F000B"/>
            </w:tcBorders>
          </w:tcPr>
          <w:p>
            <w:pPr>
              <w:spacing w:after="0"/>
              <w:rPr>
                <w:sz w:val="2"/>
                <w:szCs w:val="2"/>
                <w:color w:val="auto"/>
              </w:rPr>
            </w:pPr>
          </w:p>
        </w:tc>
        <w:tc>
          <w:tcPr>
            <w:tcW w:w="80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-1687830</wp:posOffset>
            </wp:positionV>
            <wp:extent cx="25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-1687830</wp:posOffset>
            </wp:positionV>
            <wp:extent cx="25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-1687830</wp:posOffset>
            </wp:positionV>
            <wp:extent cx="25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-1687830</wp:posOffset>
            </wp:positionV>
            <wp:extent cx="25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-1687830</wp:posOffset>
            </wp:positionV>
            <wp:extent cx="25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-1687830</wp:posOffset>
            </wp:positionV>
            <wp:extent cx="260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-1687830</wp:posOffset>
            </wp:positionV>
            <wp:extent cx="25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-1687830</wp:posOffset>
            </wp:positionV>
            <wp:extent cx="25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-1687830</wp:posOffset>
            </wp:positionV>
            <wp:extent cx="25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-1687830</wp:posOffset>
            </wp:positionV>
            <wp:extent cx="25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-1687830</wp:posOffset>
            </wp:positionV>
            <wp:extent cx="25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-1687830</wp:posOffset>
            </wp:positionV>
            <wp:extent cx="25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-2477135</wp:posOffset>
            </wp:positionV>
            <wp:extent cx="61804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366" w:lineRule="exact"/>
        <w:rPr>
          <w:sz w:val="20"/>
          <w:szCs w:val="20"/>
          <w:color w:val="auto"/>
        </w:rPr>
      </w:pPr>
    </w:p>
    <w:p>
      <w:pPr>
        <w:ind w:left="340" w:right="20" w:hanging="332"/>
        <w:spacing w:after="0" w:line="252" w:lineRule="auto"/>
        <w:tabs>
          <w:tab w:leader="none" w:pos="337" w:val="left"/>
        </w:tabs>
        <w:numPr>
          <w:ilvl w:val="0"/>
          <w:numId w:val="145"/>
        </w:numPr>
        <w:rPr>
          <w:rFonts w:ascii="Arial" w:cs="Arial" w:eastAsia="Arial" w:hAnsi="Arial"/>
          <w:sz w:val="14"/>
          <w:szCs w:val="14"/>
          <w:color w:val="auto"/>
        </w:rPr>
      </w:pPr>
      <w:r>
        <w:rPr>
          <w:rFonts w:ascii="Arial" w:cs="Arial" w:eastAsia="Arial" w:hAnsi="Arial"/>
          <w:sz w:val="14"/>
          <w:szCs w:val="14"/>
          <w:color w:val="auto"/>
        </w:rPr>
        <w:t>Employees who earn over the IRS compensation limit and/or defer any portion of their OHIP award are eligible for the Supplemental 401(k) Match, contingent on the employee contributing an amount to the 401(k) plan equal to the annual pre-tax limit established by the IRS. Ms. Buck and Messrs. Atkins, Raup, Reiman and Voskuil were eligible to receive a Supplemental 401(k) Match Contribution equal to 4.5% of the amount by which their eligible earnings (salary and OHIP) exceeded the IRS compensation limit. Mr. Walling and Ms. West were not eligible to receive a Supplemental 401(k) Match Contribution in 2020.</w:t>
      </w:r>
    </w:p>
    <w:p>
      <w:pPr>
        <w:spacing w:after="0" w:line="79" w:lineRule="exact"/>
        <w:rPr>
          <w:rFonts w:ascii="Arial" w:cs="Arial" w:eastAsia="Arial" w:hAnsi="Arial"/>
          <w:sz w:val="14"/>
          <w:szCs w:val="14"/>
          <w:color w:val="auto"/>
        </w:rPr>
      </w:pPr>
    </w:p>
    <w:p>
      <w:pPr>
        <w:ind w:left="340" w:right="120" w:hanging="332"/>
        <w:spacing w:after="0" w:line="252" w:lineRule="auto"/>
        <w:tabs>
          <w:tab w:leader="none" w:pos="332"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As are all new hires of the Company since January 1, 2007, Messrs. Atkins, Raup and Voskuil were eligible to receive a contribution to their 401(k) plan account equal to 3% of base salary and OHIP up to the maximum amount permitted by the IRS. We call this contribution the Core Retirement Contribution (“CRC”). They also were eligible to receive a Supplemental Core Retirement Contribution (“Supplemental CRC”) equal to 3% of the amount by which their eligible earnings (salary and OHIP) exceeded the IRS compensation limit. Mr. Walling and Ms. West were not eligible to receive a CRC or Supplemental CRC in 2020.</w:t>
      </w:r>
    </w:p>
    <w:p>
      <w:pPr>
        <w:spacing w:after="0" w:line="79" w:lineRule="exact"/>
        <w:rPr>
          <w:rFonts w:ascii="Arial" w:cs="Arial" w:eastAsia="Arial" w:hAnsi="Arial"/>
          <w:sz w:val="14"/>
          <w:szCs w:val="14"/>
          <w:color w:val="auto"/>
        </w:rPr>
      </w:pPr>
    </w:p>
    <w:p>
      <w:pPr>
        <w:ind w:left="340" w:right="160" w:hanging="332"/>
        <w:spacing w:after="0" w:line="273" w:lineRule="auto"/>
        <w:tabs>
          <w:tab w:leader="none" w:pos="337"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value of any personal use of Company aircraft by the NEOs is based on the Company’s aggregate incremental per-flight hour cost for the aircraft used and flight time of the applicable flight. The incremental per-flight hour cost is calculated by reference to fuel, maintenance (labor and parts), crew, landing and parking expenses.</w:t>
      </w:r>
    </w:p>
    <w:p>
      <w:pPr>
        <w:spacing w:after="0" w:line="65" w:lineRule="exact"/>
        <w:rPr>
          <w:rFonts w:ascii="Arial" w:cs="Arial" w:eastAsia="Arial" w:hAnsi="Arial"/>
          <w:sz w:val="14"/>
          <w:szCs w:val="14"/>
          <w:color w:val="auto"/>
        </w:rPr>
      </w:pPr>
    </w:p>
    <w:p>
      <w:pPr>
        <w:ind w:left="340" w:right="220" w:hanging="332"/>
        <w:spacing w:after="0" w:line="249" w:lineRule="auto"/>
        <w:tabs>
          <w:tab w:leader="none" w:pos="332" w:val="left"/>
        </w:tabs>
        <w:numPr>
          <w:ilvl w:val="0"/>
          <w:numId w:val="145"/>
        </w:numPr>
        <w:rPr>
          <w:rFonts w:ascii="Arial" w:cs="Arial" w:eastAsia="Arial" w:hAnsi="Arial"/>
          <w:sz w:val="14"/>
          <w:szCs w:val="14"/>
          <w:color w:val="auto"/>
        </w:rPr>
      </w:pPr>
      <w:r>
        <w:rPr>
          <w:rFonts w:ascii="Arial" w:cs="Arial" w:eastAsia="Arial" w:hAnsi="Arial"/>
          <w:sz w:val="14"/>
          <w:szCs w:val="14"/>
          <w:color w:val="auto"/>
        </w:rPr>
        <w:t>For Mr. Walling, includes the following benefits paid in connection with his retirement on February 29, 2020: cash separation payment of $798,120, pro-rated vesting of 2018-2020 PSUs ($927,835), accelerated vesting of 2019 and 2018 Annual RSUs ($512,884), gains from the exercise of accelerated 2018 and 2017 stock options ($281,411), health and welfare benefit continuation ($15,034) and outplacement services ($35,000). For Ms. West, includes the following benefits paid in connection with her retirement on February 29, 2020: cash separation payment of $1,054,530, pro-rated vesting of 2019 and 2018 Annual RSUs and 2017 new hire and replacement RSUs ($2,759,537), gains from the exercise of accelerated 2018 and 2017 stock options ($654,731), health and welfare benefit continuation ($15,034) and outplacement services ($35,000).</w:t>
      </w:r>
    </w:p>
    <w:p>
      <w:pPr>
        <w:spacing w:after="0" w:line="82" w:lineRule="exact"/>
        <w:rPr>
          <w:rFonts w:ascii="Arial" w:cs="Arial" w:eastAsia="Arial" w:hAnsi="Arial"/>
          <w:sz w:val="14"/>
          <w:szCs w:val="14"/>
          <w:color w:val="auto"/>
        </w:rPr>
      </w:pPr>
    </w:p>
    <w:p>
      <w:pPr>
        <w:ind w:left="320" w:hanging="312"/>
        <w:spacing w:after="0"/>
        <w:tabs>
          <w:tab w:leader="none" w:pos="32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For Mr. Raup, reflects (1) the total net amount of tax equalization payments designed to cover taxes on compensation in excess of the taxes he would have incurred in his home country and</w:t>
      </w:r>
    </w:p>
    <w:p>
      <w:pPr>
        <w:spacing w:after="0" w:line="24" w:lineRule="exact"/>
        <w:rPr>
          <w:rFonts w:ascii="Arial" w:cs="Arial" w:eastAsia="Arial" w:hAnsi="Arial"/>
          <w:sz w:val="13"/>
          <w:szCs w:val="13"/>
          <w:color w:val="auto"/>
        </w:rPr>
      </w:pPr>
    </w:p>
    <w:p>
      <w:pPr>
        <w:ind w:left="340" w:right="20"/>
        <w:spacing w:after="0" w:line="248" w:lineRule="auto"/>
        <w:rPr>
          <w:rFonts w:ascii="Arial" w:cs="Arial" w:eastAsia="Arial" w:hAnsi="Arial"/>
          <w:sz w:val="13"/>
          <w:szCs w:val="13"/>
          <w:color w:val="auto"/>
        </w:rPr>
      </w:pPr>
      <w:r>
        <w:rPr>
          <w:rFonts w:ascii="Arial" w:cs="Arial" w:eastAsia="Arial" w:hAnsi="Arial"/>
          <w:sz w:val="14"/>
          <w:szCs w:val="14"/>
          <w:color w:val="auto"/>
        </w:rPr>
        <w:t>(2) a net tax gross-up totaling $5,075 to offset amounts imputed to income as a result of the aforementioned tax equalization payments and related tax preparation fees, in each case in accordance with our standard expatriate Tax Equalization Policy. For Mr. Reiman, reflects the net tax gross-up received to offset amounts imputed to income as a result of the tax preparation benefit he received in accordance with our standard expatriate Tax Equalization Policy.</w:t>
      </w:r>
    </w:p>
    <w:p>
      <w:pPr>
        <w:spacing w:after="0" w:line="83" w:lineRule="exact"/>
        <w:rPr>
          <w:sz w:val="20"/>
          <w:szCs w:val="20"/>
          <w:color w:val="auto"/>
        </w:rPr>
      </w:pPr>
    </w:p>
    <w:p>
      <w:pPr>
        <w:ind w:left="340" w:right="20"/>
        <w:spacing w:after="0" w:line="273" w:lineRule="auto"/>
        <w:rPr>
          <w:sz w:val="20"/>
          <w:szCs w:val="20"/>
          <w:color w:val="auto"/>
        </w:rPr>
      </w:pPr>
      <w:r>
        <w:rPr>
          <w:rFonts w:ascii="Arial" w:cs="Arial" w:eastAsia="Arial" w:hAnsi="Arial"/>
          <w:sz w:val="14"/>
          <w:szCs w:val="14"/>
          <w:color w:val="auto"/>
        </w:rPr>
        <w:t>Our global mobility program, of which our Tax Equalization Policy is a part, facilitates the assignment of global talent to other countries by minimizing any financial detriment or gain to the employee from an international assignment. Messrs. Raup and Reiman are no longer on expatriate assignments.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320" w:top="890" w:right="31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3F000B"/>
        </w:rPr>
        <w:t>2020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757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75710" cy="8255"/>
                    </a:xfrm>
                    <a:prstGeom prst="rect">
                      <a:avLst/>
                    </a:prstGeom>
                    <a:noFill/>
                  </pic:spPr>
                </pic:pic>
              </a:graphicData>
            </a:graphic>
          </wp:anchor>
        </w:drawing>
      </w:r>
    </w:p>
    <w:p>
      <w:pPr>
        <w:spacing w:after="0" w:line="14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following table and explanatory footnotes provide information with regard to the potential cash award that each NEO had the opportunity to earn during 2020 under the OHIP, and with regard to PSUs and RSUs awarded to each NEO during 2020, as applicable. The Company did not grant stock options in 2020. The amounts that were actually earned under the OHIP during 2020 by the NEOs are set forth in Column (g) of the 2020 Summary Compensation Table.</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120" w:type="dxa"/>
            <w:vAlign w:val="bottom"/>
            <w:tcBorders>
              <w:top w:val="single" w:sz="8" w:color="3F000B"/>
              <w:left w:val="single" w:sz="8" w:color="3F000B"/>
              <w:right w:val="single" w:sz="8" w:color="DADADA"/>
            </w:tcBorders>
            <w:shd w:val="clear" w:color="auto" w:fill="3F000B"/>
          </w:tcPr>
          <w:p>
            <w:pPr>
              <w:spacing w:after="0"/>
              <w:rPr>
                <w:sz w:val="20"/>
                <w:szCs w:val="20"/>
                <w:color w:val="auto"/>
              </w:rPr>
            </w:pPr>
          </w:p>
        </w:tc>
        <w:tc>
          <w:tcPr>
            <w:tcW w:w="1100" w:type="dxa"/>
            <w:vAlign w:val="bottom"/>
            <w:tcBorders>
              <w:top w:val="single" w:sz="8" w:color="3F000B"/>
              <w:right w:val="single" w:sz="8" w:color="3F000B"/>
            </w:tcBorders>
            <w:shd w:val="clear" w:color="auto" w:fill="3F000B"/>
          </w:tcPr>
          <w:p>
            <w:pPr>
              <w:spacing w:after="0"/>
              <w:rPr>
                <w:sz w:val="20"/>
                <w:szCs w:val="20"/>
                <w:color w:val="auto"/>
              </w:rPr>
            </w:pPr>
          </w:p>
        </w:tc>
        <w:tc>
          <w:tcPr>
            <w:tcW w:w="1120" w:type="dxa"/>
            <w:vAlign w:val="bottom"/>
            <w:tcBorders>
              <w:top w:val="single" w:sz="8" w:color="3F000B"/>
              <w:right w:val="single" w:sz="8" w:color="3F000B"/>
            </w:tcBorders>
            <w:shd w:val="clear" w:color="auto" w:fill="3F000B"/>
          </w:tcPr>
          <w:p>
            <w:pPr>
              <w:spacing w:after="0"/>
              <w:rPr>
                <w:sz w:val="20"/>
                <w:szCs w:val="20"/>
                <w:color w:val="auto"/>
              </w:rPr>
            </w:pPr>
          </w:p>
        </w:tc>
        <w:tc>
          <w:tcPr>
            <w:tcW w:w="112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Estimated Future</w:t>
            </w:r>
          </w:p>
        </w:tc>
        <w:tc>
          <w:tcPr>
            <w:tcW w:w="1120" w:type="dxa"/>
            <w:vAlign w:val="bottom"/>
            <w:tcBorders>
              <w:top w:val="single" w:sz="8" w:color="3F000B"/>
              <w:right w:val="single" w:sz="8" w:color="DADADA"/>
            </w:tcBorders>
            <w:shd w:val="clear" w:color="auto" w:fill="3F000B"/>
          </w:tcPr>
          <w:p>
            <w:pPr>
              <w:spacing w:after="0"/>
              <w:rPr>
                <w:sz w:val="20"/>
                <w:szCs w:val="20"/>
                <w:color w:val="auto"/>
              </w:rPr>
            </w:pPr>
          </w:p>
        </w:tc>
        <w:tc>
          <w:tcPr>
            <w:tcW w:w="1140" w:type="dxa"/>
            <w:vAlign w:val="bottom"/>
            <w:tcBorders>
              <w:top w:val="single" w:sz="8" w:color="3F000B"/>
              <w:right w:val="single" w:sz="8" w:color="3F000B"/>
            </w:tcBorders>
            <w:shd w:val="clear" w:color="auto" w:fill="3F000B"/>
          </w:tcPr>
          <w:p>
            <w:pPr>
              <w:spacing w:after="0"/>
              <w:rPr>
                <w:sz w:val="20"/>
                <w:szCs w:val="20"/>
                <w:color w:val="auto"/>
              </w:rPr>
            </w:pPr>
          </w:p>
        </w:tc>
        <w:tc>
          <w:tcPr>
            <w:tcW w:w="112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Estimated Future</w:t>
            </w:r>
          </w:p>
        </w:tc>
        <w:tc>
          <w:tcPr>
            <w:tcW w:w="1120" w:type="dxa"/>
            <w:vAlign w:val="bottom"/>
            <w:tcBorders>
              <w:top w:val="single" w:sz="8" w:color="3F000B"/>
              <w:right w:val="single" w:sz="8" w:color="DADADA"/>
            </w:tcBorders>
            <w:shd w:val="clear" w:color="auto" w:fill="3F000B"/>
          </w:tcPr>
          <w:p>
            <w:pPr>
              <w:spacing w:after="0"/>
              <w:rPr>
                <w:sz w:val="20"/>
                <w:szCs w:val="20"/>
                <w:color w:val="auto"/>
              </w:rPr>
            </w:pPr>
          </w:p>
        </w:tc>
        <w:tc>
          <w:tcPr>
            <w:tcW w:w="1120" w:type="dxa"/>
            <w:vAlign w:val="bottom"/>
            <w:tcBorders>
              <w:top w:val="single" w:sz="8" w:color="3F000B"/>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94"/>
              </w:rPr>
              <w:t>All Other</w:t>
            </w:r>
          </w:p>
        </w:tc>
        <w:tc>
          <w:tcPr>
            <w:tcW w:w="1120" w:type="dxa"/>
            <w:vAlign w:val="bottom"/>
            <w:tcBorders>
              <w:top w:val="single" w:sz="8" w:color="3F000B"/>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92"/>
              </w:rPr>
              <w:t>Grant Date</w:t>
            </w:r>
          </w:p>
        </w:tc>
        <w:tc>
          <w:tcPr>
            <w:tcW w:w="0" w:type="dxa"/>
            <w:vAlign w:val="bottom"/>
          </w:tcPr>
          <w:p>
            <w:pPr>
              <w:spacing w:after="0"/>
              <w:rPr>
                <w:sz w:val="1"/>
                <w:szCs w:val="1"/>
                <w:color w:val="auto"/>
              </w:rPr>
            </w:pPr>
          </w:p>
        </w:tc>
      </w:tr>
      <w:tr>
        <w:trPr>
          <w:trHeight w:val="122"/>
        </w:trPr>
        <w:tc>
          <w:tcPr>
            <w:tcW w:w="1120" w:type="dxa"/>
            <w:vAlign w:val="bottom"/>
            <w:tcBorders>
              <w:left w:val="single" w:sz="8" w:color="3F000B"/>
              <w:right w:val="single" w:sz="8" w:color="DADADA"/>
            </w:tcBorders>
            <w:shd w:val="clear" w:color="auto" w:fill="3F000B"/>
          </w:tcPr>
          <w:p>
            <w:pPr>
              <w:spacing w:after="0"/>
              <w:rPr>
                <w:sz w:val="10"/>
                <w:szCs w:val="10"/>
                <w:color w:val="auto"/>
              </w:rPr>
            </w:pPr>
          </w:p>
        </w:tc>
        <w:tc>
          <w:tcPr>
            <w:tcW w:w="1100" w:type="dxa"/>
            <w:vAlign w:val="bottom"/>
            <w:tcBorders>
              <w:right w:val="single" w:sz="8" w:color="3F000B"/>
            </w:tcBorders>
            <w:shd w:val="clear" w:color="auto" w:fill="3F000B"/>
          </w:tcPr>
          <w:p>
            <w:pPr>
              <w:spacing w:after="0"/>
              <w:rPr>
                <w:sz w:val="10"/>
                <w:szCs w:val="10"/>
                <w:color w:val="auto"/>
              </w:rPr>
            </w:pPr>
          </w:p>
        </w:tc>
        <w:tc>
          <w:tcPr>
            <w:tcW w:w="1120" w:type="dxa"/>
            <w:vAlign w:val="bottom"/>
            <w:tcBorders>
              <w:right w:val="single" w:sz="8" w:color="3F000B"/>
            </w:tcBorders>
            <w:shd w:val="clear" w:color="auto" w:fill="3F000B"/>
          </w:tcPr>
          <w:p>
            <w:pPr>
              <w:spacing w:after="0"/>
              <w:rPr>
                <w:sz w:val="10"/>
                <w:szCs w:val="10"/>
                <w:color w:val="auto"/>
              </w:rPr>
            </w:pPr>
          </w:p>
        </w:tc>
        <w:tc>
          <w:tcPr>
            <w:tcW w:w="112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87"/>
              </w:rPr>
              <w:t>Payouts Under</w:t>
            </w:r>
          </w:p>
        </w:tc>
        <w:tc>
          <w:tcPr>
            <w:tcW w:w="1120" w:type="dxa"/>
            <w:vAlign w:val="bottom"/>
            <w:tcBorders>
              <w:right w:val="single" w:sz="8" w:color="DADADA"/>
            </w:tcBorders>
            <w:shd w:val="clear" w:color="auto" w:fill="3F000B"/>
          </w:tcPr>
          <w:p>
            <w:pPr>
              <w:spacing w:after="0"/>
              <w:rPr>
                <w:sz w:val="10"/>
                <w:szCs w:val="10"/>
                <w:color w:val="auto"/>
              </w:rPr>
            </w:pPr>
          </w:p>
        </w:tc>
        <w:tc>
          <w:tcPr>
            <w:tcW w:w="1140" w:type="dxa"/>
            <w:vAlign w:val="bottom"/>
            <w:tcBorders>
              <w:right w:val="single" w:sz="8" w:color="3F000B"/>
            </w:tcBorders>
            <w:shd w:val="clear" w:color="auto" w:fill="3F000B"/>
          </w:tcPr>
          <w:p>
            <w:pPr>
              <w:spacing w:after="0"/>
              <w:rPr>
                <w:sz w:val="10"/>
                <w:szCs w:val="10"/>
                <w:color w:val="auto"/>
              </w:rPr>
            </w:pPr>
          </w:p>
        </w:tc>
        <w:tc>
          <w:tcPr>
            <w:tcW w:w="112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87"/>
              </w:rPr>
              <w:t>Payouts Under</w:t>
            </w:r>
          </w:p>
        </w:tc>
        <w:tc>
          <w:tcPr>
            <w:tcW w:w="1120" w:type="dxa"/>
            <w:vAlign w:val="bottom"/>
            <w:tcBorders>
              <w:right w:val="single" w:sz="8" w:color="DADADA"/>
            </w:tcBorders>
            <w:shd w:val="clear" w:color="auto" w:fill="3F000B"/>
          </w:tcPr>
          <w:p>
            <w:pPr>
              <w:spacing w:after="0"/>
              <w:rPr>
                <w:sz w:val="10"/>
                <w:szCs w:val="10"/>
                <w:color w:val="auto"/>
              </w:rPr>
            </w:pPr>
          </w:p>
        </w:tc>
        <w:tc>
          <w:tcPr>
            <w:tcW w:w="1120" w:type="dxa"/>
            <w:vAlign w:val="bottom"/>
            <w:tcBorders>
              <w:right w:val="single" w:sz="8" w:color="DADADA"/>
            </w:tcBorders>
            <w:vMerge w:val="continue"/>
            <w:shd w:val="clear" w:color="auto" w:fill="3F000B"/>
          </w:tcPr>
          <w:p>
            <w:pPr>
              <w:spacing w:after="0"/>
              <w:rPr>
                <w:sz w:val="10"/>
                <w:szCs w:val="10"/>
                <w:color w:val="auto"/>
              </w:rPr>
            </w:pPr>
          </w:p>
        </w:tc>
        <w:tc>
          <w:tcPr>
            <w:tcW w:w="1120" w:type="dxa"/>
            <w:vAlign w:val="bottom"/>
            <w:tcBorders>
              <w:right w:val="single" w:sz="8" w:color="3F000B"/>
            </w:tcBorders>
            <w:vMerge w:val="continue"/>
            <w:shd w:val="clear" w:color="auto" w:fill="3F000B"/>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120" w:type="dxa"/>
            <w:vAlign w:val="bottom"/>
            <w:tcBorders>
              <w:left w:val="single" w:sz="8" w:color="3F000B"/>
              <w:right w:val="single" w:sz="8" w:color="DADADA"/>
            </w:tcBorders>
            <w:shd w:val="clear" w:color="auto" w:fill="3F000B"/>
          </w:tcPr>
          <w:p>
            <w:pPr>
              <w:spacing w:after="0"/>
              <w:rPr>
                <w:sz w:val="3"/>
                <w:szCs w:val="3"/>
                <w:color w:val="auto"/>
              </w:rPr>
            </w:pPr>
          </w:p>
        </w:tc>
        <w:tc>
          <w:tcPr>
            <w:tcW w:w="1100" w:type="dxa"/>
            <w:vAlign w:val="bottom"/>
            <w:tcBorders>
              <w:right w:val="single" w:sz="8" w:color="3F000B"/>
            </w:tcBorders>
            <w:shd w:val="clear" w:color="auto" w:fill="3F000B"/>
          </w:tcPr>
          <w:p>
            <w:pPr>
              <w:spacing w:after="0"/>
              <w:rPr>
                <w:sz w:val="3"/>
                <w:szCs w:val="3"/>
                <w:color w:val="auto"/>
              </w:rPr>
            </w:pPr>
          </w:p>
        </w:tc>
        <w:tc>
          <w:tcPr>
            <w:tcW w:w="1120" w:type="dxa"/>
            <w:vAlign w:val="bottom"/>
            <w:tcBorders>
              <w:right w:val="single" w:sz="8" w:color="3F000B"/>
            </w:tcBorders>
            <w:shd w:val="clear" w:color="auto" w:fill="3F000B"/>
          </w:tcPr>
          <w:p>
            <w:pPr>
              <w:spacing w:after="0"/>
              <w:rPr>
                <w:sz w:val="3"/>
                <w:szCs w:val="3"/>
                <w:color w:val="auto"/>
              </w:rPr>
            </w:pPr>
          </w:p>
        </w:tc>
        <w:tc>
          <w:tcPr>
            <w:tcW w:w="1120" w:type="dxa"/>
            <w:vAlign w:val="bottom"/>
            <w:tcBorders>
              <w:right w:val="single" w:sz="8" w:color="3F000B"/>
            </w:tcBorders>
            <w:vMerge w:val="continue"/>
            <w:shd w:val="clear" w:color="auto" w:fill="3F000B"/>
          </w:tcPr>
          <w:p>
            <w:pPr>
              <w:spacing w:after="0"/>
              <w:rPr>
                <w:sz w:val="3"/>
                <w:szCs w:val="3"/>
                <w:color w:val="auto"/>
              </w:rPr>
            </w:pPr>
          </w:p>
        </w:tc>
        <w:tc>
          <w:tcPr>
            <w:tcW w:w="1120" w:type="dxa"/>
            <w:vAlign w:val="bottom"/>
            <w:tcBorders>
              <w:right w:val="single" w:sz="8" w:color="DADADA"/>
            </w:tcBorders>
            <w:shd w:val="clear" w:color="auto" w:fill="3F000B"/>
          </w:tcPr>
          <w:p>
            <w:pPr>
              <w:spacing w:after="0"/>
              <w:rPr>
                <w:sz w:val="3"/>
                <w:szCs w:val="3"/>
                <w:color w:val="auto"/>
              </w:rPr>
            </w:pPr>
          </w:p>
        </w:tc>
        <w:tc>
          <w:tcPr>
            <w:tcW w:w="1140" w:type="dxa"/>
            <w:vAlign w:val="bottom"/>
            <w:tcBorders>
              <w:right w:val="single" w:sz="8" w:color="3F000B"/>
            </w:tcBorders>
            <w:shd w:val="clear" w:color="auto" w:fill="3F000B"/>
          </w:tcPr>
          <w:p>
            <w:pPr>
              <w:spacing w:after="0"/>
              <w:rPr>
                <w:sz w:val="3"/>
                <w:szCs w:val="3"/>
                <w:color w:val="auto"/>
              </w:rPr>
            </w:pPr>
          </w:p>
        </w:tc>
        <w:tc>
          <w:tcPr>
            <w:tcW w:w="1120" w:type="dxa"/>
            <w:vAlign w:val="bottom"/>
            <w:tcBorders>
              <w:right w:val="single" w:sz="8" w:color="3F000B"/>
            </w:tcBorders>
            <w:vMerge w:val="continue"/>
            <w:shd w:val="clear" w:color="auto" w:fill="3F000B"/>
          </w:tcPr>
          <w:p>
            <w:pPr>
              <w:spacing w:after="0"/>
              <w:rPr>
                <w:sz w:val="3"/>
                <w:szCs w:val="3"/>
                <w:color w:val="auto"/>
              </w:rPr>
            </w:pPr>
          </w:p>
        </w:tc>
        <w:tc>
          <w:tcPr>
            <w:tcW w:w="1120" w:type="dxa"/>
            <w:vAlign w:val="bottom"/>
            <w:tcBorders>
              <w:right w:val="single" w:sz="8" w:color="DADADA"/>
            </w:tcBorders>
            <w:shd w:val="clear" w:color="auto" w:fill="3F000B"/>
          </w:tcPr>
          <w:p>
            <w:pPr>
              <w:spacing w:after="0"/>
              <w:rPr>
                <w:sz w:val="3"/>
                <w:szCs w:val="3"/>
                <w:color w:val="auto"/>
              </w:rPr>
            </w:pPr>
          </w:p>
        </w:tc>
        <w:tc>
          <w:tcPr>
            <w:tcW w:w="1120" w:type="dxa"/>
            <w:vAlign w:val="bottom"/>
            <w:tcBorders>
              <w:right w:val="single" w:sz="8" w:color="DADADA"/>
            </w:tcBorders>
            <w:vMerge w:val="restart"/>
            <w:shd w:val="clear" w:color="auto" w:fill="3F000B"/>
          </w:tcPr>
          <w:p>
            <w:pPr>
              <w:jc w:val="center"/>
              <w:ind w:right="2"/>
              <w:spacing w:after="0"/>
              <w:rPr>
                <w:sz w:val="20"/>
                <w:szCs w:val="20"/>
                <w:color w:val="auto"/>
              </w:rPr>
            </w:pPr>
            <w:r>
              <w:rPr>
                <w:rFonts w:ascii="Arial" w:cs="Arial" w:eastAsia="Arial" w:hAnsi="Arial"/>
                <w:sz w:val="11"/>
                <w:szCs w:val="11"/>
                <w:b w:val="1"/>
                <w:bCs w:val="1"/>
                <w:color w:val="FFFFFF"/>
                <w:w w:val="86"/>
              </w:rPr>
              <w:t>Stock</w:t>
            </w:r>
          </w:p>
        </w:tc>
        <w:tc>
          <w:tcPr>
            <w:tcW w:w="112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98"/>
              </w:rPr>
              <w:t>Fair</w:t>
            </w:r>
          </w:p>
        </w:tc>
        <w:tc>
          <w:tcPr>
            <w:tcW w:w="0" w:type="dxa"/>
            <w:vAlign w:val="bottom"/>
          </w:tcPr>
          <w:p>
            <w:pPr>
              <w:spacing w:after="0"/>
              <w:rPr>
                <w:sz w:val="1"/>
                <w:szCs w:val="1"/>
                <w:color w:val="auto"/>
              </w:rPr>
            </w:pPr>
          </w:p>
        </w:tc>
      </w:tr>
      <w:tr>
        <w:trPr>
          <w:trHeight w:val="108"/>
        </w:trPr>
        <w:tc>
          <w:tcPr>
            <w:tcW w:w="1120" w:type="dxa"/>
            <w:vAlign w:val="bottom"/>
            <w:tcBorders>
              <w:left w:val="single" w:sz="8" w:color="3F000B"/>
              <w:right w:val="single" w:sz="8" w:color="DADADA"/>
            </w:tcBorders>
            <w:shd w:val="clear" w:color="auto" w:fill="3F000B"/>
          </w:tcPr>
          <w:p>
            <w:pPr>
              <w:spacing w:after="0"/>
              <w:rPr>
                <w:sz w:val="9"/>
                <w:szCs w:val="9"/>
                <w:color w:val="auto"/>
              </w:rPr>
            </w:pPr>
          </w:p>
        </w:tc>
        <w:tc>
          <w:tcPr>
            <w:tcW w:w="1100" w:type="dxa"/>
            <w:vAlign w:val="bottom"/>
            <w:tcBorders>
              <w:right w:val="single" w:sz="8" w:color="3F000B"/>
            </w:tcBorders>
            <w:shd w:val="clear" w:color="auto" w:fill="3F000B"/>
          </w:tcPr>
          <w:p>
            <w:pPr>
              <w:spacing w:after="0"/>
              <w:rPr>
                <w:sz w:val="9"/>
                <w:szCs w:val="9"/>
                <w:color w:val="auto"/>
              </w:rPr>
            </w:pPr>
          </w:p>
        </w:tc>
        <w:tc>
          <w:tcPr>
            <w:tcW w:w="1120" w:type="dxa"/>
            <w:vAlign w:val="bottom"/>
            <w:tcBorders>
              <w:right w:val="single" w:sz="8" w:color="3F000B"/>
            </w:tcBorders>
            <w:shd w:val="clear" w:color="auto" w:fill="3F000B"/>
          </w:tcPr>
          <w:p>
            <w:pPr>
              <w:spacing w:after="0"/>
              <w:rPr>
                <w:sz w:val="9"/>
                <w:szCs w:val="9"/>
                <w:color w:val="auto"/>
              </w:rPr>
            </w:pPr>
          </w:p>
        </w:tc>
        <w:tc>
          <w:tcPr>
            <w:tcW w:w="112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91"/>
              </w:rPr>
              <w:t>Non-Equity Incentive</w:t>
            </w:r>
          </w:p>
        </w:tc>
        <w:tc>
          <w:tcPr>
            <w:tcW w:w="1120" w:type="dxa"/>
            <w:vAlign w:val="bottom"/>
            <w:tcBorders>
              <w:right w:val="single" w:sz="8" w:color="DADADA"/>
            </w:tcBorders>
            <w:shd w:val="clear" w:color="auto" w:fill="3F000B"/>
          </w:tcPr>
          <w:p>
            <w:pPr>
              <w:spacing w:after="0"/>
              <w:rPr>
                <w:sz w:val="9"/>
                <w:szCs w:val="9"/>
                <w:color w:val="auto"/>
              </w:rPr>
            </w:pPr>
          </w:p>
        </w:tc>
        <w:tc>
          <w:tcPr>
            <w:tcW w:w="1140" w:type="dxa"/>
            <w:vAlign w:val="bottom"/>
            <w:tcBorders>
              <w:right w:val="single" w:sz="8" w:color="3F000B"/>
            </w:tcBorders>
            <w:shd w:val="clear" w:color="auto" w:fill="3F000B"/>
          </w:tcPr>
          <w:p>
            <w:pPr>
              <w:spacing w:after="0"/>
              <w:rPr>
                <w:sz w:val="9"/>
                <w:szCs w:val="9"/>
                <w:color w:val="auto"/>
              </w:rPr>
            </w:pPr>
          </w:p>
        </w:tc>
        <w:tc>
          <w:tcPr>
            <w:tcW w:w="112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90"/>
              </w:rPr>
              <w:t>Equity Incentive</w:t>
            </w:r>
          </w:p>
        </w:tc>
        <w:tc>
          <w:tcPr>
            <w:tcW w:w="1120" w:type="dxa"/>
            <w:vAlign w:val="bottom"/>
            <w:tcBorders>
              <w:right w:val="single" w:sz="8" w:color="DADADA"/>
            </w:tcBorders>
            <w:shd w:val="clear" w:color="auto" w:fill="3F000B"/>
          </w:tcPr>
          <w:p>
            <w:pPr>
              <w:spacing w:after="0"/>
              <w:rPr>
                <w:sz w:val="9"/>
                <w:szCs w:val="9"/>
                <w:color w:val="auto"/>
              </w:rPr>
            </w:pPr>
          </w:p>
        </w:tc>
        <w:tc>
          <w:tcPr>
            <w:tcW w:w="1120" w:type="dxa"/>
            <w:vAlign w:val="bottom"/>
            <w:tcBorders>
              <w:right w:val="single" w:sz="8" w:color="DADADA"/>
            </w:tcBorders>
            <w:vMerge w:val="continue"/>
            <w:shd w:val="clear" w:color="auto" w:fill="3F000B"/>
          </w:tcPr>
          <w:p>
            <w:pPr>
              <w:spacing w:after="0"/>
              <w:rPr>
                <w:sz w:val="9"/>
                <w:szCs w:val="9"/>
                <w:color w:val="auto"/>
              </w:rPr>
            </w:pPr>
          </w:p>
        </w:tc>
        <w:tc>
          <w:tcPr>
            <w:tcW w:w="1120" w:type="dxa"/>
            <w:vAlign w:val="bottom"/>
            <w:tcBorders>
              <w:right w:val="single" w:sz="8" w:color="3F000B"/>
            </w:tcBorders>
            <w:vMerge w:val="continue"/>
            <w:shd w:val="clear" w:color="auto" w:fill="3F000B"/>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20" w:type="dxa"/>
            <w:vAlign w:val="bottom"/>
            <w:tcBorders>
              <w:left w:val="single" w:sz="8" w:color="3F000B"/>
              <w:right w:val="single" w:sz="8" w:color="DADADA"/>
            </w:tcBorders>
            <w:shd w:val="clear" w:color="auto" w:fill="3F000B"/>
          </w:tcPr>
          <w:p>
            <w:pPr>
              <w:spacing w:after="0"/>
              <w:rPr>
                <w:sz w:val="4"/>
                <w:szCs w:val="4"/>
                <w:color w:val="auto"/>
              </w:rPr>
            </w:pPr>
          </w:p>
        </w:tc>
        <w:tc>
          <w:tcPr>
            <w:tcW w:w="1100" w:type="dxa"/>
            <w:vAlign w:val="bottom"/>
            <w:tcBorders>
              <w:right w:val="single" w:sz="8" w:color="3F000B"/>
            </w:tcBorders>
            <w:shd w:val="clear" w:color="auto" w:fill="3F000B"/>
          </w:tcPr>
          <w:p>
            <w:pPr>
              <w:spacing w:after="0"/>
              <w:rPr>
                <w:sz w:val="4"/>
                <w:szCs w:val="4"/>
                <w:color w:val="auto"/>
              </w:rPr>
            </w:pPr>
          </w:p>
        </w:tc>
        <w:tc>
          <w:tcPr>
            <w:tcW w:w="1120" w:type="dxa"/>
            <w:vAlign w:val="bottom"/>
            <w:tcBorders>
              <w:right w:val="single" w:sz="8" w:color="3F000B"/>
            </w:tcBorders>
            <w:shd w:val="clear" w:color="auto" w:fill="3F000B"/>
          </w:tcPr>
          <w:p>
            <w:pPr>
              <w:spacing w:after="0"/>
              <w:rPr>
                <w:sz w:val="4"/>
                <w:szCs w:val="4"/>
                <w:color w:val="auto"/>
              </w:rPr>
            </w:pPr>
          </w:p>
        </w:tc>
        <w:tc>
          <w:tcPr>
            <w:tcW w:w="1120" w:type="dxa"/>
            <w:vAlign w:val="bottom"/>
            <w:tcBorders>
              <w:right w:val="single" w:sz="8" w:color="3F000B"/>
            </w:tcBorders>
            <w:vMerge w:val="continue"/>
            <w:shd w:val="clear" w:color="auto" w:fill="3F000B"/>
          </w:tcPr>
          <w:p>
            <w:pPr>
              <w:spacing w:after="0"/>
              <w:rPr>
                <w:sz w:val="4"/>
                <w:szCs w:val="4"/>
                <w:color w:val="auto"/>
              </w:rPr>
            </w:pPr>
          </w:p>
        </w:tc>
        <w:tc>
          <w:tcPr>
            <w:tcW w:w="1120" w:type="dxa"/>
            <w:vAlign w:val="bottom"/>
            <w:tcBorders>
              <w:right w:val="single" w:sz="8" w:color="DADADA"/>
            </w:tcBorders>
            <w:shd w:val="clear" w:color="auto" w:fill="3F000B"/>
          </w:tcPr>
          <w:p>
            <w:pPr>
              <w:spacing w:after="0"/>
              <w:rPr>
                <w:sz w:val="4"/>
                <w:szCs w:val="4"/>
                <w:color w:val="auto"/>
              </w:rPr>
            </w:pPr>
          </w:p>
        </w:tc>
        <w:tc>
          <w:tcPr>
            <w:tcW w:w="1140" w:type="dxa"/>
            <w:vAlign w:val="bottom"/>
            <w:tcBorders>
              <w:right w:val="single" w:sz="8" w:color="3F000B"/>
            </w:tcBorders>
            <w:shd w:val="clear" w:color="auto" w:fill="3F000B"/>
          </w:tcPr>
          <w:p>
            <w:pPr>
              <w:spacing w:after="0"/>
              <w:rPr>
                <w:sz w:val="4"/>
                <w:szCs w:val="4"/>
                <w:color w:val="auto"/>
              </w:rPr>
            </w:pPr>
          </w:p>
        </w:tc>
        <w:tc>
          <w:tcPr>
            <w:tcW w:w="1120" w:type="dxa"/>
            <w:vAlign w:val="bottom"/>
            <w:tcBorders>
              <w:right w:val="single" w:sz="8" w:color="3F000B"/>
            </w:tcBorders>
            <w:vMerge w:val="continue"/>
            <w:shd w:val="clear" w:color="auto" w:fill="3F000B"/>
          </w:tcPr>
          <w:p>
            <w:pPr>
              <w:spacing w:after="0"/>
              <w:rPr>
                <w:sz w:val="4"/>
                <w:szCs w:val="4"/>
                <w:color w:val="auto"/>
              </w:rPr>
            </w:pPr>
          </w:p>
        </w:tc>
        <w:tc>
          <w:tcPr>
            <w:tcW w:w="1120" w:type="dxa"/>
            <w:vAlign w:val="bottom"/>
            <w:tcBorders>
              <w:right w:val="single" w:sz="8" w:color="DADADA"/>
            </w:tcBorders>
            <w:shd w:val="clear" w:color="auto" w:fill="3F000B"/>
          </w:tcPr>
          <w:p>
            <w:pPr>
              <w:spacing w:after="0"/>
              <w:rPr>
                <w:sz w:val="4"/>
                <w:szCs w:val="4"/>
                <w:color w:val="auto"/>
              </w:rPr>
            </w:pPr>
          </w:p>
        </w:tc>
        <w:tc>
          <w:tcPr>
            <w:tcW w:w="112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1"/>
                <w:szCs w:val="11"/>
                <w:b w:val="1"/>
                <w:bCs w:val="1"/>
                <w:color w:val="FFFFFF"/>
                <w:w w:val="92"/>
              </w:rPr>
              <w:t>Awards:</w:t>
            </w:r>
          </w:p>
        </w:tc>
        <w:tc>
          <w:tcPr>
            <w:tcW w:w="1120" w:type="dxa"/>
            <w:vAlign w:val="bottom"/>
            <w:tcBorders>
              <w:right w:val="single" w:sz="8" w:color="3F000B"/>
            </w:tcBorders>
            <w:vMerge w:val="restart"/>
            <w:shd w:val="clear" w:color="auto" w:fill="3F000B"/>
          </w:tcPr>
          <w:p>
            <w:pPr>
              <w:jc w:val="center"/>
              <w:ind w:right="2"/>
              <w:spacing w:after="0"/>
              <w:rPr>
                <w:sz w:val="20"/>
                <w:szCs w:val="20"/>
                <w:color w:val="auto"/>
              </w:rPr>
            </w:pPr>
            <w:r>
              <w:rPr>
                <w:rFonts w:ascii="Arial" w:cs="Arial" w:eastAsia="Arial" w:hAnsi="Arial"/>
                <w:sz w:val="11"/>
                <w:szCs w:val="11"/>
                <w:b w:val="1"/>
                <w:bCs w:val="1"/>
                <w:color w:val="FFFFFF"/>
                <w:w w:val="88"/>
              </w:rPr>
              <w:t>Value</w:t>
            </w:r>
          </w:p>
        </w:tc>
        <w:tc>
          <w:tcPr>
            <w:tcW w:w="0" w:type="dxa"/>
            <w:vAlign w:val="bottom"/>
          </w:tcPr>
          <w:p>
            <w:pPr>
              <w:spacing w:after="0"/>
              <w:rPr>
                <w:sz w:val="1"/>
                <w:szCs w:val="1"/>
                <w:color w:val="auto"/>
              </w:rPr>
            </w:pPr>
          </w:p>
        </w:tc>
      </w:tr>
      <w:tr>
        <w:trPr>
          <w:trHeight w:val="117"/>
        </w:trPr>
        <w:tc>
          <w:tcPr>
            <w:tcW w:w="1120" w:type="dxa"/>
            <w:vAlign w:val="bottom"/>
            <w:tcBorders>
              <w:left w:val="single" w:sz="8" w:color="3F000B"/>
              <w:right w:val="single" w:sz="8" w:color="DADADA"/>
            </w:tcBorders>
            <w:shd w:val="clear" w:color="auto" w:fill="3F000B"/>
          </w:tcPr>
          <w:p>
            <w:pPr>
              <w:spacing w:after="0"/>
              <w:rPr>
                <w:sz w:val="10"/>
                <w:szCs w:val="10"/>
                <w:color w:val="auto"/>
              </w:rPr>
            </w:pPr>
          </w:p>
        </w:tc>
        <w:tc>
          <w:tcPr>
            <w:tcW w:w="1100" w:type="dxa"/>
            <w:vAlign w:val="bottom"/>
            <w:tcBorders>
              <w:right w:val="single" w:sz="8" w:color="3F000B"/>
            </w:tcBorders>
            <w:shd w:val="clear" w:color="auto" w:fill="3F000B"/>
          </w:tcPr>
          <w:p>
            <w:pPr>
              <w:spacing w:after="0"/>
              <w:rPr>
                <w:sz w:val="10"/>
                <w:szCs w:val="10"/>
                <w:color w:val="auto"/>
              </w:rPr>
            </w:pPr>
          </w:p>
        </w:tc>
        <w:tc>
          <w:tcPr>
            <w:tcW w:w="1120" w:type="dxa"/>
            <w:vAlign w:val="bottom"/>
            <w:tcBorders>
              <w:right w:val="single" w:sz="8" w:color="3F000B"/>
            </w:tcBorders>
            <w:shd w:val="clear" w:color="auto" w:fill="3F000B"/>
          </w:tcPr>
          <w:p>
            <w:pPr>
              <w:spacing w:after="0"/>
              <w:rPr>
                <w:sz w:val="10"/>
                <w:szCs w:val="10"/>
                <w:color w:val="auto"/>
              </w:rPr>
            </w:pPr>
          </w:p>
        </w:tc>
        <w:tc>
          <w:tcPr>
            <w:tcW w:w="1120" w:type="dxa"/>
            <w:vAlign w:val="bottom"/>
            <w:tcBorders>
              <w:right w:val="single" w:sz="8" w:color="3F000B"/>
            </w:tcBorders>
            <w:shd w:val="clear" w:color="auto" w:fill="3F000B"/>
          </w:tcPr>
          <w:p>
            <w:pPr>
              <w:jc w:val="center"/>
              <w:spacing w:after="0" w:line="117" w:lineRule="exact"/>
              <w:rPr>
                <w:sz w:val="20"/>
                <w:szCs w:val="20"/>
                <w:color w:val="auto"/>
              </w:rPr>
            </w:pPr>
            <w:r>
              <w:rPr>
                <w:rFonts w:ascii="Arial" w:cs="Arial" w:eastAsia="Arial" w:hAnsi="Arial"/>
                <w:sz w:val="10"/>
                <w:szCs w:val="10"/>
                <w:b w:val="1"/>
                <w:bCs w:val="1"/>
                <w:color w:val="FFFFFF"/>
                <w:w w:val="96"/>
              </w:rPr>
              <w:t>Plan Awards</w:t>
            </w:r>
            <w:r>
              <w:rPr>
                <w:rFonts w:ascii="Arial" w:cs="Arial" w:eastAsia="Arial" w:hAnsi="Arial"/>
                <w:sz w:val="13"/>
                <w:szCs w:val="13"/>
                <w:b w:val="1"/>
                <w:bCs w:val="1"/>
                <w:color w:val="FFFFFF"/>
                <w:w w:val="96"/>
                <w:vertAlign w:val="superscript"/>
              </w:rPr>
              <w:t>(2)</w:t>
            </w:r>
          </w:p>
        </w:tc>
        <w:tc>
          <w:tcPr>
            <w:tcW w:w="1120" w:type="dxa"/>
            <w:vAlign w:val="bottom"/>
            <w:tcBorders>
              <w:right w:val="single" w:sz="8" w:color="DADADA"/>
            </w:tcBorders>
            <w:shd w:val="clear" w:color="auto" w:fill="3F000B"/>
          </w:tcPr>
          <w:p>
            <w:pPr>
              <w:spacing w:after="0"/>
              <w:rPr>
                <w:sz w:val="10"/>
                <w:szCs w:val="10"/>
                <w:color w:val="auto"/>
              </w:rPr>
            </w:pPr>
          </w:p>
        </w:tc>
        <w:tc>
          <w:tcPr>
            <w:tcW w:w="1140" w:type="dxa"/>
            <w:vAlign w:val="bottom"/>
            <w:tcBorders>
              <w:right w:val="single" w:sz="8" w:color="3F000B"/>
            </w:tcBorders>
            <w:shd w:val="clear" w:color="auto" w:fill="3F000B"/>
          </w:tcPr>
          <w:p>
            <w:pPr>
              <w:spacing w:after="0"/>
              <w:rPr>
                <w:sz w:val="10"/>
                <w:szCs w:val="10"/>
                <w:color w:val="auto"/>
              </w:rPr>
            </w:pPr>
          </w:p>
        </w:tc>
        <w:tc>
          <w:tcPr>
            <w:tcW w:w="1120" w:type="dxa"/>
            <w:vAlign w:val="bottom"/>
            <w:tcBorders>
              <w:right w:val="single" w:sz="8" w:color="3F000B"/>
            </w:tcBorders>
            <w:shd w:val="clear" w:color="auto" w:fill="3F000B"/>
          </w:tcPr>
          <w:p>
            <w:pPr>
              <w:jc w:val="center"/>
              <w:spacing w:after="0" w:line="117" w:lineRule="exact"/>
              <w:rPr>
                <w:sz w:val="20"/>
                <w:szCs w:val="20"/>
                <w:color w:val="auto"/>
              </w:rPr>
            </w:pPr>
            <w:r>
              <w:rPr>
                <w:rFonts w:ascii="Arial" w:cs="Arial" w:eastAsia="Arial" w:hAnsi="Arial"/>
                <w:sz w:val="10"/>
                <w:szCs w:val="10"/>
                <w:b w:val="1"/>
                <w:bCs w:val="1"/>
                <w:color w:val="FFFFFF"/>
                <w:w w:val="96"/>
              </w:rPr>
              <w:t>Plan Awards</w:t>
            </w:r>
            <w:r>
              <w:rPr>
                <w:rFonts w:ascii="Arial" w:cs="Arial" w:eastAsia="Arial" w:hAnsi="Arial"/>
                <w:sz w:val="13"/>
                <w:szCs w:val="13"/>
                <w:b w:val="1"/>
                <w:bCs w:val="1"/>
                <w:color w:val="FFFFFF"/>
                <w:w w:val="96"/>
                <w:vertAlign w:val="superscript"/>
              </w:rPr>
              <w:t>(3)</w:t>
            </w:r>
          </w:p>
        </w:tc>
        <w:tc>
          <w:tcPr>
            <w:tcW w:w="1120" w:type="dxa"/>
            <w:vAlign w:val="bottom"/>
            <w:tcBorders>
              <w:right w:val="single" w:sz="8" w:color="DADADA"/>
            </w:tcBorders>
            <w:shd w:val="clear" w:color="auto" w:fill="3F000B"/>
          </w:tcPr>
          <w:p>
            <w:pPr>
              <w:spacing w:after="0"/>
              <w:rPr>
                <w:sz w:val="10"/>
                <w:szCs w:val="10"/>
                <w:color w:val="auto"/>
              </w:rPr>
            </w:pPr>
          </w:p>
        </w:tc>
        <w:tc>
          <w:tcPr>
            <w:tcW w:w="1120" w:type="dxa"/>
            <w:vAlign w:val="bottom"/>
            <w:tcBorders>
              <w:right w:val="single" w:sz="8" w:color="DADADA"/>
            </w:tcBorders>
            <w:vMerge w:val="continue"/>
            <w:shd w:val="clear" w:color="auto" w:fill="3F000B"/>
          </w:tcPr>
          <w:p>
            <w:pPr>
              <w:spacing w:after="0"/>
              <w:rPr>
                <w:sz w:val="10"/>
                <w:szCs w:val="10"/>
                <w:color w:val="auto"/>
              </w:rPr>
            </w:pPr>
          </w:p>
        </w:tc>
        <w:tc>
          <w:tcPr>
            <w:tcW w:w="1120" w:type="dxa"/>
            <w:vAlign w:val="bottom"/>
            <w:tcBorders>
              <w:right w:val="single" w:sz="8" w:color="3F000B"/>
            </w:tcBorders>
            <w:vMerge w:val="continue"/>
            <w:shd w:val="clear" w:color="auto" w:fill="3F000B"/>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20" w:type="dxa"/>
            <w:vAlign w:val="bottom"/>
            <w:tcBorders>
              <w:left w:val="single" w:sz="8" w:color="3F000B"/>
              <w:bottom w:val="single" w:sz="8" w:color="3F000B"/>
              <w:right w:val="single" w:sz="8" w:color="DADADA"/>
            </w:tcBorders>
            <w:shd w:val="clear" w:color="auto" w:fill="3F000B"/>
          </w:tcPr>
          <w:p>
            <w:pPr>
              <w:spacing w:after="0"/>
              <w:rPr>
                <w:sz w:val="11"/>
                <w:szCs w:val="11"/>
                <w:color w:val="auto"/>
              </w:rPr>
            </w:pPr>
          </w:p>
        </w:tc>
        <w:tc>
          <w:tcPr>
            <w:tcW w:w="1100" w:type="dxa"/>
            <w:vAlign w:val="bottom"/>
            <w:tcBorders>
              <w:bottom w:val="single" w:sz="8" w:color="3F000B"/>
              <w:right w:val="single" w:sz="8" w:color="3F000B"/>
            </w:tcBorders>
            <w:shd w:val="clear" w:color="auto" w:fill="3F000B"/>
          </w:tcPr>
          <w:p>
            <w:pPr>
              <w:spacing w:after="0"/>
              <w:rPr>
                <w:sz w:val="11"/>
                <w:szCs w:val="11"/>
                <w:color w:val="auto"/>
              </w:rPr>
            </w:pPr>
          </w:p>
        </w:tc>
        <w:tc>
          <w:tcPr>
            <w:tcW w:w="1120" w:type="dxa"/>
            <w:vAlign w:val="bottom"/>
            <w:tcBorders>
              <w:bottom w:val="single" w:sz="8" w:color="3F000B"/>
              <w:right w:val="single" w:sz="8" w:color="3F000B"/>
            </w:tcBorders>
            <w:shd w:val="clear" w:color="auto" w:fill="3F000B"/>
          </w:tcPr>
          <w:p>
            <w:pPr>
              <w:spacing w:after="0"/>
              <w:rPr>
                <w:sz w:val="11"/>
                <w:szCs w:val="11"/>
                <w:color w:val="auto"/>
              </w:rPr>
            </w:pPr>
          </w:p>
        </w:tc>
        <w:tc>
          <w:tcPr>
            <w:tcW w:w="1120" w:type="dxa"/>
            <w:vAlign w:val="bottom"/>
            <w:tcBorders>
              <w:bottom w:val="single" w:sz="8" w:color="3F000B"/>
              <w:right w:val="single" w:sz="8" w:color="3F000B"/>
            </w:tcBorders>
            <w:shd w:val="clear" w:color="auto" w:fill="3F000B"/>
          </w:tcPr>
          <w:p>
            <w:pPr>
              <w:spacing w:after="0"/>
              <w:rPr>
                <w:sz w:val="11"/>
                <w:szCs w:val="11"/>
                <w:color w:val="auto"/>
              </w:rPr>
            </w:pPr>
          </w:p>
        </w:tc>
        <w:tc>
          <w:tcPr>
            <w:tcW w:w="1120" w:type="dxa"/>
            <w:vAlign w:val="bottom"/>
            <w:tcBorders>
              <w:bottom w:val="single" w:sz="8" w:color="3F000B"/>
              <w:right w:val="single" w:sz="8" w:color="DADADA"/>
            </w:tcBorders>
            <w:shd w:val="clear" w:color="auto" w:fill="3F000B"/>
          </w:tcPr>
          <w:p>
            <w:pPr>
              <w:spacing w:after="0"/>
              <w:rPr>
                <w:sz w:val="11"/>
                <w:szCs w:val="11"/>
                <w:color w:val="auto"/>
              </w:rPr>
            </w:pPr>
          </w:p>
        </w:tc>
        <w:tc>
          <w:tcPr>
            <w:tcW w:w="1140" w:type="dxa"/>
            <w:vAlign w:val="bottom"/>
            <w:tcBorders>
              <w:bottom w:val="single" w:sz="8" w:color="3F000B"/>
              <w:right w:val="single" w:sz="8" w:color="3F000B"/>
            </w:tcBorders>
            <w:shd w:val="clear" w:color="auto" w:fill="3F000B"/>
          </w:tcPr>
          <w:p>
            <w:pPr>
              <w:spacing w:after="0"/>
              <w:rPr>
                <w:sz w:val="11"/>
                <w:szCs w:val="11"/>
                <w:color w:val="auto"/>
              </w:rPr>
            </w:pPr>
          </w:p>
        </w:tc>
        <w:tc>
          <w:tcPr>
            <w:tcW w:w="1120" w:type="dxa"/>
            <w:vAlign w:val="bottom"/>
            <w:tcBorders>
              <w:bottom w:val="single" w:sz="8" w:color="3F000B"/>
              <w:right w:val="single" w:sz="8" w:color="3F000B"/>
            </w:tcBorders>
            <w:shd w:val="clear" w:color="auto" w:fill="3F000B"/>
          </w:tcPr>
          <w:p>
            <w:pPr>
              <w:spacing w:after="0"/>
              <w:rPr>
                <w:sz w:val="11"/>
                <w:szCs w:val="11"/>
                <w:color w:val="auto"/>
              </w:rPr>
            </w:pPr>
          </w:p>
        </w:tc>
        <w:tc>
          <w:tcPr>
            <w:tcW w:w="1120" w:type="dxa"/>
            <w:vAlign w:val="bottom"/>
            <w:tcBorders>
              <w:bottom w:val="single" w:sz="8" w:color="3F000B"/>
              <w:right w:val="single" w:sz="8" w:color="DADADA"/>
            </w:tcBorders>
            <w:shd w:val="clear" w:color="auto" w:fill="3F000B"/>
          </w:tcPr>
          <w:p>
            <w:pPr>
              <w:spacing w:after="0"/>
              <w:rPr>
                <w:sz w:val="11"/>
                <w:szCs w:val="11"/>
                <w:color w:val="auto"/>
              </w:rPr>
            </w:pPr>
          </w:p>
        </w:tc>
        <w:tc>
          <w:tcPr>
            <w:tcW w:w="1120" w:type="dxa"/>
            <w:vAlign w:val="bottom"/>
            <w:tcBorders>
              <w:bottom w:val="single" w:sz="8" w:color="3F000B"/>
              <w:right w:val="single" w:sz="8" w:color="DADADA"/>
            </w:tcBorders>
            <w:shd w:val="clear" w:color="auto" w:fill="3F000B"/>
          </w:tcPr>
          <w:p>
            <w:pPr>
              <w:jc w:val="center"/>
              <w:ind w:right="2"/>
              <w:spacing w:after="0"/>
              <w:rPr>
                <w:sz w:val="20"/>
                <w:szCs w:val="20"/>
                <w:color w:val="auto"/>
              </w:rPr>
            </w:pPr>
            <w:r>
              <w:rPr>
                <w:rFonts w:ascii="Arial" w:cs="Arial" w:eastAsia="Arial" w:hAnsi="Arial"/>
                <w:sz w:val="11"/>
                <w:szCs w:val="11"/>
                <w:b w:val="1"/>
                <w:bCs w:val="1"/>
                <w:color w:val="FFFFFF"/>
                <w:w w:val="90"/>
              </w:rPr>
              <w:t>Number of</w:t>
            </w:r>
          </w:p>
        </w:tc>
        <w:tc>
          <w:tcPr>
            <w:tcW w:w="112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2"/>
              </w:rPr>
              <w:t>of Stock</w:t>
            </w:r>
          </w:p>
        </w:tc>
        <w:tc>
          <w:tcPr>
            <w:tcW w:w="0" w:type="dxa"/>
            <w:vAlign w:val="bottom"/>
          </w:tcPr>
          <w:p>
            <w:pPr>
              <w:spacing w:after="0"/>
              <w:rPr>
                <w:sz w:val="1"/>
                <w:szCs w:val="1"/>
                <w:color w:val="auto"/>
              </w:rPr>
            </w:pPr>
          </w:p>
        </w:tc>
      </w:tr>
      <w:tr>
        <w:trPr>
          <w:trHeight w:val="148"/>
        </w:trPr>
        <w:tc>
          <w:tcPr>
            <w:tcW w:w="1120" w:type="dxa"/>
            <w:vAlign w:val="bottom"/>
            <w:tcBorders>
              <w:left w:val="single" w:sz="8" w:color="3F000B"/>
              <w:right w:val="single" w:sz="8" w:color="DADADA"/>
            </w:tcBorders>
            <w:shd w:val="clear" w:color="auto" w:fill="3F000B"/>
          </w:tcPr>
          <w:p>
            <w:pPr>
              <w:spacing w:after="0"/>
              <w:rPr>
                <w:sz w:val="12"/>
                <w:szCs w:val="12"/>
                <w:color w:val="auto"/>
              </w:rPr>
            </w:pPr>
          </w:p>
        </w:tc>
        <w:tc>
          <w:tcPr>
            <w:tcW w:w="1100" w:type="dxa"/>
            <w:vAlign w:val="bottom"/>
            <w:tcBorders>
              <w:right w:val="single" w:sz="8" w:color="3F000B"/>
            </w:tcBorders>
            <w:shd w:val="clear" w:color="auto" w:fill="3F000B"/>
          </w:tcPr>
          <w:p>
            <w:pPr>
              <w:spacing w:after="0"/>
              <w:rPr>
                <w:sz w:val="12"/>
                <w:szCs w:val="12"/>
                <w:color w:val="auto"/>
              </w:rPr>
            </w:pPr>
          </w:p>
        </w:tc>
        <w:tc>
          <w:tcPr>
            <w:tcW w:w="1120" w:type="dxa"/>
            <w:vAlign w:val="bottom"/>
            <w:tcBorders>
              <w:right w:val="single" w:sz="8" w:color="3F000B"/>
            </w:tcBorders>
            <w:shd w:val="clear" w:color="auto" w:fill="3F000B"/>
          </w:tcPr>
          <w:p>
            <w:pPr>
              <w:spacing w:after="0"/>
              <w:rPr>
                <w:sz w:val="12"/>
                <w:szCs w:val="12"/>
                <w:color w:val="auto"/>
              </w:rPr>
            </w:pPr>
          </w:p>
        </w:tc>
        <w:tc>
          <w:tcPr>
            <w:tcW w:w="1120" w:type="dxa"/>
            <w:vAlign w:val="bottom"/>
            <w:tcBorders>
              <w:right w:val="single" w:sz="8" w:color="3F000B"/>
            </w:tcBorders>
            <w:shd w:val="clear" w:color="auto" w:fill="3F000B"/>
          </w:tcPr>
          <w:p>
            <w:pPr>
              <w:spacing w:after="0"/>
              <w:rPr>
                <w:sz w:val="12"/>
                <w:szCs w:val="12"/>
                <w:color w:val="auto"/>
              </w:rPr>
            </w:pPr>
          </w:p>
        </w:tc>
        <w:tc>
          <w:tcPr>
            <w:tcW w:w="1120" w:type="dxa"/>
            <w:vAlign w:val="bottom"/>
            <w:tcBorders>
              <w:right w:val="single" w:sz="8" w:color="DADADA"/>
            </w:tcBorders>
            <w:shd w:val="clear" w:color="auto" w:fill="3F000B"/>
          </w:tcPr>
          <w:p>
            <w:pPr>
              <w:spacing w:after="0"/>
              <w:rPr>
                <w:sz w:val="12"/>
                <w:szCs w:val="12"/>
                <w:color w:val="auto"/>
              </w:rPr>
            </w:pPr>
          </w:p>
        </w:tc>
        <w:tc>
          <w:tcPr>
            <w:tcW w:w="1140" w:type="dxa"/>
            <w:vAlign w:val="bottom"/>
            <w:tcBorders>
              <w:right w:val="single" w:sz="8" w:color="DADADA"/>
            </w:tcBorders>
            <w:shd w:val="clear" w:color="auto" w:fill="3F000B"/>
          </w:tcPr>
          <w:p>
            <w:pPr>
              <w:spacing w:after="0"/>
              <w:rPr>
                <w:sz w:val="12"/>
                <w:szCs w:val="12"/>
                <w:color w:val="auto"/>
              </w:rPr>
            </w:pPr>
          </w:p>
        </w:tc>
        <w:tc>
          <w:tcPr>
            <w:tcW w:w="1120" w:type="dxa"/>
            <w:vAlign w:val="bottom"/>
            <w:tcBorders>
              <w:right w:val="single" w:sz="8" w:color="DADADA"/>
            </w:tcBorders>
            <w:shd w:val="clear" w:color="auto" w:fill="3F000B"/>
          </w:tcPr>
          <w:p>
            <w:pPr>
              <w:spacing w:after="0"/>
              <w:rPr>
                <w:sz w:val="12"/>
                <w:szCs w:val="12"/>
                <w:color w:val="auto"/>
              </w:rPr>
            </w:pPr>
          </w:p>
        </w:tc>
        <w:tc>
          <w:tcPr>
            <w:tcW w:w="1120" w:type="dxa"/>
            <w:vAlign w:val="bottom"/>
            <w:tcBorders>
              <w:right w:val="single" w:sz="8" w:color="DADADA"/>
            </w:tcBorders>
            <w:shd w:val="clear" w:color="auto" w:fill="3F000B"/>
          </w:tcPr>
          <w:p>
            <w:pPr>
              <w:spacing w:after="0"/>
              <w:rPr>
                <w:sz w:val="12"/>
                <w:szCs w:val="12"/>
                <w:color w:val="auto"/>
              </w:rPr>
            </w:pP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7"/>
              </w:rPr>
              <w:t>Shares of</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1"/>
              </w:rPr>
              <w:t>and</w:t>
            </w:r>
          </w:p>
        </w:tc>
        <w:tc>
          <w:tcPr>
            <w:tcW w:w="0" w:type="dxa"/>
            <w:vAlign w:val="bottom"/>
          </w:tcPr>
          <w:p>
            <w:pPr>
              <w:spacing w:after="0"/>
              <w:rPr>
                <w:sz w:val="1"/>
                <w:szCs w:val="1"/>
                <w:color w:val="auto"/>
              </w:rPr>
            </w:pPr>
          </w:p>
        </w:tc>
      </w:tr>
      <w:tr>
        <w:trPr>
          <w:trHeight w:val="162"/>
        </w:trPr>
        <w:tc>
          <w:tcPr>
            <w:tcW w:w="1120" w:type="dxa"/>
            <w:vAlign w:val="bottom"/>
            <w:tcBorders>
              <w:left w:val="single" w:sz="8" w:color="3F000B"/>
              <w:right w:val="single" w:sz="8" w:color="DADADA"/>
            </w:tcBorders>
            <w:shd w:val="clear" w:color="auto" w:fill="3F000B"/>
          </w:tcPr>
          <w:p>
            <w:pPr>
              <w:spacing w:after="0"/>
              <w:rPr>
                <w:sz w:val="14"/>
                <w:szCs w:val="14"/>
                <w:color w:val="auto"/>
              </w:rPr>
            </w:pPr>
          </w:p>
        </w:tc>
        <w:tc>
          <w:tcPr>
            <w:tcW w:w="1100" w:type="dxa"/>
            <w:vAlign w:val="bottom"/>
            <w:tcBorders>
              <w:right w:val="single" w:sz="8" w:color="3F000B"/>
            </w:tcBorders>
            <w:shd w:val="clear" w:color="auto" w:fill="3F000B"/>
          </w:tcPr>
          <w:p>
            <w:pPr>
              <w:spacing w:after="0"/>
              <w:rPr>
                <w:sz w:val="14"/>
                <w:szCs w:val="14"/>
                <w:color w:val="auto"/>
              </w:rPr>
            </w:pP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9"/>
              </w:rPr>
              <w:t>Thresh-</w:t>
            </w:r>
          </w:p>
        </w:tc>
        <w:tc>
          <w:tcPr>
            <w:tcW w:w="1120" w:type="dxa"/>
            <w:vAlign w:val="bottom"/>
            <w:tcBorders>
              <w:right w:val="single" w:sz="8" w:color="3F000B"/>
            </w:tcBorders>
            <w:shd w:val="clear" w:color="auto" w:fill="3F000B"/>
          </w:tcPr>
          <w:p>
            <w:pPr>
              <w:spacing w:after="0"/>
              <w:rPr>
                <w:sz w:val="14"/>
                <w:szCs w:val="14"/>
                <w:color w:val="auto"/>
              </w:rPr>
            </w:pPr>
          </w:p>
        </w:tc>
        <w:tc>
          <w:tcPr>
            <w:tcW w:w="1120" w:type="dxa"/>
            <w:vAlign w:val="bottom"/>
            <w:tcBorders>
              <w:right w:val="single" w:sz="8" w:color="DADADA"/>
            </w:tcBorders>
            <w:shd w:val="clear" w:color="auto" w:fill="3F000B"/>
          </w:tcPr>
          <w:p>
            <w:pPr>
              <w:spacing w:after="0"/>
              <w:rPr>
                <w:sz w:val="14"/>
                <w:szCs w:val="14"/>
                <w:color w:val="auto"/>
              </w:rPr>
            </w:pPr>
          </w:p>
        </w:tc>
        <w:tc>
          <w:tcPr>
            <w:tcW w:w="11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9"/>
              </w:rPr>
              <w:t>Thresh-</w:t>
            </w:r>
          </w:p>
        </w:tc>
        <w:tc>
          <w:tcPr>
            <w:tcW w:w="1120" w:type="dxa"/>
            <w:vAlign w:val="bottom"/>
            <w:tcBorders>
              <w:right w:val="single" w:sz="8" w:color="DADADA"/>
            </w:tcBorders>
            <w:shd w:val="clear" w:color="auto" w:fill="3F000B"/>
          </w:tcPr>
          <w:p>
            <w:pPr>
              <w:spacing w:after="0"/>
              <w:rPr>
                <w:sz w:val="14"/>
                <w:szCs w:val="14"/>
                <w:color w:val="auto"/>
              </w:rPr>
            </w:pP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9"/>
              </w:rPr>
              <w:t>Maxi-</w:t>
            </w: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0"/>
              </w:rPr>
              <w:t>Stock or</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0"/>
              </w:rPr>
              <w:t>Option</w:t>
            </w:r>
          </w:p>
        </w:tc>
        <w:tc>
          <w:tcPr>
            <w:tcW w:w="0" w:type="dxa"/>
            <w:vAlign w:val="bottom"/>
          </w:tcPr>
          <w:p>
            <w:pPr>
              <w:spacing w:after="0"/>
              <w:rPr>
                <w:sz w:val="1"/>
                <w:szCs w:val="1"/>
                <w:color w:val="auto"/>
              </w:rPr>
            </w:pPr>
          </w:p>
        </w:tc>
      </w:tr>
      <w:tr>
        <w:trPr>
          <w:trHeight w:val="170"/>
        </w:trPr>
        <w:tc>
          <w:tcPr>
            <w:tcW w:w="1120" w:type="dxa"/>
            <w:vAlign w:val="bottom"/>
            <w:tcBorders>
              <w:left w:val="single" w:sz="8" w:color="3F000B"/>
              <w:right w:val="single" w:sz="8" w:color="DADADA"/>
            </w:tcBorders>
            <w:shd w:val="clear" w:color="auto" w:fill="3F000B"/>
          </w:tcPr>
          <w:p>
            <w:pPr>
              <w:spacing w:after="0"/>
              <w:rPr>
                <w:sz w:val="14"/>
                <w:szCs w:val="14"/>
                <w:color w:val="auto"/>
              </w:rPr>
            </w:pPr>
          </w:p>
        </w:tc>
        <w:tc>
          <w:tcPr>
            <w:tcW w:w="110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5"/>
              </w:rPr>
              <w:t>Grant</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4"/>
              </w:rPr>
              <w:t>old</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9"/>
              </w:rPr>
              <w:t>Target</w:t>
            </w:r>
          </w:p>
        </w:tc>
        <w:tc>
          <w:tcPr>
            <w:tcW w:w="1120" w:type="dxa"/>
            <w:vAlign w:val="bottom"/>
            <w:tcBorders>
              <w:right w:val="single" w:sz="8" w:color="DADADA"/>
            </w:tcBorders>
            <w:shd w:val="clear" w:color="auto" w:fill="3F000B"/>
          </w:tcPr>
          <w:p>
            <w:pPr>
              <w:jc w:val="right"/>
              <w:ind w:right="260"/>
              <w:spacing w:after="0"/>
              <w:rPr>
                <w:sz w:val="20"/>
                <w:szCs w:val="20"/>
                <w:color w:val="auto"/>
              </w:rPr>
            </w:pPr>
            <w:r>
              <w:rPr>
                <w:rFonts w:ascii="Arial" w:cs="Arial" w:eastAsia="Arial" w:hAnsi="Arial"/>
                <w:sz w:val="11"/>
                <w:szCs w:val="11"/>
                <w:b w:val="1"/>
                <w:bCs w:val="1"/>
                <w:color w:val="FFFFFF"/>
              </w:rPr>
              <w:t>Maximum</w:t>
            </w:r>
          </w:p>
        </w:tc>
        <w:tc>
          <w:tcPr>
            <w:tcW w:w="11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4"/>
              </w:rPr>
              <w:t>old</w:t>
            </w:r>
          </w:p>
        </w:tc>
        <w:tc>
          <w:tcPr>
            <w:tcW w:w="1120" w:type="dxa"/>
            <w:vAlign w:val="bottom"/>
            <w:tcBorders>
              <w:right w:val="single" w:sz="8" w:color="DADADA"/>
            </w:tcBorders>
            <w:shd w:val="clear" w:color="auto" w:fill="3F000B"/>
          </w:tcPr>
          <w:p>
            <w:pPr>
              <w:jc w:val="center"/>
              <w:ind w:right="2"/>
              <w:spacing w:after="0"/>
              <w:rPr>
                <w:sz w:val="20"/>
                <w:szCs w:val="20"/>
                <w:color w:val="auto"/>
              </w:rPr>
            </w:pPr>
            <w:r>
              <w:rPr>
                <w:rFonts w:ascii="Arial" w:cs="Arial" w:eastAsia="Arial" w:hAnsi="Arial"/>
                <w:sz w:val="11"/>
                <w:szCs w:val="11"/>
                <w:b w:val="1"/>
                <w:bCs w:val="1"/>
                <w:color w:val="FFFFFF"/>
                <w:w w:val="89"/>
              </w:rPr>
              <w:t>Target</w:t>
            </w: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1"/>
              </w:rPr>
              <w:t>mum</w:t>
            </w: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2"/>
              </w:rPr>
              <w:t>Units</w:t>
            </w:r>
            <w:r>
              <w:rPr>
                <w:rFonts w:ascii="Arial" w:cs="Arial" w:eastAsia="Arial" w:hAnsi="Arial"/>
                <w:sz w:val="14"/>
                <w:szCs w:val="14"/>
                <w:b w:val="1"/>
                <w:bCs w:val="1"/>
                <w:color w:val="FFFFFF"/>
                <w:w w:val="82"/>
                <w:vertAlign w:val="superscript"/>
              </w:rPr>
              <w:t>(4)</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5"/>
              </w:rPr>
              <w:t>Awards</w:t>
            </w:r>
            <w:r>
              <w:rPr>
                <w:rFonts w:ascii="Arial" w:cs="Arial" w:eastAsia="Arial" w:hAnsi="Arial"/>
                <w:sz w:val="14"/>
                <w:szCs w:val="14"/>
                <w:b w:val="1"/>
                <w:bCs w:val="1"/>
                <w:color w:val="FFFFFF"/>
                <w:w w:val="85"/>
                <w:vertAlign w:val="superscript"/>
              </w:rPr>
              <w:t>(5)</w:t>
            </w:r>
          </w:p>
        </w:tc>
        <w:tc>
          <w:tcPr>
            <w:tcW w:w="0" w:type="dxa"/>
            <w:vAlign w:val="bottom"/>
          </w:tcPr>
          <w:p>
            <w:pPr>
              <w:spacing w:after="0"/>
              <w:rPr>
                <w:sz w:val="1"/>
                <w:szCs w:val="1"/>
                <w:color w:val="auto"/>
              </w:rPr>
            </w:pPr>
          </w:p>
        </w:tc>
      </w:tr>
      <w:tr>
        <w:trPr>
          <w:trHeight w:val="140"/>
        </w:trPr>
        <w:tc>
          <w:tcPr>
            <w:tcW w:w="1120" w:type="dxa"/>
            <w:vAlign w:val="bottom"/>
            <w:tcBorders>
              <w:left w:val="single" w:sz="8" w:color="3F000B"/>
              <w:right w:val="single" w:sz="8" w:color="DADADA"/>
            </w:tcBorders>
            <w:shd w:val="clear" w:color="auto" w:fill="3F000B"/>
          </w:tcPr>
          <w:p>
            <w:pPr>
              <w:ind w:left="420"/>
              <w:spacing w:after="0"/>
              <w:rPr>
                <w:sz w:val="20"/>
                <w:szCs w:val="20"/>
                <w:color w:val="auto"/>
              </w:rPr>
            </w:pPr>
            <w:r>
              <w:rPr>
                <w:rFonts w:ascii="Arial" w:cs="Arial" w:eastAsia="Arial" w:hAnsi="Arial"/>
                <w:sz w:val="11"/>
                <w:szCs w:val="11"/>
                <w:b w:val="1"/>
                <w:bCs w:val="1"/>
                <w:color w:val="FFFFFF"/>
              </w:rPr>
              <w:t>Name</w:t>
            </w:r>
          </w:p>
        </w:tc>
        <w:tc>
          <w:tcPr>
            <w:tcW w:w="110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2"/>
              </w:rPr>
              <w:t>Date</w:t>
            </w:r>
            <w:r>
              <w:rPr>
                <w:rFonts w:ascii="Arial" w:cs="Arial" w:eastAsia="Arial" w:hAnsi="Arial"/>
                <w:sz w:val="7"/>
                <w:szCs w:val="7"/>
                <w:b w:val="1"/>
                <w:bCs w:val="1"/>
                <w:color w:val="FFFFFF"/>
                <w:w w:val="92"/>
              </w:rPr>
              <w:t>(1)</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rPr>
              <w:t>($)</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rPr>
              <w:t>($)</w:t>
            </w:r>
          </w:p>
        </w:tc>
        <w:tc>
          <w:tcPr>
            <w:tcW w:w="1120" w:type="dxa"/>
            <w:vAlign w:val="bottom"/>
            <w:tcBorders>
              <w:right w:val="single" w:sz="8" w:color="DADADA"/>
            </w:tcBorders>
            <w:shd w:val="clear" w:color="auto" w:fill="3F000B"/>
          </w:tcPr>
          <w:p>
            <w:pPr>
              <w:jc w:val="right"/>
              <w:ind w:right="440"/>
              <w:spacing w:after="0"/>
              <w:rPr>
                <w:sz w:val="20"/>
                <w:szCs w:val="20"/>
                <w:color w:val="auto"/>
              </w:rPr>
            </w:pPr>
            <w:r>
              <w:rPr>
                <w:rFonts w:ascii="Arial" w:cs="Arial" w:eastAsia="Arial" w:hAnsi="Arial"/>
                <w:sz w:val="11"/>
                <w:szCs w:val="11"/>
                <w:b w:val="1"/>
                <w:bCs w:val="1"/>
                <w:color w:val="FFFFFF"/>
              </w:rPr>
              <w:t>($)</w:t>
            </w:r>
          </w:p>
        </w:tc>
        <w:tc>
          <w:tcPr>
            <w:tcW w:w="11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rPr>
              <w:t>(#)</w:t>
            </w: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11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11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w:t>
            </w:r>
          </w:p>
        </w:tc>
        <w:tc>
          <w:tcPr>
            <w:tcW w:w="0" w:type="dxa"/>
            <w:vAlign w:val="bottom"/>
          </w:tcPr>
          <w:p>
            <w:pPr>
              <w:spacing w:after="0"/>
              <w:rPr>
                <w:sz w:val="1"/>
                <w:szCs w:val="1"/>
                <w:color w:val="auto"/>
              </w:rPr>
            </w:pPr>
          </w:p>
        </w:tc>
      </w:tr>
      <w:tr>
        <w:trPr>
          <w:trHeight w:val="69"/>
        </w:trPr>
        <w:tc>
          <w:tcPr>
            <w:tcW w:w="1120" w:type="dxa"/>
            <w:vAlign w:val="bottom"/>
            <w:tcBorders>
              <w:left w:val="single" w:sz="8" w:color="3F000B"/>
              <w:right w:val="single" w:sz="8" w:color="DADADA"/>
            </w:tcBorders>
            <w:shd w:val="clear" w:color="auto" w:fill="3F000B"/>
          </w:tcPr>
          <w:p>
            <w:pPr>
              <w:spacing w:after="0"/>
              <w:rPr>
                <w:sz w:val="6"/>
                <w:szCs w:val="6"/>
                <w:color w:val="auto"/>
              </w:rPr>
            </w:pPr>
          </w:p>
        </w:tc>
        <w:tc>
          <w:tcPr>
            <w:tcW w:w="1100" w:type="dxa"/>
            <w:vAlign w:val="bottom"/>
            <w:tcBorders>
              <w:right w:val="single" w:sz="8" w:color="3F000B"/>
            </w:tcBorders>
            <w:shd w:val="clear" w:color="auto" w:fill="3F000B"/>
          </w:tcPr>
          <w:p>
            <w:pPr>
              <w:spacing w:after="0"/>
              <w:rPr>
                <w:sz w:val="6"/>
                <w:szCs w:val="6"/>
                <w:color w:val="auto"/>
              </w:rPr>
            </w:pPr>
          </w:p>
        </w:tc>
        <w:tc>
          <w:tcPr>
            <w:tcW w:w="1120" w:type="dxa"/>
            <w:vAlign w:val="bottom"/>
            <w:tcBorders>
              <w:right w:val="single" w:sz="8" w:color="3F000B"/>
            </w:tcBorders>
            <w:shd w:val="clear" w:color="auto" w:fill="3F000B"/>
          </w:tcPr>
          <w:p>
            <w:pPr>
              <w:spacing w:after="0"/>
              <w:rPr>
                <w:sz w:val="6"/>
                <w:szCs w:val="6"/>
                <w:color w:val="auto"/>
              </w:rPr>
            </w:pPr>
          </w:p>
        </w:tc>
        <w:tc>
          <w:tcPr>
            <w:tcW w:w="1120" w:type="dxa"/>
            <w:vAlign w:val="bottom"/>
            <w:tcBorders>
              <w:right w:val="single" w:sz="8" w:color="3F000B"/>
            </w:tcBorders>
            <w:shd w:val="clear" w:color="auto" w:fill="3F000B"/>
          </w:tcPr>
          <w:p>
            <w:pPr>
              <w:spacing w:after="0"/>
              <w:rPr>
                <w:sz w:val="6"/>
                <w:szCs w:val="6"/>
                <w:color w:val="auto"/>
              </w:rPr>
            </w:pPr>
          </w:p>
        </w:tc>
        <w:tc>
          <w:tcPr>
            <w:tcW w:w="1120" w:type="dxa"/>
            <w:vAlign w:val="bottom"/>
            <w:tcBorders>
              <w:right w:val="single" w:sz="8" w:color="DADADA"/>
            </w:tcBorders>
            <w:shd w:val="clear" w:color="auto" w:fill="3F000B"/>
          </w:tcPr>
          <w:p>
            <w:pPr>
              <w:spacing w:after="0"/>
              <w:rPr>
                <w:sz w:val="6"/>
                <w:szCs w:val="6"/>
                <w:color w:val="auto"/>
              </w:rPr>
            </w:pPr>
          </w:p>
        </w:tc>
        <w:tc>
          <w:tcPr>
            <w:tcW w:w="1140" w:type="dxa"/>
            <w:vAlign w:val="bottom"/>
            <w:tcBorders>
              <w:right w:val="single" w:sz="8" w:color="DADADA"/>
            </w:tcBorders>
            <w:shd w:val="clear" w:color="auto" w:fill="3F000B"/>
          </w:tcPr>
          <w:p>
            <w:pPr>
              <w:spacing w:after="0"/>
              <w:rPr>
                <w:sz w:val="6"/>
                <w:szCs w:val="6"/>
                <w:color w:val="auto"/>
              </w:rPr>
            </w:pPr>
          </w:p>
        </w:tc>
        <w:tc>
          <w:tcPr>
            <w:tcW w:w="1120" w:type="dxa"/>
            <w:vAlign w:val="bottom"/>
            <w:tcBorders>
              <w:right w:val="single" w:sz="8" w:color="DADADA"/>
            </w:tcBorders>
            <w:shd w:val="clear" w:color="auto" w:fill="3F000B"/>
          </w:tcPr>
          <w:p>
            <w:pPr>
              <w:spacing w:after="0"/>
              <w:rPr>
                <w:sz w:val="6"/>
                <w:szCs w:val="6"/>
                <w:color w:val="auto"/>
              </w:rPr>
            </w:pPr>
          </w:p>
        </w:tc>
        <w:tc>
          <w:tcPr>
            <w:tcW w:w="1120" w:type="dxa"/>
            <w:vAlign w:val="bottom"/>
            <w:tcBorders>
              <w:right w:val="single" w:sz="8" w:color="DADADA"/>
            </w:tcBorders>
            <w:shd w:val="clear" w:color="auto" w:fill="3F000B"/>
          </w:tcPr>
          <w:p>
            <w:pPr>
              <w:spacing w:after="0"/>
              <w:rPr>
                <w:sz w:val="6"/>
                <w:szCs w:val="6"/>
                <w:color w:val="auto"/>
              </w:rPr>
            </w:pPr>
          </w:p>
        </w:tc>
        <w:tc>
          <w:tcPr>
            <w:tcW w:w="1120" w:type="dxa"/>
            <w:vAlign w:val="bottom"/>
            <w:tcBorders>
              <w:right w:val="single" w:sz="8" w:color="DADADA"/>
            </w:tcBorders>
            <w:shd w:val="clear" w:color="auto" w:fill="3F000B"/>
          </w:tcPr>
          <w:p>
            <w:pPr>
              <w:spacing w:after="0"/>
              <w:rPr>
                <w:sz w:val="6"/>
                <w:szCs w:val="6"/>
                <w:color w:val="auto"/>
              </w:rPr>
            </w:pPr>
          </w:p>
        </w:tc>
        <w:tc>
          <w:tcPr>
            <w:tcW w:w="1120" w:type="dxa"/>
            <w:vAlign w:val="bottom"/>
            <w:tcBorders>
              <w:right w:val="single" w:sz="8" w:color="3F000B"/>
            </w:tcBorders>
            <w:shd w:val="clear" w:color="auto" w:fill="3F000B"/>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3F000B"/>
              <w:bottom w:val="single" w:sz="8" w:color="3F000B"/>
              <w:right w:val="single" w:sz="8" w:color="DADADA"/>
            </w:tcBorders>
            <w:shd w:val="clear" w:color="auto" w:fill="3F000B"/>
          </w:tcPr>
          <w:p>
            <w:pPr>
              <w:ind w:left="500"/>
              <w:spacing w:after="0"/>
              <w:rPr>
                <w:sz w:val="20"/>
                <w:szCs w:val="20"/>
                <w:color w:val="auto"/>
              </w:rPr>
            </w:pPr>
            <w:r>
              <w:rPr>
                <w:rFonts w:ascii="Arial" w:cs="Arial" w:eastAsia="Arial" w:hAnsi="Arial"/>
                <w:sz w:val="11"/>
                <w:szCs w:val="11"/>
                <w:b w:val="1"/>
                <w:bCs w:val="1"/>
                <w:color w:val="FFFFFF"/>
              </w:rPr>
              <w:t>(a)</w:t>
            </w:r>
          </w:p>
        </w:tc>
        <w:tc>
          <w:tcPr>
            <w:tcW w:w="110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9"/>
              </w:rPr>
              <w:t>(b)</w:t>
            </w:r>
          </w:p>
        </w:tc>
        <w:tc>
          <w:tcPr>
            <w:tcW w:w="112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88"/>
              </w:rPr>
              <w:t>(c)</w:t>
            </w:r>
          </w:p>
        </w:tc>
        <w:tc>
          <w:tcPr>
            <w:tcW w:w="112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9"/>
              </w:rPr>
              <w:t>(d)</w:t>
            </w:r>
          </w:p>
        </w:tc>
        <w:tc>
          <w:tcPr>
            <w:tcW w:w="1120" w:type="dxa"/>
            <w:vAlign w:val="bottom"/>
            <w:tcBorders>
              <w:bottom w:val="single" w:sz="8" w:color="3F000B"/>
              <w:right w:val="single" w:sz="8" w:color="DADADA"/>
            </w:tcBorders>
            <w:shd w:val="clear" w:color="auto" w:fill="3F000B"/>
          </w:tcPr>
          <w:p>
            <w:pPr>
              <w:jc w:val="right"/>
              <w:ind w:right="460"/>
              <w:spacing w:after="0"/>
              <w:rPr>
                <w:sz w:val="20"/>
                <w:szCs w:val="20"/>
                <w:color w:val="auto"/>
              </w:rPr>
            </w:pPr>
            <w:r>
              <w:rPr>
                <w:rFonts w:ascii="Arial" w:cs="Arial" w:eastAsia="Arial" w:hAnsi="Arial"/>
                <w:sz w:val="11"/>
                <w:szCs w:val="11"/>
                <w:b w:val="1"/>
                <w:bCs w:val="1"/>
                <w:color w:val="FFFFFF"/>
              </w:rPr>
              <w:t>(e)</w:t>
            </w:r>
          </w:p>
        </w:tc>
        <w:tc>
          <w:tcPr>
            <w:tcW w:w="11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0"/>
              </w:rPr>
              <w:t>(f)</w:t>
            </w:r>
          </w:p>
        </w:tc>
        <w:tc>
          <w:tcPr>
            <w:tcW w:w="1120" w:type="dxa"/>
            <w:vAlign w:val="bottom"/>
            <w:tcBorders>
              <w:bottom w:val="single" w:sz="8" w:color="3F000B"/>
              <w:right w:val="single" w:sz="8" w:color="DADADA"/>
            </w:tcBorders>
            <w:shd w:val="clear" w:color="auto" w:fill="3F000B"/>
          </w:tcPr>
          <w:p>
            <w:pPr>
              <w:jc w:val="center"/>
              <w:ind w:right="2"/>
              <w:spacing w:after="0"/>
              <w:rPr>
                <w:sz w:val="20"/>
                <w:szCs w:val="20"/>
                <w:color w:val="auto"/>
              </w:rPr>
            </w:pPr>
            <w:r>
              <w:rPr>
                <w:rFonts w:ascii="Arial" w:cs="Arial" w:eastAsia="Arial" w:hAnsi="Arial"/>
                <w:sz w:val="11"/>
                <w:szCs w:val="11"/>
                <w:b w:val="1"/>
                <w:bCs w:val="1"/>
                <w:color w:val="FFFFFF"/>
                <w:w w:val="99"/>
              </w:rPr>
              <w:t>(g)</w:t>
            </w:r>
          </w:p>
        </w:tc>
        <w:tc>
          <w:tcPr>
            <w:tcW w:w="112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1"/>
                <w:szCs w:val="11"/>
                <w:b w:val="1"/>
                <w:bCs w:val="1"/>
                <w:color w:val="FFFFFF"/>
                <w:w w:val="99"/>
              </w:rPr>
              <w:t>(h)</w:t>
            </w:r>
          </w:p>
        </w:tc>
        <w:tc>
          <w:tcPr>
            <w:tcW w:w="1120" w:type="dxa"/>
            <w:vAlign w:val="bottom"/>
            <w:tcBorders>
              <w:bottom w:val="single" w:sz="8" w:color="3F000B"/>
              <w:right w:val="single" w:sz="8" w:color="DADADA"/>
            </w:tcBorders>
            <w:shd w:val="clear" w:color="auto" w:fill="3F000B"/>
          </w:tcPr>
          <w:p>
            <w:pPr>
              <w:jc w:val="center"/>
              <w:ind w:right="2"/>
              <w:spacing w:after="0"/>
              <w:rPr>
                <w:sz w:val="20"/>
                <w:szCs w:val="20"/>
                <w:color w:val="auto"/>
              </w:rPr>
            </w:pPr>
            <w:r>
              <w:rPr>
                <w:rFonts w:ascii="Arial" w:cs="Arial" w:eastAsia="Arial" w:hAnsi="Arial"/>
                <w:sz w:val="11"/>
                <w:szCs w:val="11"/>
                <w:b w:val="1"/>
                <w:bCs w:val="1"/>
                <w:color w:val="FFFFFF"/>
                <w:w w:val="95"/>
              </w:rPr>
              <w:t>(i)</w:t>
            </w:r>
          </w:p>
        </w:tc>
        <w:tc>
          <w:tcPr>
            <w:tcW w:w="1120" w:type="dxa"/>
            <w:vAlign w:val="bottom"/>
            <w:tcBorders>
              <w:bottom w:val="single" w:sz="8" w:color="3F000B"/>
              <w:right w:val="single" w:sz="8" w:color="3F000B"/>
            </w:tcBorders>
            <w:shd w:val="clear" w:color="auto" w:fill="3F000B"/>
          </w:tcPr>
          <w:p>
            <w:pPr>
              <w:jc w:val="center"/>
              <w:ind w:right="2"/>
              <w:spacing w:after="0"/>
              <w:rPr>
                <w:sz w:val="20"/>
                <w:szCs w:val="20"/>
                <w:color w:val="auto"/>
              </w:rPr>
            </w:pPr>
            <w:r>
              <w:rPr>
                <w:rFonts w:ascii="Arial" w:cs="Arial" w:eastAsia="Arial" w:hAnsi="Arial"/>
                <w:sz w:val="11"/>
                <w:szCs w:val="11"/>
                <w:b w:val="1"/>
                <w:bCs w:val="1"/>
                <w:color w:val="FFFFFF"/>
                <w:w w:val="95"/>
              </w:rPr>
              <w:t>(j)</w:t>
            </w:r>
          </w:p>
        </w:tc>
        <w:tc>
          <w:tcPr>
            <w:tcW w:w="0" w:type="dxa"/>
            <w:vAlign w:val="bottom"/>
          </w:tcPr>
          <w:p>
            <w:pPr>
              <w:spacing w:after="0"/>
              <w:rPr>
                <w:sz w:val="1"/>
                <w:szCs w:val="1"/>
                <w:color w:val="auto"/>
              </w:rPr>
            </w:pPr>
          </w:p>
        </w:tc>
      </w:tr>
      <w:tr>
        <w:trPr>
          <w:trHeight w:val="173"/>
        </w:trPr>
        <w:tc>
          <w:tcPr>
            <w:tcW w:w="11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Ms. Buck</w:t>
            </w:r>
          </w:p>
        </w:tc>
        <w:tc>
          <w:tcPr>
            <w:tcW w:w="110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2/25/2020</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6,846</w:t>
            </w:r>
          </w:p>
        </w:tc>
        <w:tc>
          <w:tcPr>
            <w:tcW w:w="1120" w:type="dxa"/>
            <w:vAlign w:val="bottom"/>
            <w:tcBorders>
              <w:right w:val="single" w:sz="8" w:color="3F000B"/>
            </w:tcBorders>
          </w:tcPr>
          <w:p>
            <w:pPr>
              <w:jc w:val="right"/>
              <w:ind w:right="2"/>
              <w:spacing w:after="0"/>
              <w:rPr>
                <w:sz w:val="20"/>
                <w:szCs w:val="20"/>
                <w:color w:val="auto"/>
              </w:rPr>
            </w:pPr>
            <w:r>
              <w:rPr>
                <w:rFonts w:ascii="Arial" w:cs="Arial" w:eastAsia="Arial" w:hAnsi="Arial"/>
                <w:sz w:val="13"/>
                <w:szCs w:val="13"/>
                <w:color w:val="auto"/>
              </w:rPr>
              <w:t>1,801,586</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3,603,172</w:t>
            </w:r>
          </w:p>
        </w:tc>
        <w:tc>
          <w:tcPr>
            <w:tcW w:w="114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12</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24,832</w:t>
            </w:r>
          </w:p>
        </w:tc>
        <w:tc>
          <w:tcPr>
            <w:tcW w:w="112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62,080</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13,371</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6,670,261</w:t>
            </w:r>
          </w:p>
        </w:tc>
        <w:tc>
          <w:tcPr>
            <w:tcW w:w="0" w:type="dxa"/>
            <w:vAlign w:val="bottom"/>
          </w:tcPr>
          <w:p>
            <w:pPr>
              <w:spacing w:after="0"/>
              <w:rPr>
                <w:sz w:val="1"/>
                <w:szCs w:val="1"/>
                <w:color w:val="auto"/>
              </w:rPr>
            </w:pPr>
          </w:p>
        </w:tc>
      </w:tr>
      <w:tr>
        <w:trPr>
          <w:trHeight w:val="29"/>
        </w:trPr>
        <w:tc>
          <w:tcPr>
            <w:tcW w:w="1120" w:type="dxa"/>
            <w:vAlign w:val="bottom"/>
            <w:tcBorders>
              <w:left w:val="single" w:sz="8" w:color="3F000B"/>
              <w:right w:val="single" w:sz="8" w:color="3F000B"/>
            </w:tcBorders>
          </w:tcPr>
          <w:p>
            <w:pPr>
              <w:spacing w:after="0"/>
              <w:rPr>
                <w:sz w:val="2"/>
                <w:szCs w:val="2"/>
                <w:color w:val="auto"/>
              </w:rPr>
            </w:pPr>
          </w:p>
        </w:tc>
        <w:tc>
          <w:tcPr>
            <w:tcW w:w="110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4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Voskuil</w:t>
            </w:r>
          </w:p>
        </w:tc>
        <w:tc>
          <w:tcPr>
            <w:tcW w:w="110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2/25/2020</w:t>
            </w:r>
          </w:p>
        </w:tc>
        <w:tc>
          <w:tcPr>
            <w:tcW w:w="11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1,432</w:t>
            </w:r>
          </w:p>
        </w:tc>
        <w:tc>
          <w:tcPr>
            <w:tcW w:w="1120" w:type="dxa"/>
            <w:vAlign w:val="bottom"/>
            <w:tcBorders>
              <w:bottom w:val="single" w:sz="8" w:color="DADADA"/>
              <w:right w:val="single" w:sz="8" w:color="3F000B"/>
            </w:tcBorders>
            <w:shd w:val="clear" w:color="auto" w:fill="DADADA"/>
          </w:tcPr>
          <w:p>
            <w:pPr>
              <w:jc w:val="right"/>
              <w:ind w:right="2"/>
              <w:spacing w:after="0"/>
              <w:rPr>
                <w:sz w:val="20"/>
                <w:szCs w:val="20"/>
                <w:color w:val="auto"/>
              </w:rPr>
            </w:pPr>
            <w:r>
              <w:rPr>
                <w:rFonts w:ascii="Arial" w:cs="Arial" w:eastAsia="Arial" w:hAnsi="Arial"/>
                <w:sz w:val="13"/>
                <w:szCs w:val="13"/>
                <w:color w:val="auto"/>
              </w:rPr>
              <w:t>572,606</w:t>
            </w:r>
          </w:p>
        </w:tc>
        <w:tc>
          <w:tcPr>
            <w:tcW w:w="11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1,145,212</w:t>
            </w:r>
          </w:p>
        </w:tc>
        <w:tc>
          <w:tcPr>
            <w:tcW w:w="114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3</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6,415</w:t>
            </w:r>
          </w:p>
        </w:tc>
        <w:tc>
          <w:tcPr>
            <w:tcW w:w="112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16,038</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5,181</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1,994,837</w:t>
            </w:r>
          </w:p>
        </w:tc>
        <w:tc>
          <w:tcPr>
            <w:tcW w:w="0" w:type="dxa"/>
            <w:vAlign w:val="bottom"/>
          </w:tcPr>
          <w:p>
            <w:pPr>
              <w:spacing w:after="0"/>
              <w:rPr>
                <w:sz w:val="1"/>
                <w:szCs w:val="1"/>
                <w:color w:val="auto"/>
              </w:rPr>
            </w:pPr>
          </w:p>
        </w:tc>
      </w:tr>
      <w:tr>
        <w:trPr>
          <w:trHeight w:val="195"/>
        </w:trPr>
        <w:tc>
          <w:tcPr>
            <w:tcW w:w="11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Raup</w:t>
            </w:r>
          </w:p>
        </w:tc>
        <w:tc>
          <w:tcPr>
            <w:tcW w:w="110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2/25/2020</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870</w:t>
            </w:r>
          </w:p>
        </w:tc>
        <w:tc>
          <w:tcPr>
            <w:tcW w:w="1120" w:type="dxa"/>
            <w:vAlign w:val="bottom"/>
            <w:tcBorders>
              <w:right w:val="single" w:sz="8" w:color="3F000B"/>
            </w:tcBorders>
          </w:tcPr>
          <w:p>
            <w:pPr>
              <w:jc w:val="right"/>
              <w:ind w:right="2"/>
              <w:spacing w:after="0"/>
              <w:rPr>
                <w:sz w:val="20"/>
                <w:szCs w:val="20"/>
                <w:color w:val="auto"/>
              </w:rPr>
            </w:pPr>
            <w:r>
              <w:rPr>
                <w:rFonts w:ascii="Arial" w:cs="Arial" w:eastAsia="Arial" w:hAnsi="Arial"/>
                <w:sz w:val="13"/>
                <w:szCs w:val="13"/>
                <w:color w:val="auto"/>
              </w:rPr>
              <w:t>348,115</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696,230</w:t>
            </w:r>
          </w:p>
        </w:tc>
        <w:tc>
          <w:tcPr>
            <w:tcW w:w="114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2</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3,099</w:t>
            </w:r>
          </w:p>
        </w:tc>
        <w:tc>
          <w:tcPr>
            <w:tcW w:w="112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7,748</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1,669</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832,446</w:t>
            </w:r>
          </w:p>
        </w:tc>
        <w:tc>
          <w:tcPr>
            <w:tcW w:w="0" w:type="dxa"/>
            <w:vAlign w:val="bottom"/>
          </w:tcPr>
          <w:p>
            <w:pPr>
              <w:spacing w:after="0"/>
              <w:rPr>
                <w:sz w:val="1"/>
                <w:szCs w:val="1"/>
                <w:color w:val="auto"/>
              </w:rPr>
            </w:pPr>
          </w:p>
        </w:tc>
      </w:tr>
      <w:tr>
        <w:trPr>
          <w:trHeight w:val="190"/>
        </w:trPr>
        <w:tc>
          <w:tcPr>
            <w:tcW w:w="11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Reiman</w:t>
            </w:r>
          </w:p>
        </w:tc>
        <w:tc>
          <w:tcPr>
            <w:tcW w:w="110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2/25/2020</w:t>
            </w:r>
          </w:p>
        </w:tc>
        <w:tc>
          <w:tcPr>
            <w:tcW w:w="11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832</w:t>
            </w:r>
          </w:p>
        </w:tc>
        <w:tc>
          <w:tcPr>
            <w:tcW w:w="1120" w:type="dxa"/>
            <w:vAlign w:val="bottom"/>
            <w:tcBorders>
              <w:bottom w:val="single" w:sz="8" w:color="DADADA"/>
              <w:right w:val="single" w:sz="8" w:color="3F000B"/>
            </w:tcBorders>
            <w:shd w:val="clear" w:color="auto" w:fill="DADADA"/>
          </w:tcPr>
          <w:p>
            <w:pPr>
              <w:jc w:val="right"/>
              <w:ind w:right="2"/>
              <w:spacing w:after="0"/>
              <w:rPr>
                <w:sz w:val="20"/>
                <w:szCs w:val="20"/>
                <w:color w:val="auto"/>
              </w:rPr>
            </w:pPr>
            <w:r>
              <w:rPr>
                <w:rFonts w:ascii="Arial" w:cs="Arial" w:eastAsia="Arial" w:hAnsi="Arial"/>
                <w:sz w:val="13"/>
                <w:szCs w:val="13"/>
                <w:color w:val="auto"/>
              </w:rPr>
              <w:t>332,785</w:t>
            </w:r>
          </w:p>
        </w:tc>
        <w:tc>
          <w:tcPr>
            <w:tcW w:w="11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665,570</w:t>
            </w:r>
          </w:p>
        </w:tc>
        <w:tc>
          <w:tcPr>
            <w:tcW w:w="114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2</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3,180</w:t>
            </w:r>
          </w:p>
        </w:tc>
        <w:tc>
          <w:tcPr>
            <w:tcW w:w="112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7,950</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1,712</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854,222</w:t>
            </w:r>
          </w:p>
        </w:tc>
        <w:tc>
          <w:tcPr>
            <w:tcW w:w="0" w:type="dxa"/>
            <w:vAlign w:val="bottom"/>
          </w:tcPr>
          <w:p>
            <w:pPr>
              <w:spacing w:after="0"/>
              <w:rPr>
                <w:sz w:val="1"/>
                <w:szCs w:val="1"/>
                <w:color w:val="auto"/>
              </w:rPr>
            </w:pPr>
          </w:p>
        </w:tc>
      </w:tr>
      <w:tr>
        <w:trPr>
          <w:trHeight w:val="173"/>
        </w:trPr>
        <w:tc>
          <w:tcPr>
            <w:tcW w:w="11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Atkins</w:t>
            </w:r>
          </w:p>
        </w:tc>
        <w:tc>
          <w:tcPr>
            <w:tcW w:w="110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2/25/2020</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1,030</w:t>
            </w:r>
          </w:p>
        </w:tc>
        <w:tc>
          <w:tcPr>
            <w:tcW w:w="1120" w:type="dxa"/>
            <w:vAlign w:val="bottom"/>
            <w:tcBorders>
              <w:right w:val="single" w:sz="8" w:color="3F000B"/>
            </w:tcBorders>
          </w:tcPr>
          <w:p>
            <w:pPr>
              <w:jc w:val="right"/>
              <w:ind w:right="2"/>
              <w:spacing w:after="0"/>
              <w:rPr>
                <w:sz w:val="20"/>
                <w:szCs w:val="20"/>
                <w:color w:val="auto"/>
              </w:rPr>
            </w:pPr>
            <w:r>
              <w:rPr>
                <w:rFonts w:ascii="Arial" w:cs="Arial" w:eastAsia="Arial" w:hAnsi="Arial"/>
                <w:sz w:val="13"/>
                <w:szCs w:val="13"/>
                <w:color w:val="auto"/>
              </w:rPr>
              <w:t>412,117</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824,234</w:t>
            </w:r>
          </w:p>
        </w:tc>
        <w:tc>
          <w:tcPr>
            <w:tcW w:w="114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2</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4,138</w:t>
            </w:r>
          </w:p>
        </w:tc>
        <w:tc>
          <w:tcPr>
            <w:tcW w:w="112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10,345</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2,228</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1,111,448</w:t>
            </w:r>
          </w:p>
        </w:tc>
        <w:tc>
          <w:tcPr>
            <w:tcW w:w="0" w:type="dxa"/>
            <w:vAlign w:val="bottom"/>
          </w:tcPr>
          <w:p>
            <w:pPr>
              <w:spacing w:after="0"/>
              <w:rPr>
                <w:sz w:val="1"/>
                <w:szCs w:val="1"/>
                <w:color w:val="auto"/>
              </w:rPr>
            </w:pPr>
          </w:p>
        </w:tc>
      </w:tr>
      <w:tr>
        <w:trPr>
          <w:trHeight w:val="29"/>
        </w:trPr>
        <w:tc>
          <w:tcPr>
            <w:tcW w:w="1120" w:type="dxa"/>
            <w:vAlign w:val="bottom"/>
            <w:tcBorders>
              <w:left w:val="single" w:sz="8" w:color="3F000B"/>
              <w:right w:val="single" w:sz="8" w:color="3F000B"/>
            </w:tcBorders>
          </w:tcPr>
          <w:p>
            <w:pPr>
              <w:spacing w:after="0"/>
              <w:rPr>
                <w:sz w:val="2"/>
                <w:szCs w:val="2"/>
                <w:color w:val="auto"/>
              </w:rPr>
            </w:pPr>
          </w:p>
        </w:tc>
        <w:tc>
          <w:tcPr>
            <w:tcW w:w="110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4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112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Walling</w:t>
            </w:r>
          </w:p>
        </w:tc>
        <w:tc>
          <w:tcPr>
            <w:tcW w:w="110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931</w:t>
            </w:r>
          </w:p>
        </w:tc>
        <w:tc>
          <w:tcPr>
            <w:tcW w:w="1120" w:type="dxa"/>
            <w:vAlign w:val="bottom"/>
            <w:tcBorders>
              <w:bottom w:val="single" w:sz="8" w:color="DADADA"/>
              <w:right w:val="single" w:sz="8" w:color="3F000B"/>
            </w:tcBorders>
            <w:shd w:val="clear" w:color="auto" w:fill="DADADA"/>
          </w:tcPr>
          <w:p>
            <w:pPr>
              <w:jc w:val="right"/>
              <w:ind w:right="2"/>
              <w:spacing w:after="0"/>
              <w:rPr>
                <w:sz w:val="20"/>
                <w:szCs w:val="20"/>
                <w:color w:val="auto"/>
              </w:rPr>
            </w:pPr>
            <w:r>
              <w:rPr>
                <w:rFonts w:ascii="Arial" w:cs="Arial" w:eastAsia="Arial" w:hAnsi="Arial"/>
                <w:sz w:val="13"/>
                <w:szCs w:val="13"/>
                <w:color w:val="auto"/>
              </w:rPr>
              <w:t>372,456</w:t>
            </w:r>
          </w:p>
        </w:tc>
        <w:tc>
          <w:tcPr>
            <w:tcW w:w="11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744,912</w:t>
            </w:r>
          </w:p>
        </w:tc>
        <w:tc>
          <w:tcPr>
            <w:tcW w:w="114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DADADA"/>
              <w:right w:val="single" w:sz="8" w:color="3F000B"/>
            </w:tcBorders>
            <w:shd w:val="clear" w:color="auto" w:fill="DADADA"/>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DADADA"/>
              <w:right w:val="single" w:sz="8" w:color="3F000B"/>
            </w:tcBorders>
            <w:shd w:val="clear" w:color="auto" w:fill="DADADA"/>
          </w:tcPr>
          <w:p>
            <w:pPr>
              <w:jc w:val="right"/>
              <w:ind w:right="2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1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Ms. West</w:t>
            </w:r>
          </w:p>
        </w:tc>
        <w:tc>
          <w:tcPr>
            <w:tcW w:w="110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1,406</w:t>
            </w:r>
          </w:p>
        </w:tc>
        <w:tc>
          <w:tcPr>
            <w:tcW w:w="1120" w:type="dxa"/>
            <w:vAlign w:val="bottom"/>
            <w:tcBorders>
              <w:right w:val="single" w:sz="8" w:color="3F000B"/>
            </w:tcBorders>
          </w:tcPr>
          <w:p>
            <w:pPr>
              <w:jc w:val="right"/>
              <w:ind w:right="2"/>
              <w:spacing w:after="0"/>
              <w:rPr>
                <w:sz w:val="20"/>
                <w:szCs w:val="20"/>
                <w:color w:val="auto"/>
              </w:rPr>
            </w:pPr>
            <w:r>
              <w:rPr>
                <w:rFonts w:ascii="Arial" w:cs="Arial" w:eastAsia="Arial" w:hAnsi="Arial"/>
                <w:sz w:val="13"/>
                <w:szCs w:val="13"/>
                <w:color w:val="auto"/>
              </w:rPr>
              <w:t>562,416</w:t>
            </w:r>
          </w:p>
        </w:tc>
        <w:tc>
          <w:tcPr>
            <w:tcW w:w="11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1,124,832</w:t>
            </w:r>
          </w:p>
        </w:tc>
        <w:tc>
          <w:tcPr>
            <w:tcW w:w="114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3F000B"/>
            </w:tcBorders>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3F000B"/>
            </w:tcBorders>
          </w:tcPr>
          <w:p>
            <w:pPr>
              <w:jc w:val="right"/>
              <w:ind w:right="2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120" w:type="dxa"/>
            <w:vAlign w:val="bottom"/>
            <w:tcBorders>
              <w:left w:val="single" w:sz="8" w:color="3F000B"/>
              <w:bottom w:val="single" w:sz="8" w:color="3F000B"/>
              <w:right w:val="single" w:sz="8" w:color="3F000B"/>
            </w:tcBorders>
          </w:tcPr>
          <w:p>
            <w:pPr>
              <w:spacing w:after="0"/>
              <w:rPr>
                <w:sz w:val="2"/>
                <w:szCs w:val="2"/>
                <w:color w:val="auto"/>
              </w:rPr>
            </w:pPr>
          </w:p>
        </w:tc>
        <w:tc>
          <w:tcPr>
            <w:tcW w:w="1100" w:type="dxa"/>
            <w:vAlign w:val="bottom"/>
            <w:tcBorders>
              <w:bottom w:val="single" w:sz="8" w:color="3F000B"/>
              <w:right w:val="single" w:sz="8" w:color="3F000B"/>
            </w:tcBorders>
          </w:tcPr>
          <w:p>
            <w:pPr>
              <w:spacing w:after="0"/>
              <w:rPr>
                <w:sz w:val="2"/>
                <w:szCs w:val="2"/>
                <w:color w:val="auto"/>
              </w:rPr>
            </w:pPr>
          </w:p>
        </w:tc>
        <w:tc>
          <w:tcPr>
            <w:tcW w:w="1120" w:type="dxa"/>
            <w:vAlign w:val="bottom"/>
            <w:tcBorders>
              <w:bottom w:val="single" w:sz="8" w:color="3F000B"/>
              <w:right w:val="single" w:sz="8" w:color="3F000B"/>
            </w:tcBorders>
          </w:tcPr>
          <w:p>
            <w:pPr>
              <w:spacing w:after="0"/>
              <w:rPr>
                <w:sz w:val="2"/>
                <w:szCs w:val="2"/>
                <w:color w:val="auto"/>
              </w:rPr>
            </w:pPr>
          </w:p>
        </w:tc>
        <w:tc>
          <w:tcPr>
            <w:tcW w:w="1120" w:type="dxa"/>
            <w:vAlign w:val="bottom"/>
            <w:tcBorders>
              <w:bottom w:val="single" w:sz="8" w:color="3F000B"/>
              <w:right w:val="single" w:sz="8" w:color="3F000B"/>
            </w:tcBorders>
          </w:tcPr>
          <w:p>
            <w:pPr>
              <w:spacing w:after="0"/>
              <w:rPr>
                <w:sz w:val="2"/>
                <w:szCs w:val="2"/>
                <w:color w:val="auto"/>
              </w:rPr>
            </w:pPr>
          </w:p>
        </w:tc>
        <w:tc>
          <w:tcPr>
            <w:tcW w:w="1120" w:type="dxa"/>
            <w:vAlign w:val="bottom"/>
            <w:tcBorders>
              <w:bottom w:val="single" w:sz="8" w:color="3F000B"/>
              <w:right w:val="single" w:sz="8" w:color="3F000B"/>
            </w:tcBorders>
          </w:tcPr>
          <w:p>
            <w:pPr>
              <w:spacing w:after="0"/>
              <w:rPr>
                <w:sz w:val="2"/>
                <w:szCs w:val="2"/>
                <w:color w:val="auto"/>
              </w:rPr>
            </w:pPr>
          </w:p>
        </w:tc>
        <w:tc>
          <w:tcPr>
            <w:tcW w:w="1140" w:type="dxa"/>
            <w:vAlign w:val="bottom"/>
            <w:tcBorders>
              <w:bottom w:val="single" w:sz="8" w:color="3F000B"/>
              <w:right w:val="single" w:sz="8" w:color="3F000B"/>
            </w:tcBorders>
          </w:tcPr>
          <w:p>
            <w:pPr>
              <w:spacing w:after="0"/>
              <w:rPr>
                <w:sz w:val="2"/>
                <w:szCs w:val="2"/>
                <w:color w:val="auto"/>
              </w:rPr>
            </w:pPr>
          </w:p>
        </w:tc>
        <w:tc>
          <w:tcPr>
            <w:tcW w:w="1120" w:type="dxa"/>
            <w:vAlign w:val="bottom"/>
            <w:tcBorders>
              <w:bottom w:val="single" w:sz="8" w:color="3F000B"/>
              <w:right w:val="single" w:sz="8" w:color="3F000B"/>
            </w:tcBorders>
          </w:tcPr>
          <w:p>
            <w:pPr>
              <w:spacing w:after="0"/>
              <w:rPr>
                <w:sz w:val="2"/>
                <w:szCs w:val="2"/>
                <w:color w:val="auto"/>
              </w:rPr>
            </w:pPr>
          </w:p>
        </w:tc>
        <w:tc>
          <w:tcPr>
            <w:tcW w:w="1120" w:type="dxa"/>
            <w:vAlign w:val="bottom"/>
            <w:tcBorders>
              <w:bottom w:val="single" w:sz="8" w:color="3F000B"/>
              <w:right w:val="single" w:sz="8" w:color="3F000B"/>
            </w:tcBorders>
          </w:tcPr>
          <w:p>
            <w:pPr>
              <w:spacing w:after="0"/>
              <w:rPr>
                <w:sz w:val="2"/>
                <w:szCs w:val="2"/>
                <w:color w:val="auto"/>
              </w:rPr>
            </w:pPr>
          </w:p>
        </w:tc>
        <w:tc>
          <w:tcPr>
            <w:tcW w:w="1120" w:type="dxa"/>
            <w:vAlign w:val="bottom"/>
            <w:tcBorders>
              <w:bottom w:val="single" w:sz="8" w:color="3F000B"/>
              <w:right w:val="single" w:sz="8" w:color="3F000B"/>
            </w:tcBorders>
          </w:tcPr>
          <w:p>
            <w:pPr>
              <w:spacing w:after="0"/>
              <w:rPr>
                <w:sz w:val="2"/>
                <w:szCs w:val="2"/>
                <w:color w:val="auto"/>
              </w:rPr>
            </w:pPr>
          </w:p>
        </w:tc>
        <w:tc>
          <w:tcPr>
            <w:tcW w:w="112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Column (b) represents the grant date for the PSUs reflected in Columns (f), (g) and (h) and the RSUs reflected in Column (i). All awards were made under the EICP.</w:t>
      </w:r>
    </w:p>
    <w:p>
      <w:pPr>
        <w:spacing w:after="0" w:line="109" w:lineRule="exact"/>
        <w:rPr>
          <w:rFonts w:ascii="Arial" w:cs="Arial" w:eastAsia="Arial" w:hAnsi="Arial"/>
          <w:sz w:val="14"/>
          <w:szCs w:val="14"/>
          <w:color w:val="auto"/>
        </w:rPr>
      </w:pPr>
    </w:p>
    <w:p>
      <w:pPr>
        <w:ind w:left="340" w:right="440" w:hanging="332"/>
        <w:spacing w:after="0" w:line="273" w:lineRule="auto"/>
        <w:tabs>
          <w:tab w:leader="none" w:pos="33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Columns (c), (d) and (e) represent the threshold, target and maximum potential amounts each NEO had the opportunity to earn based on the OHIP targets and performance measures approved for the NEOs in February 2020. All amounts shown in Columns (c), (d) and (e) are based upon actual salary received in 2020.</w:t>
      </w:r>
    </w:p>
    <w:p>
      <w:pPr>
        <w:spacing w:after="0" w:line="65" w:lineRule="exact"/>
        <w:rPr>
          <w:rFonts w:ascii="Arial" w:cs="Arial" w:eastAsia="Arial" w:hAnsi="Arial"/>
          <w:sz w:val="14"/>
          <w:szCs w:val="14"/>
          <w:color w:val="auto"/>
        </w:rPr>
      </w:pPr>
    </w:p>
    <w:p>
      <w:pPr>
        <w:ind w:left="340" w:right="2020"/>
        <w:spacing w:after="0" w:line="273" w:lineRule="auto"/>
        <w:rPr>
          <w:rFonts w:ascii="Arial" w:cs="Arial" w:eastAsia="Arial" w:hAnsi="Arial"/>
          <w:sz w:val="14"/>
          <w:szCs w:val="14"/>
          <w:color w:val="auto"/>
        </w:rPr>
      </w:pPr>
      <w:r>
        <w:rPr>
          <w:rFonts w:ascii="Arial" w:cs="Arial" w:eastAsia="Arial" w:hAnsi="Arial"/>
          <w:sz w:val="13"/>
          <w:szCs w:val="13"/>
          <w:color w:val="auto"/>
        </w:rPr>
        <w:t>With the exception of Ms. Buck, the threshold amount is the amount that would have been payable had the minimum individual performance score been achieved and the Company performance score been zero. For Ms. Buck, the threshold amount is the amount that would have been payable had the minimum Company performance score been achieved. The target amount is the amount that would have been payable had the Company and individual performance scores been 100% on all metrics. The maximum amount is the amount that would have been payable had the maximum score been achieved on all metrics. The actual amounts awarded for 2020 are reported in column (g) of the Summary Compensation Table.</w:t>
      </w:r>
    </w:p>
    <w:p>
      <w:pPr>
        <w:spacing w:after="0" w:line="67" w:lineRule="exact"/>
        <w:rPr>
          <w:rFonts w:ascii="Arial" w:cs="Arial" w:eastAsia="Arial" w:hAnsi="Arial"/>
          <w:sz w:val="14"/>
          <w:szCs w:val="14"/>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Columns (f), (g) and (h) represent the number of threshold, target and maximum potential PSUs that can be earned for the 2020-2022 performance cycle.</w:t>
      </w:r>
    </w:p>
    <w:p>
      <w:pPr>
        <w:spacing w:after="0" w:line="109" w:lineRule="exact"/>
        <w:rPr>
          <w:sz w:val="20"/>
          <w:szCs w:val="20"/>
          <w:color w:val="auto"/>
        </w:rPr>
      </w:pPr>
    </w:p>
    <w:p>
      <w:pPr>
        <w:ind w:left="340" w:right="420" w:hanging="179"/>
        <w:spacing w:after="0" w:line="273" w:lineRule="auto"/>
        <w:rPr>
          <w:sz w:val="20"/>
          <w:szCs w:val="20"/>
          <w:color w:val="auto"/>
        </w:rPr>
      </w:pPr>
      <w:r>
        <w:rPr>
          <w:rFonts w:ascii="Arial" w:cs="Arial" w:eastAsia="Arial" w:hAnsi="Arial"/>
          <w:sz w:val="14"/>
          <w:szCs w:val="14"/>
          <w:color w:val="auto"/>
        </w:rPr>
        <w:t>Each PSU represents the value of one share of our Common Stock. The number of PSUs earned for the 2020-2022 performance cycle will depend upon achievement against the metrics explained in the Compensation Discussion &amp; Analysis in the section entitled “Performance Stock Unit Targets and Results.”</w:t>
      </w:r>
    </w:p>
    <w:p>
      <w:pPr>
        <w:spacing w:after="0" w:line="66" w:lineRule="exact"/>
        <w:rPr>
          <w:sz w:val="20"/>
          <w:szCs w:val="20"/>
          <w:color w:val="auto"/>
        </w:rPr>
      </w:pPr>
    </w:p>
    <w:p>
      <w:pPr>
        <w:ind w:left="340" w:right="40" w:hanging="179"/>
        <w:spacing w:after="0" w:line="257" w:lineRule="auto"/>
        <w:rPr>
          <w:sz w:val="20"/>
          <w:szCs w:val="20"/>
          <w:color w:val="auto"/>
        </w:rPr>
      </w:pPr>
      <w:r>
        <w:rPr>
          <w:rFonts w:ascii="Arial" w:cs="Arial" w:eastAsia="Arial" w:hAnsi="Arial"/>
          <w:sz w:val="14"/>
          <w:szCs w:val="14"/>
          <w:color w:val="auto"/>
        </w:rPr>
        <w:t>Payment, if any, will be made in shares of the Company’s Common Stock at the conclusion of the three-year performance cycle. The minimum award as shown in Column (f) is the number of shares payable for achievement of the threshold level of performance on one of the metrics and the maximum award as shown in Column (h) is the number of shares payable for achievement of the maximum level of performance on all metrics.</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More information regarding PSUs and the 2020 awards can be found in the Compensation Discussion &amp; Analysis and the Outstanding Equity Awards at 2020 Fiscal-Year End Table.</w:t>
      </w:r>
    </w:p>
    <w:p>
      <w:pPr>
        <w:spacing w:after="0" w:line="121" w:lineRule="exact"/>
        <w:rPr>
          <w:sz w:val="20"/>
          <w:szCs w:val="20"/>
          <w:color w:val="auto"/>
        </w:rPr>
      </w:pPr>
    </w:p>
    <w:p>
      <w:pPr>
        <w:ind w:left="340" w:right="60" w:hanging="332"/>
        <w:spacing w:after="0" w:line="252" w:lineRule="auto"/>
        <w:tabs>
          <w:tab w:leader="none" w:pos="332" w:val="left"/>
        </w:tabs>
        <w:numPr>
          <w:ilvl w:val="0"/>
          <w:numId w:val="147"/>
        </w:numPr>
        <w:rPr>
          <w:rFonts w:ascii="Arial" w:cs="Arial" w:eastAsia="Arial" w:hAnsi="Arial"/>
          <w:sz w:val="14"/>
          <w:szCs w:val="14"/>
          <w:color w:val="auto"/>
        </w:rPr>
      </w:pPr>
      <w:r>
        <w:rPr>
          <w:rFonts w:ascii="Arial" w:cs="Arial" w:eastAsia="Arial" w:hAnsi="Arial"/>
          <w:sz w:val="14"/>
          <w:szCs w:val="14"/>
          <w:color w:val="auto"/>
        </w:rPr>
        <w:t>For Ms. Buck and Messrs. Atkins, Raup, Reiman and Voskuil, Column (i) represents the number of annual RSUs granted on February 25, 2020. Target RSU awards were determined by multiplying 35% of the executive’s long-term incentive target percentage times his or her 2020 base salary, divided by the closing price of the Company’s Common Stock on the NYSE on the award date as shown in Column (j). The actual number of RSUs awarded varied from the target level based on the executive’s performance evaluation for the year ended December 31, 2019. Annual RSU awards vest in thirds over three years.</w:t>
      </w:r>
    </w:p>
    <w:p>
      <w:pPr>
        <w:spacing w:after="0" w:line="80" w:lineRule="exact"/>
        <w:rPr>
          <w:sz w:val="20"/>
          <w:szCs w:val="20"/>
          <w:color w:val="auto"/>
        </w:rPr>
      </w:pPr>
    </w:p>
    <w:p>
      <w:pPr>
        <w:ind w:left="340" w:right="420" w:hanging="179"/>
        <w:spacing w:after="0" w:line="273" w:lineRule="auto"/>
        <w:rPr>
          <w:sz w:val="20"/>
          <w:szCs w:val="20"/>
          <w:color w:val="auto"/>
        </w:rPr>
      </w:pPr>
      <w:r>
        <w:rPr>
          <w:rFonts w:ascii="Arial" w:cs="Arial" w:eastAsia="Arial" w:hAnsi="Arial"/>
          <w:sz w:val="14"/>
          <w:szCs w:val="14"/>
          <w:color w:val="auto"/>
        </w:rPr>
        <w:t>Information on the treatment of RSUs upon retirement, death, disability, termination, or Change in Control can be found in the section entitled “Potential Payments upon Termination or Change in Control.”</w:t>
      </w:r>
    </w:p>
    <w:p>
      <w:pPr>
        <w:spacing w:after="0" w:line="66" w:lineRule="exact"/>
        <w:rPr>
          <w:sz w:val="20"/>
          <w:szCs w:val="20"/>
          <w:color w:val="auto"/>
        </w:rPr>
      </w:pPr>
    </w:p>
    <w:p>
      <w:pPr>
        <w:ind w:left="340" w:right="180" w:hanging="332"/>
        <w:spacing w:after="0" w:line="286" w:lineRule="auto"/>
        <w:tabs>
          <w:tab w:leader="none" w:pos="332" w:val="left"/>
        </w:tabs>
        <w:numPr>
          <w:ilvl w:val="0"/>
          <w:numId w:val="148"/>
        </w:numPr>
        <w:rPr>
          <w:rFonts w:ascii="Arial" w:cs="Arial" w:eastAsia="Arial" w:hAnsi="Arial"/>
          <w:sz w:val="13"/>
          <w:szCs w:val="13"/>
          <w:color w:val="auto"/>
        </w:rPr>
      </w:pPr>
      <w:r>
        <w:rPr>
          <w:rFonts w:ascii="Arial" w:cs="Arial" w:eastAsia="Arial" w:hAnsi="Arial"/>
          <w:sz w:val="13"/>
          <w:szCs w:val="13"/>
          <w:color w:val="auto"/>
        </w:rPr>
        <w:t>Column (j) presents the aggregate grant date fair value of (1) the target number of PSUs reported in Column (g) and (2) the number of RSUs reported in Column (i), in each case as determined in accordance with Financial Accounting Standards Board Accounting Standards Codification Topic 718. The assumptions used in determining these amounts are set forth in Note 12 to the Company’s Consolidated Financial Statements included in our 2020 Annual Report on Form 10-K that accompanies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320" w:top="1111" w:right="39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3F000B"/>
        </w:rPr>
        <w:t>Outstanding Equity Awards at 2020 Fiscal-Year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3935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93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explanatory footnotes provide information regarding unexercised stock options and unvested stock awards held by our NEOs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240" w:type="dxa"/>
            <w:vAlign w:val="bottom"/>
            <w:tcBorders>
              <w:top w:val="single" w:sz="8" w:color="3F000B"/>
              <w:left w:val="single" w:sz="8" w:color="3F000B"/>
              <w:bottom w:val="single" w:sz="8" w:color="3F000B"/>
              <w:right w:val="single" w:sz="8" w:color="3F000B"/>
            </w:tcBorders>
            <w:shd w:val="clear" w:color="auto" w:fill="3F000B"/>
          </w:tcPr>
          <w:p>
            <w:pPr>
              <w:spacing w:after="0"/>
              <w:rPr>
                <w:sz w:val="24"/>
                <w:szCs w:val="24"/>
                <w:color w:val="auto"/>
              </w:rPr>
            </w:pPr>
          </w:p>
        </w:tc>
        <w:tc>
          <w:tcPr>
            <w:tcW w:w="1060" w:type="dxa"/>
            <w:vAlign w:val="bottom"/>
            <w:tcBorders>
              <w:top w:val="single" w:sz="8" w:color="3F000B"/>
              <w:bottom w:val="single" w:sz="8" w:color="DADADA"/>
              <w:right w:val="single" w:sz="8" w:color="3F000B"/>
            </w:tcBorders>
            <w:shd w:val="clear" w:color="auto" w:fill="3F000B"/>
          </w:tcPr>
          <w:p>
            <w:pPr>
              <w:spacing w:after="0"/>
              <w:rPr>
                <w:sz w:val="24"/>
                <w:szCs w:val="24"/>
                <w:color w:val="auto"/>
              </w:rPr>
            </w:pPr>
          </w:p>
        </w:tc>
        <w:tc>
          <w:tcPr>
            <w:tcW w:w="2260" w:type="dxa"/>
            <w:vAlign w:val="bottom"/>
            <w:tcBorders>
              <w:top w:val="single" w:sz="8" w:color="3F000B"/>
              <w:bottom w:val="single" w:sz="8" w:color="DADADA"/>
              <w:right w:val="single" w:sz="8" w:color="3F000B"/>
            </w:tcBorders>
            <w:gridSpan w:val="2"/>
            <w:shd w:val="clear" w:color="auto" w:fill="3F000B"/>
          </w:tcPr>
          <w:p>
            <w:pPr>
              <w:ind w:left="1080"/>
              <w:spacing w:after="0"/>
              <w:rPr>
                <w:sz w:val="20"/>
                <w:szCs w:val="20"/>
                <w:color w:val="auto"/>
              </w:rPr>
            </w:pPr>
            <w:r>
              <w:rPr>
                <w:rFonts w:ascii="Arial" w:cs="Arial" w:eastAsia="Arial" w:hAnsi="Arial"/>
                <w:sz w:val="13"/>
                <w:szCs w:val="13"/>
                <w:b w:val="1"/>
                <w:bCs w:val="1"/>
                <w:color w:val="FFFFFF"/>
              </w:rPr>
              <w:t>Option Awards</w:t>
            </w:r>
            <w:r>
              <w:rPr>
                <w:rFonts w:ascii="Arial" w:cs="Arial" w:eastAsia="Arial" w:hAnsi="Arial"/>
                <w:sz w:val="16"/>
                <w:szCs w:val="16"/>
                <w:b w:val="1"/>
                <w:bCs w:val="1"/>
                <w:color w:val="FFFFFF"/>
                <w:vertAlign w:val="superscript"/>
              </w:rPr>
              <w:t>(1)</w:t>
            </w:r>
          </w:p>
        </w:tc>
        <w:tc>
          <w:tcPr>
            <w:tcW w:w="960" w:type="dxa"/>
            <w:vAlign w:val="bottom"/>
            <w:tcBorders>
              <w:top w:val="single" w:sz="8" w:color="3F000B"/>
              <w:bottom w:val="single" w:sz="8" w:color="DADADA"/>
              <w:right w:val="single" w:sz="8" w:color="3F000B"/>
            </w:tcBorders>
            <w:shd w:val="clear" w:color="auto" w:fill="3F000B"/>
          </w:tcPr>
          <w:p>
            <w:pPr>
              <w:spacing w:after="0"/>
              <w:rPr>
                <w:sz w:val="24"/>
                <w:szCs w:val="24"/>
                <w:color w:val="auto"/>
              </w:rPr>
            </w:pPr>
          </w:p>
        </w:tc>
        <w:tc>
          <w:tcPr>
            <w:tcW w:w="940" w:type="dxa"/>
            <w:vAlign w:val="bottom"/>
            <w:tcBorders>
              <w:top w:val="single" w:sz="8" w:color="3F000B"/>
              <w:bottom w:val="single" w:sz="8" w:color="DADADA"/>
              <w:right w:val="single" w:sz="8" w:color="DADADA"/>
            </w:tcBorders>
            <w:shd w:val="clear" w:color="auto" w:fill="3F000B"/>
          </w:tcPr>
          <w:p>
            <w:pPr>
              <w:spacing w:after="0"/>
              <w:rPr>
                <w:sz w:val="24"/>
                <w:szCs w:val="24"/>
                <w:color w:val="auto"/>
              </w:rPr>
            </w:pPr>
          </w:p>
        </w:tc>
        <w:tc>
          <w:tcPr>
            <w:tcW w:w="1200" w:type="dxa"/>
            <w:vAlign w:val="bottom"/>
            <w:tcBorders>
              <w:top w:val="single" w:sz="8" w:color="3F000B"/>
              <w:bottom w:val="single" w:sz="8" w:color="DADADA"/>
              <w:right w:val="single" w:sz="8" w:color="3F000B"/>
            </w:tcBorders>
            <w:shd w:val="clear" w:color="auto" w:fill="3F000B"/>
          </w:tcPr>
          <w:p>
            <w:pPr>
              <w:spacing w:after="0"/>
              <w:rPr>
                <w:sz w:val="24"/>
                <w:szCs w:val="24"/>
                <w:color w:val="auto"/>
              </w:rPr>
            </w:pPr>
          </w:p>
        </w:tc>
        <w:tc>
          <w:tcPr>
            <w:tcW w:w="2380" w:type="dxa"/>
            <w:vAlign w:val="bottom"/>
            <w:tcBorders>
              <w:top w:val="single" w:sz="8" w:color="3F000B"/>
              <w:bottom w:val="single" w:sz="8" w:color="DADADA"/>
              <w:right w:val="single" w:sz="8" w:color="3F000B"/>
            </w:tcBorders>
            <w:gridSpan w:val="2"/>
            <w:shd w:val="clear" w:color="auto" w:fill="3F000B"/>
          </w:tcPr>
          <w:p>
            <w:pPr>
              <w:jc w:val="right"/>
              <w:ind w:right="772"/>
              <w:spacing w:after="0"/>
              <w:rPr>
                <w:sz w:val="20"/>
                <w:szCs w:val="20"/>
                <w:color w:val="auto"/>
              </w:rPr>
            </w:pPr>
            <w:r>
              <w:rPr>
                <w:rFonts w:ascii="Arial" w:cs="Arial" w:eastAsia="Arial" w:hAnsi="Arial"/>
                <w:sz w:val="13"/>
                <w:szCs w:val="13"/>
                <w:b w:val="1"/>
                <w:bCs w:val="1"/>
                <w:color w:val="FFFFFF"/>
              </w:rPr>
              <w:t>Stock Awards</w:t>
            </w:r>
          </w:p>
        </w:tc>
        <w:tc>
          <w:tcPr>
            <w:tcW w:w="1180" w:type="dxa"/>
            <w:vAlign w:val="bottom"/>
            <w:tcBorders>
              <w:top w:val="single" w:sz="8" w:color="3F000B"/>
              <w:bottom w:val="single" w:sz="8" w:color="DADADA"/>
              <w:right w:val="single" w:sz="8" w:color="3F000B"/>
            </w:tcBorders>
            <w:shd w:val="clear" w:color="auto" w:fill="3F000B"/>
          </w:tcPr>
          <w:p>
            <w:pPr>
              <w:spacing w:after="0"/>
              <w:rPr>
                <w:sz w:val="24"/>
                <w:szCs w:val="24"/>
                <w:color w:val="auto"/>
              </w:rPr>
            </w:pPr>
          </w:p>
        </w:tc>
      </w:tr>
      <w:tr>
        <w:trPr>
          <w:trHeight w:val="240"/>
        </w:trPr>
        <w:tc>
          <w:tcPr>
            <w:tcW w:w="1240" w:type="dxa"/>
            <w:vAlign w:val="bottom"/>
            <w:tcBorders>
              <w:left w:val="single" w:sz="8" w:color="3F000B"/>
              <w:right w:val="single" w:sz="8" w:color="3F000B"/>
            </w:tcBorders>
            <w:shd w:val="clear" w:color="auto" w:fill="3F000B"/>
          </w:tcPr>
          <w:p>
            <w:pPr>
              <w:spacing w:after="0"/>
              <w:rPr>
                <w:sz w:val="20"/>
                <w:szCs w:val="20"/>
                <w:color w:val="auto"/>
              </w:rPr>
            </w:pPr>
          </w:p>
        </w:tc>
        <w:tc>
          <w:tcPr>
            <w:tcW w:w="1060" w:type="dxa"/>
            <w:vAlign w:val="bottom"/>
            <w:tcBorders>
              <w:right w:val="single" w:sz="8" w:color="DADADA"/>
            </w:tcBorders>
            <w:shd w:val="clear" w:color="auto" w:fill="3F000B"/>
          </w:tcPr>
          <w:p>
            <w:pPr>
              <w:spacing w:after="0"/>
              <w:rPr>
                <w:sz w:val="20"/>
                <w:szCs w:val="20"/>
                <w:color w:val="auto"/>
              </w:rPr>
            </w:pPr>
          </w:p>
        </w:tc>
        <w:tc>
          <w:tcPr>
            <w:tcW w:w="1260" w:type="dxa"/>
            <w:vAlign w:val="bottom"/>
            <w:tcBorders>
              <w:right w:val="single" w:sz="8" w:color="DADADA"/>
            </w:tcBorders>
            <w:shd w:val="clear" w:color="auto" w:fill="3F000B"/>
          </w:tcPr>
          <w:p>
            <w:pPr>
              <w:spacing w:after="0"/>
              <w:rPr>
                <w:sz w:val="20"/>
                <w:szCs w:val="20"/>
                <w:color w:val="auto"/>
              </w:rPr>
            </w:pPr>
          </w:p>
        </w:tc>
        <w:tc>
          <w:tcPr>
            <w:tcW w:w="1000" w:type="dxa"/>
            <w:vAlign w:val="bottom"/>
            <w:tcBorders>
              <w:right w:val="single" w:sz="8" w:color="DADADA"/>
            </w:tcBorders>
            <w:shd w:val="clear" w:color="auto" w:fill="3F000B"/>
          </w:tcPr>
          <w:p>
            <w:pPr>
              <w:spacing w:after="0"/>
              <w:rPr>
                <w:sz w:val="20"/>
                <w:szCs w:val="20"/>
                <w:color w:val="auto"/>
              </w:rPr>
            </w:pPr>
          </w:p>
        </w:tc>
        <w:tc>
          <w:tcPr>
            <w:tcW w:w="960" w:type="dxa"/>
            <w:vAlign w:val="bottom"/>
            <w:tcBorders>
              <w:right w:val="single" w:sz="8" w:color="DADADA"/>
            </w:tcBorders>
            <w:shd w:val="clear" w:color="auto" w:fill="3F000B"/>
          </w:tcPr>
          <w:p>
            <w:pPr>
              <w:spacing w:after="0"/>
              <w:rPr>
                <w:sz w:val="20"/>
                <w:szCs w:val="20"/>
                <w:color w:val="auto"/>
              </w:rPr>
            </w:pPr>
          </w:p>
        </w:tc>
        <w:tc>
          <w:tcPr>
            <w:tcW w:w="940" w:type="dxa"/>
            <w:vAlign w:val="bottom"/>
            <w:tcBorders>
              <w:right w:val="single" w:sz="8" w:color="DADADA"/>
            </w:tcBorders>
            <w:shd w:val="clear" w:color="auto" w:fill="3F000B"/>
          </w:tcPr>
          <w:p>
            <w:pPr>
              <w:spacing w:after="0"/>
              <w:rPr>
                <w:sz w:val="20"/>
                <w:szCs w:val="20"/>
                <w:color w:val="auto"/>
              </w:rPr>
            </w:pPr>
          </w:p>
        </w:tc>
        <w:tc>
          <w:tcPr>
            <w:tcW w:w="1200" w:type="dxa"/>
            <w:vAlign w:val="bottom"/>
            <w:tcBorders>
              <w:right w:val="single" w:sz="8" w:color="DADADA"/>
            </w:tcBorders>
            <w:shd w:val="clear" w:color="auto" w:fill="3F000B"/>
          </w:tcPr>
          <w:p>
            <w:pPr>
              <w:spacing w:after="0"/>
              <w:rPr>
                <w:sz w:val="20"/>
                <w:szCs w:val="20"/>
                <w:color w:val="auto"/>
              </w:rPr>
            </w:pPr>
          </w:p>
        </w:tc>
        <w:tc>
          <w:tcPr>
            <w:tcW w:w="1180" w:type="dxa"/>
            <w:vAlign w:val="bottom"/>
            <w:tcBorders>
              <w:right w:val="single" w:sz="8" w:color="DADADA"/>
            </w:tcBorders>
            <w:shd w:val="clear" w:color="auto" w:fill="3F000B"/>
          </w:tcPr>
          <w:p>
            <w:pPr>
              <w:spacing w:after="0"/>
              <w:rPr>
                <w:sz w:val="20"/>
                <w:szCs w:val="20"/>
                <w:color w:val="auto"/>
              </w:rPr>
            </w:pPr>
          </w:p>
        </w:tc>
        <w:tc>
          <w:tcPr>
            <w:tcW w:w="1200" w:type="dxa"/>
            <w:vAlign w:val="bottom"/>
            <w:tcBorders>
              <w:right w:val="single" w:sz="8" w:color="DADADA"/>
            </w:tcBorders>
            <w:shd w:val="clear" w:color="auto" w:fill="3F000B"/>
          </w:tcPr>
          <w:p>
            <w:pPr>
              <w:spacing w:after="0"/>
              <w:rPr>
                <w:sz w:val="20"/>
                <w:szCs w:val="20"/>
                <w:color w:val="auto"/>
              </w:rPr>
            </w:pP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Equity</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spacing w:after="0"/>
              <w:rPr>
                <w:sz w:val="16"/>
                <w:szCs w:val="16"/>
                <w:color w:val="auto"/>
              </w:rPr>
            </w:pPr>
          </w:p>
        </w:tc>
        <w:tc>
          <w:tcPr>
            <w:tcW w:w="1260" w:type="dxa"/>
            <w:vAlign w:val="bottom"/>
            <w:tcBorders>
              <w:right w:val="single" w:sz="8" w:color="DADADA"/>
            </w:tcBorders>
            <w:shd w:val="clear" w:color="auto" w:fill="3F000B"/>
          </w:tcPr>
          <w:p>
            <w:pPr>
              <w:spacing w:after="0"/>
              <w:rPr>
                <w:sz w:val="16"/>
                <w:szCs w:val="16"/>
                <w:color w:val="auto"/>
              </w:rPr>
            </w:pPr>
          </w:p>
        </w:tc>
        <w:tc>
          <w:tcPr>
            <w:tcW w:w="1000" w:type="dxa"/>
            <w:vAlign w:val="bottom"/>
            <w:tcBorders>
              <w:right w:val="single" w:sz="8" w:color="DADADA"/>
            </w:tcBorders>
            <w:shd w:val="clear" w:color="auto" w:fill="3F000B"/>
          </w:tcPr>
          <w:p>
            <w:pPr>
              <w:spacing w:after="0"/>
              <w:rPr>
                <w:sz w:val="16"/>
                <w:szCs w:val="16"/>
                <w:color w:val="auto"/>
              </w:rPr>
            </w:pP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spacing w:after="0"/>
              <w:rPr>
                <w:sz w:val="16"/>
                <w:szCs w:val="16"/>
                <w:color w:val="auto"/>
              </w:rPr>
            </w:pPr>
          </w:p>
        </w:tc>
        <w:tc>
          <w:tcPr>
            <w:tcW w:w="118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Equity</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Incentive</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spacing w:after="0"/>
              <w:rPr>
                <w:sz w:val="16"/>
                <w:szCs w:val="16"/>
                <w:color w:val="auto"/>
              </w:rPr>
            </w:pPr>
          </w:p>
        </w:tc>
        <w:tc>
          <w:tcPr>
            <w:tcW w:w="1260" w:type="dxa"/>
            <w:vAlign w:val="bottom"/>
            <w:tcBorders>
              <w:right w:val="single" w:sz="8" w:color="DADADA"/>
            </w:tcBorders>
            <w:shd w:val="clear" w:color="auto" w:fill="3F000B"/>
          </w:tcPr>
          <w:p>
            <w:pPr>
              <w:spacing w:after="0"/>
              <w:rPr>
                <w:sz w:val="16"/>
                <w:szCs w:val="16"/>
                <w:color w:val="auto"/>
              </w:rPr>
            </w:pPr>
          </w:p>
        </w:tc>
        <w:tc>
          <w:tcPr>
            <w:tcW w:w="1000" w:type="dxa"/>
            <w:vAlign w:val="bottom"/>
            <w:tcBorders>
              <w:right w:val="single" w:sz="8" w:color="DADADA"/>
            </w:tcBorders>
            <w:shd w:val="clear" w:color="auto" w:fill="3F000B"/>
          </w:tcPr>
          <w:p>
            <w:pPr>
              <w:spacing w:after="0"/>
              <w:rPr>
                <w:sz w:val="16"/>
                <w:szCs w:val="16"/>
                <w:color w:val="auto"/>
              </w:rPr>
            </w:pP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spacing w:after="0"/>
              <w:rPr>
                <w:sz w:val="16"/>
                <w:szCs w:val="16"/>
                <w:color w:val="auto"/>
              </w:rPr>
            </w:pPr>
          </w:p>
        </w:tc>
        <w:tc>
          <w:tcPr>
            <w:tcW w:w="118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Incentive</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4"/>
              </w:rPr>
              <w:t>Plan</w:t>
            </w:r>
          </w:p>
        </w:tc>
      </w:tr>
      <w:tr>
        <w:trPr>
          <w:trHeight w:val="176"/>
        </w:trPr>
        <w:tc>
          <w:tcPr>
            <w:tcW w:w="1240" w:type="dxa"/>
            <w:vAlign w:val="bottom"/>
            <w:tcBorders>
              <w:left w:val="single" w:sz="8" w:color="3F000B"/>
              <w:right w:val="single" w:sz="8" w:color="3F000B"/>
            </w:tcBorders>
            <w:shd w:val="clear" w:color="auto" w:fill="3F000B"/>
          </w:tcPr>
          <w:p>
            <w:pPr>
              <w:spacing w:after="0"/>
              <w:rPr>
                <w:sz w:val="15"/>
                <w:szCs w:val="15"/>
                <w:color w:val="auto"/>
              </w:rPr>
            </w:pPr>
          </w:p>
        </w:tc>
        <w:tc>
          <w:tcPr>
            <w:tcW w:w="1060" w:type="dxa"/>
            <w:vAlign w:val="bottom"/>
            <w:tcBorders>
              <w:right w:val="single" w:sz="8" w:color="DADADA"/>
            </w:tcBorders>
            <w:shd w:val="clear" w:color="auto" w:fill="3F000B"/>
          </w:tcPr>
          <w:p>
            <w:pPr>
              <w:spacing w:after="0"/>
              <w:rPr>
                <w:sz w:val="15"/>
                <w:szCs w:val="15"/>
                <w:color w:val="auto"/>
              </w:rPr>
            </w:pPr>
          </w:p>
        </w:tc>
        <w:tc>
          <w:tcPr>
            <w:tcW w:w="1260" w:type="dxa"/>
            <w:vAlign w:val="bottom"/>
            <w:tcBorders>
              <w:right w:val="single" w:sz="8" w:color="DADADA"/>
            </w:tcBorders>
            <w:shd w:val="clear" w:color="auto" w:fill="3F000B"/>
          </w:tcPr>
          <w:p>
            <w:pPr>
              <w:spacing w:after="0"/>
              <w:rPr>
                <w:sz w:val="15"/>
                <w:szCs w:val="15"/>
                <w:color w:val="auto"/>
              </w:rPr>
            </w:pPr>
          </w:p>
        </w:tc>
        <w:tc>
          <w:tcPr>
            <w:tcW w:w="1000" w:type="dxa"/>
            <w:vAlign w:val="bottom"/>
            <w:tcBorders>
              <w:right w:val="single" w:sz="8" w:color="DADADA"/>
            </w:tcBorders>
            <w:shd w:val="clear" w:color="auto" w:fill="3F000B"/>
          </w:tcPr>
          <w:p>
            <w:pPr>
              <w:spacing w:after="0"/>
              <w:rPr>
                <w:sz w:val="15"/>
                <w:szCs w:val="15"/>
                <w:color w:val="auto"/>
              </w:rPr>
            </w:pPr>
          </w:p>
        </w:tc>
        <w:tc>
          <w:tcPr>
            <w:tcW w:w="960" w:type="dxa"/>
            <w:vAlign w:val="bottom"/>
            <w:tcBorders>
              <w:right w:val="single" w:sz="8" w:color="DADADA"/>
            </w:tcBorders>
            <w:shd w:val="clear" w:color="auto" w:fill="3F000B"/>
          </w:tcPr>
          <w:p>
            <w:pPr>
              <w:spacing w:after="0"/>
              <w:rPr>
                <w:sz w:val="15"/>
                <w:szCs w:val="15"/>
                <w:color w:val="auto"/>
              </w:rPr>
            </w:pPr>
          </w:p>
        </w:tc>
        <w:tc>
          <w:tcPr>
            <w:tcW w:w="940" w:type="dxa"/>
            <w:vAlign w:val="bottom"/>
            <w:tcBorders>
              <w:right w:val="single" w:sz="8" w:color="DADADA"/>
            </w:tcBorders>
            <w:shd w:val="clear" w:color="auto" w:fill="3F000B"/>
          </w:tcPr>
          <w:p>
            <w:pPr>
              <w:spacing w:after="0"/>
              <w:rPr>
                <w:sz w:val="15"/>
                <w:szCs w:val="15"/>
                <w:color w:val="auto"/>
              </w:rPr>
            </w:pPr>
          </w:p>
        </w:tc>
        <w:tc>
          <w:tcPr>
            <w:tcW w:w="1200" w:type="dxa"/>
            <w:vAlign w:val="bottom"/>
            <w:tcBorders>
              <w:right w:val="single" w:sz="8" w:color="DADADA"/>
            </w:tcBorders>
            <w:shd w:val="clear" w:color="auto" w:fill="3F000B"/>
          </w:tcPr>
          <w:p>
            <w:pPr>
              <w:spacing w:after="0"/>
              <w:rPr>
                <w:sz w:val="15"/>
                <w:szCs w:val="15"/>
                <w:color w:val="auto"/>
              </w:rPr>
            </w:pPr>
          </w:p>
        </w:tc>
        <w:tc>
          <w:tcPr>
            <w:tcW w:w="1180" w:type="dxa"/>
            <w:vAlign w:val="bottom"/>
            <w:tcBorders>
              <w:right w:val="single" w:sz="8" w:color="DADADA"/>
            </w:tcBorders>
            <w:shd w:val="clear" w:color="auto" w:fill="3F000B"/>
          </w:tcPr>
          <w:p>
            <w:pPr>
              <w:spacing w:after="0"/>
              <w:rPr>
                <w:sz w:val="15"/>
                <w:szCs w:val="15"/>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Plan</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Awards:</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spacing w:after="0"/>
              <w:rPr>
                <w:sz w:val="16"/>
                <w:szCs w:val="16"/>
                <w:color w:val="auto"/>
              </w:rPr>
            </w:pPr>
          </w:p>
        </w:tc>
        <w:tc>
          <w:tcPr>
            <w:tcW w:w="1260" w:type="dxa"/>
            <w:vAlign w:val="bottom"/>
            <w:tcBorders>
              <w:right w:val="single" w:sz="8" w:color="DADADA"/>
            </w:tcBorders>
            <w:shd w:val="clear" w:color="auto" w:fill="3F000B"/>
          </w:tcPr>
          <w:p>
            <w:pPr>
              <w:spacing w:after="0"/>
              <w:rPr>
                <w:sz w:val="16"/>
                <w:szCs w:val="16"/>
                <w:color w:val="auto"/>
              </w:rPr>
            </w:pPr>
          </w:p>
        </w:tc>
        <w:tc>
          <w:tcPr>
            <w:tcW w:w="1000" w:type="dxa"/>
            <w:vAlign w:val="bottom"/>
            <w:tcBorders>
              <w:right w:val="single" w:sz="8" w:color="DADADA"/>
            </w:tcBorders>
            <w:shd w:val="clear" w:color="auto" w:fill="3F000B"/>
          </w:tcPr>
          <w:p>
            <w:pPr>
              <w:spacing w:after="0"/>
              <w:rPr>
                <w:sz w:val="16"/>
                <w:szCs w:val="16"/>
                <w:color w:val="auto"/>
              </w:rPr>
            </w:pP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spacing w:after="0"/>
              <w:rPr>
                <w:sz w:val="16"/>
                <w:szCs w:val="16"/>
                <w:color w:val="auto"/>
              </w:rPr>
            </w:pPr>
          </w:p>
        </w:tc>
        <w:tc>
          <w:tcPr>
            <w:tcW w:w="118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Awards:</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Market</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spacing w:after="0"/>
              <w:rPr>
                <w:sz w:val="16"/>
                <w:szCs w:val="16"/>
                <w:color w:val="auto"/>
              </w:rPr>
            </w:pPr>
          </w:p>
        </w:tc>
        <w:tc>
          <w:tcPr>
            <w:tcW w:w="1260" w:type="dxa"/>
            <w:vAlign w:val="bottom"/>
            <w:tcBorders>
              <w:right w:val="single" w:sz="8" w:color="DADADA"/>
            </w:tcBorders>
            <w:shd w:val="clear" w:color="auto" w:fill="3F000B"/>
          </w:tcPr>
          <w:p>
            <w:pPr>
              <w:spacing w:after="0"/>
              <w:rPr>
                <w:sz w:val="16"/>
                <w:szCs w:val="16"/>
                <w:color w:val="auto"/>
              </w:rPr>
            </w:pP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Equity</w:t>
            </w: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spacing w:after="0"/>
              <w:rPr>
                <w:sz w:val="16"/>
                <w:szCs w:val="16"/>
                <w:color w:val="auto"/>
              </w:rPr>
            </w:pP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5"/>
              </w:rPr>
              <w:t>Market</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Number</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or Payout</w:t>
            </w:r>
          </w:p>
        </w:tc>
      </w:tr>
      <w:tr>
        <w:trPr>
          <w:trHeight w:val="176"/>
        </w:trPr>
        <w:tc>
          <w:tcPr>
            <w:tcW w:w="1240" w:type="dxa"/>
            <w:vAlign w:val="bottom"/>
            <w:tcBorders>
              <w:left w:val="single" w:sz="8" w:color="3F000B"/>
              <w:right w:val="single" w:sz="8" w:color="3F000B"/>
            </w:tcBorders>
            <w:shd w:val="clear" w:color="auto" w:fill="3F000B"/>
          </w:tcPr>
          <w:p>
            <w:pPr>
              <w:spacing w:after="0"/>
              <w:rPr>
                <w:sz w:val="15"/>
                <w:szCs w:val="15"/>
                <w:color w:val="auto"/>
              </w:rPr>
            </w:pPr>
          </w:p>
        </w:tc>
        <w:tc>
          <w:tcPr>
            <w:tcW w:w="1060" w:type="dxa"/>
            <w:vAlign w:val="bottom"/>
            <w:tcBorders>
              <w:right w:val="single" w:sz="8" w:color="DADADA"/>
            </w:tcBorders>
            <w:shd w:val="clear" w:color="auto" w:fill="3F000B"/>
          </w:tcPr>
          <w:p>
            <w:pPr>
              <w:spacing w:after="0"/>
              <w:rPr>
                <w:sz w:val="15"/>
                <w:szCs w:val="15"/>
                <w:color w:val="auto"/>
              </w:rPr>
            </w:pPr>
          </w:p>
        </w:tc>
        <w:tc>
          <w:tcPr>
            <w:tcW w:w="1260" w:type="dxa"/>
            <w:vAlign w:val="bottom"/>
            <w:tcBorders>
              <w:right w:val="single" w:sz="8" w:color="DADADA"/>
            </w:tcBorders>
            <w:shd w:val="clear" w:color="auto" w:fill="3F000B"/>
          </w:tcPr>
          <w:p>
            <w:pPr>
              <w:spacing w:after="0"/>
              <w:rPr>
                <w:sz w:val="15"/>
                <w:szCs w:val="15"/>
                <w:color w:val="auto"/>
              </w:rPr>
            </w:pP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Incentive</w:t>
            </w:r>
          </w:p>
        </w:tc>
        <w:tc>
          <w:tcPr>
            <w:tcW w:w="960" w:type="dxa"/>
            <w:vAlign w:val="bottom"/>
            <w:tcBorders>
              <w:right w:val="single" w:sz="8" w:color="DADADA"/>
            </w:tcBorders>
            <w:shd w:val="clear" w:color="auto" w:fill="3F000B"/>
          </w:tcPr>
          <w:p>
            <w:pPr>
              <w:spacing w:after="0"/>
              <w:rPr>
                <w:sz w:val="15"/>
                <w:szCs w:val="15"/>
                <w:color w:val="auto"/>
              </w:rPr>
            </w:pPr>
          </w:p>
        </w:tc>
        <w:tc>
          <w:tcPr>
            <w:tcW w:w="940" w:type="dxa"/>
            <w:vAlign w:val="bottom"/>
            <w:tcBorders>
              <w:right w:val="single" w:sz="8" w:color="DADADA"/>
            </w:tcBorders>
            <w:shd w:val="clear" w:color="auto" w:fill="3F000B"/>
          </w:tcPr>
          <w:p>
            <w:pPr>
              <w:spacing w:after="0"/>
              <w:rPr>
                <w:sz w:val="15"/>
                <w:szCs w:val="15"/>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3"/>
              </w:rPr>
              <w:t>Number</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Value</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1"/>
              </w:rPr>
              <w:t>of</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Value of</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spacing w:after="0"/>
              <w:rPr>
                <w:sz w:val="16"/>
                <w:szCs w:val="16"/>
                <w:color w:val="auto"/>
              </w:rPr>
            </w:pPr>
          </w:p>
        </w:tc>
        <w:tc>
          <w:tcPr>
            <w:tcW w:w="1260" w:type="dxa"/>
            <w:vAlign w:val="bottom"/>
            <w:tcBorders>
              <w:right w:val="single" w:sz="8" w:color="DADADA"/>
            </w:tcBorders>
            <w:shd w:val="clear" w:color="auto" w:fill="3F000B"/>
          </w:tcPr>
          <w:p>
            <w:pPr>
              <w:spacing w:after="0"/>
              <w:rPr>
                <w:sz w:val="16"/>
                <w:szCs w:val="16"/>
                <w:color w:val="auto"/>
              </w:rPr>
            </w:pP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Plan</w:t>
            </w: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1"/>
              </w:rPr>
              <w:t>of</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1"/>
              </w:rPr>
              <w:t>of</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Unearned</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Unearned</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spacing w:after="0"/>
              <w:rPr>
                <w:sz w:val="16"/>
                <w:szCs w:val="16"/>
                <w:color w:val="auto"/>
              </w:rPr>
            </w:pPr>
          </w:p>
        </w:tc>
        <w:tc>
          <w:tcPr>
            <w:tcW w:w="1260" w:type="dxa"/>
            <w:vAlign w:val="bottom"/>
            <w:tcBorders>
              <w:right w:val="single" w:sz="8" w:color="DADADA"/>
            </w:tcBorders>
            <w:shd w:val="clear" w:color="auto" w:fill="3F000B"/>
          </w:tcPr>
          <w:p>
            <w:pPr>
              <w:spacing w:after="0"/>
              <w:rPr>
                <w:sz w:val="16"/>
                <w:szCs w:val="16"/>
                <w:color w:val="auto"/>
              </w:rPr>
            </w:pP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Awards:</w:t>
            </w: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Shares</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Shares</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Shares,</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0"/>
              </w:rPr>
              <w:t>Shares,</w:t>
            </w:r>
          </w:p>
        </w:tc>
      </w:tr>
      <w:tr>
        <w:trPr>
          <w:trHeight w:val="176"/>
        </w:trPr>
        <w:tc>
          <w:tcPr>
            <w:tcW w:w="1240" w:type="dxa"/>
            <w:vAlign w:val="bottom"/>
            <w:tcBorders>
              <w:left w:val="single" w:sz="8" w:color="3F000B"/>
              <w:right w:val="single" w:sz="8" w:color="3F000B"/>
            </w:tcBorders>
            <w:shd w:val="clear" w:color="auto" w:fill="3F000B"/>
          </w:tcPr>
          <w:p>
            <w:pPr>
              <w:spacing w:after="0"/>
              <w:rPr>
                <w:sz w:val="15"/>
                <w:szCs w:val="15"/>
                <w:color w:val="auto"/>
              </w:rPr>
            </w:pPr>
          </w:p>
        </w:tc>
        <w:tc>
          <w:tcPr>
            <w:tcW w:w="1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Number of</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Number of</w:t>
            </w: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Number of</w:t>
            </w:r>
          </w:p>
        </w:tc>
        <w:tc>
          <w:tcPr>
            <w:tcW w:w="960" w:type="dxa"/>
            <w:vAlign w:val="bottom"/>
            <w:tcBorders>
              <w:right w:val="single" w:sz="8" w:color="DADADA"/>
            </w:tcBorders>
            <w:shd w:val="clear" w:color="auto" w:fill="3F000B"/>
          </w:tcPr>
          <w:p>
            <w:pPr>
              <w:spacing w:after="0"/>
              <w:rPr>
                <w:sz w:val="15"/>
                <w:szCs w:val="15"/>
                <w:color w:val="auto"/>
              </w:rPr>
            </w:pPr>
          </w:p>
        </w:tc>
        <w:tc>
          <w:tcPr>
            <w:tcW w:w="940" w:type="dxa"/>
            <w:vAlign w:val="bottom"/>
            <w:tcBorders>
              <w:right w:val="single" w:sz="8" w:color="DADADA"/>
            </w:tcBorders>
            <w:shd w:val="clear" w:color="auto" w:fill="3F000B"/>
          </w:tcPr>
          <w:p>
            <w:pPr>
              <w:spacing w:after="0"/>
              <w:rPr>
                <w:sz w:val="15"/>
                <w:szCs w:val="15"/>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or Units</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or Units</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Units or</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Units or</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3"/>
              </w:rPr>
              <w:t>Securities</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3"/>
              </w:rPr>
              <w:t>Securities</w:t>
            </w: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3"/>
              </w:rPr>
              <w:t>Securities</w:t>
            </w: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of Stock</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of Stock</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2"/>
              </w:rPr>
              <w:t>Other</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2"/>
              </w:rPr>
              <w:t>Other</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Underlying</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Underlying</w:t>
            </w: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Underlying</w:t>
            </w:r>
          </w:p>
        </w:tc>
        <w:tc>
          <w:tcPr>
            <w:tcW w:w="960" w:type="dxa"/>
            <w:vAlign w:val="bottom"/>
            <w:tcBorders>
              <w:right w:val="single" w:sz="8" w:color="DADADA"/>
            </w:tcBorders>
            <w:shd w:val="clear" w:color="auto" w:fill="3F000B"/>
          </w:tcPr>
          <w:p>
            <w:pPr>
              <w:spacing w:after="0"/>
              <w:rPr>
                <w:sz w:val="16"/>
                <w:szCs w:val="16"/>
                <w:color w:val="auto"/>
              </w:rPr>
            </w:pPr>
          </w:p>
        </w:tc>
        <w:tc>
          <w:tcPr>
            <w:tcW w:w="940" w:type="dxa"/>
            <w:vAlign w:val="bottom"/>
            <w:tcBorders>
              <w:right w:val="single" w:sz="8" w:color="DADADA"/>
            </w:tcBorders>
            <w:shd w:val="clear" w:color="auto" w:fill="3F000B"/>
          </w:tcPr>
          <w:p>
            <w:pPr>
              <w:spacing w:after="0"/>
              <w:rPr>
                <w:sz w:val="16"/>
                <w:szCs w:val="16"/>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4"/>
              </w:rPr>
              <w:t>That</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4"/>
              </w:rPr>
              <w:t>That</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Rights</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3"/>
              </w:rPr>
              <w:t>Rights</w:t>
            </w:r>
          </w:p>
        </w:tc>
      </w:tr>
      <w:tr>
        <w:trPr>
          <w:trHeight w:val="176"/>
        </w:trPr>
        <w:tc>
          <w:tcPr>
            <w:tcW w:w="1240" w:type="dxa"/>
            <w:vAlign w:val="bottom"/>
            <w:tcBorders>
              <w:left w:val="single" w:sz="8" w:color="3F000B"/>
              <w:right w:val="single" w:sz="8" w:color="3F000B"/>
            </w:tcBorders>
            <w:shd w:val="clear" w:color="auto" w:fill="3F000B"/>
          </w:tcPr>
          <w:p>
            <w:pPr>
              <w:spacing w:after="0"/>
              <w:rPr>
                <w:sz w:val="15"/>
                <w:szCs w:val="15"/>
                <w:color w:val="auto"/>
              </w:rPr>
            </w:pPr>
          </w:p>
        </w:tc>
        <w:tc>
          <w:tcPr>
            <w:tcW w:w="1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Unexercised</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Unexercised</w:t>
            </w: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Unexercised</w:t>
            </w:r>
          </w:p>
        </w:tc>
        <w:tc>
          <w:tcPr>
            <w:tcW w:w="9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Option</w:t>
            </w:r>
          </w:p>
        </w:tc>
        <w:tc>
          <w:tcPr>
            <w:tcW w:w="940" w:type="dxa"/>
            <w:vAlign w:val="bottom"/>
            <w:tcBorders>
              <w:right w:val="single" w:sz="8" w:color="DADADA"/>
            </w:tcBorders>
            <w:shd w:val="clear" w:color="auto" w:fill="3F000B"/>
          </w:tcPr>
          <w:p>
            <w:pPr>
              <w:spacing w:after="0"/>
              <w:rPr>
                <w:sz w:val="15"/>
                <w:szCs w:val="15"/>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Have</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Have</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4"/>
              </w:rPr>
              <w:t>That</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4"/>
              </w:rPr>
              <w:t>That</w:t>
            </w:r>
          </w:p>
        </w:tc>
      </w:tr>
      <w:tr>
        <w:trPr>
          <w:trHeight w:val="189"/>
        </w:trPr>
        <w:tc>
          <w:tcPr>
            <w:tcW w:w="1240" w:type="dxa"/>
            <w:vAlign w:val="bottom"/>
            <w:tcBorders>
              <w:left w:val="single" w:sz="8" w:color="3F000B"/>
              <w:right w:val="single" w:sz="8" w:color="3F000B"/>
            </w:tcBorders>
            <w:shd w:val="clear" w:color="auto" w:fill="3F000B"/>
          </w:tcPr>
          <w:p>
            <w:pPr>
              <w:spacing w:after="0"/>
              <w:rPr>
                <w:sz w:val="16"/>
                <w:szCs w:val="16"/>
                <w:color w:val="auto"/>
              </w:rPr>
            </w:pPr>
          </w:p>
        </w:tc>
        <w:tc>
          <w:tcPr>
            <w:tcW w:w="1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Options-</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Options-</w:t>
            </w: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Unearned</w:t>
            </w:r>
          </w:p>
        </w:tc>
        <w:tc>
          <w:tcPr>
            <w:tcW w:w="9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Exercise</w:t>
            </w:r>
          </w:p>
        </w:tc>
        <w:tc>
          <w:tcPr>
            <w:tcW w:w="9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Option</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Not</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2"/>
              </w:rPr>
              <w:t>Not</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Have Not</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Have Not</w:t>
            </w:r>
          </w:p>
        </w:tc>
      </w:tr>
      <w:tr>
        <w:trPr>
          <w:trHeight w:val="200"/>
        </w:trPr>
        <w:tc>
          <w:tcPr>
            <w:tcW w:w="1240" w:type="dxa"/>
            <w:vAlign w:val="bottom"/>
            <w:tcBorders>
              <w:left w:val="single" w:sz="8" w:color="3F000B"/>
              <w:right w:val="single" w:sz="8" w:color="3F000B"/>
            </w:tcBorders>
            <w:shd w:val="clear" w:color="auto" w:fill="3F000B"/>
          </w:tcPr>
          <w:p>
            <w:pPr>
              <w:spacing w:after="0"/>
              <w:rPr>
                <w:sz w:val="17"/>
                <w:szCs w:val="17"/>
                <w:color w:val="auto"/>
              </w:rPr>
            </w:pPr>
          </w:p>
        </w:tc>
        <w:tc>
          <w:tcPr>
            <w:tcW w:w="1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4"/>
              </w:rPr>
              <w:t>Exercisable</w:t>
            </w:r>
            <w:r>
              <w:rPr>
                <w:rFonts w:ascii="Arial" w:cs="Arial" w:eastAsia="Arial" w:hAnsi="Arial"/>
                <w:sz w:val="16"/>
                <w:szCs w:val="16"/>
                <w:b w:val="1"/>
                <w:bCs w:val="1"/>
                <w:color w:val="FFFFFF"/>
                <w:w w:val="84"/>
                <w:vertAlign w:val="superscript"/>
              </w:rPr>
              <w:t>(2)</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Unexercisable</w:t>
            </w:r>
            <w:r>
              <w:rPr>
                <w:rFonts w:ascii="Arial" w:cs="Arial" w:eastAsia="Arial" w:hAnsi="Arial"/>
                <w:sz w:val="16"/>
                <w:szCs w:val="16"/>
                <w:b w:val="1"/>
                <w:bCs w:val="1"/>
                <w:color w:val="FFFFFF"/>
                <w:w w:val="82"/>
                <w:vertAlign w:val="superscript"/>
              </w:rPr>
              <w:t>(3)</w:t>
            </w: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Options</w:t>
            </w:r>
          </w:p>
        </w:tc>
        <w:tc>
          <w:tcPr>
            <w:tcW w:w="9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Price</w:t>
            </w:r>
          </w:p>
        </w:tc>
        <w:tc>
          <w:tcPr>
            <w:tcW w:w="9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1"/>
              </w:rPr>
              <w:t>Expiration</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Vested</w:t>
            </w:r>
            <w:r>
              <w:rPr>
                <w:rFonts w:ascii="Arial" w:cs="Arial" w:eastAsia="Arial" w:hAnsi="Arial"/>
                <w:sz w:val="16"/>
                <w:szCs w:val="16"/>
                <w:b w:val="1"/>
                <w:bCs w:val="1"/>
                <w:color w:val="FFFFFF"/>
                <w:w w:val="82"/>
                <w:vertAlign w:val="superscript"/>
              </w:rPr>
              <w:t>(4)</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78"/>
              </w:rPr>
              <w:t>Vested</w:t>
            </w:r>
            <w:r>
              <w:rPr>
                <w:rFonts w:ascii="Arial" w:cs="Arial" w:eastAsia="Arial" w:hAnsi="Arial"/>
                <w:sz w:val="16"/>
                <w:szCs w:val="16"/>
                <w:b w:val="1"/>
                <w:bCs w:val="1"/>
                <w:color w:val="FFFFFF"/>
                <w:w w:val="78"/>
                <w:vertAlign w:val="superscript"/>
              </w:rPr>
              <w:t>(4)</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78"/>
              </w:rPr>
              <w:t>Vested</w:t>
            </w:r>
            <w:r>
              <w:rPr>
                <w:rFonts w:ascii="Arial" w:cs="Arial" w:eastAsia="Arial" w:hAnsi="Arial"/>
                <w:sz w:val="16"/>
                <w:szCs w:val="16"/>
                <w:b w:val="1"/>
                <w:bCs w:val="1"/>
                <w:color w:val="FFFFFF"/>
                <w:w w:val="78"/>
                <w:vertAlign w:val="superscript"/>
              </w:rPr>
              <w:t>(5)</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Vested</w:t>
            </w:r>
            <w:r>
              <w:rPr>
                <w:rFonts w:ascii="Arial" w:cs="Arial" w:eastAsia="Arial" w:hAnsi="Arial"/>
                <w:sz w:val="16"/>
                <w:szCs w:val="16"/>
                <w:b w:val="1"/>
                <w:bCs w:val="1"/>
                <w:color w:val="FFFFFF"/>
                <w:w w:val="82"/>
                <w:vertAlign w:val="superscript"/>
              </w:rPr>
              <w:t>(5)</w:t>
            </w:r>
          </w:p>
        </w:tc>
      </w:tr>
      <w:tr>
        <w:trPr>
          <w:trHeight w:val="164"/>
        </w:trPr>
        <w:tc>
          <w:tcPr>
            <w:tcW w:w="1240" w:type="dxa"/>
            <w:vAlign w:val="bottom"/>
            <w:tcBorders>
              <w:left w:val="single" w:sz="8" w:color="3F000B"/>
              <w:right w:val="single" w:sz="8" w:color="3F000B"/>
            </w:tcBorders>
            <w:shd w:val="clear" w:color="auto" w:fill="3F000B"/>
          </w:tcPr>
          <w:p>
            <w:pPr>
              <w:ind w:left="460"/>
              <w:spacing w:after="0"/>
              <w:rPr>
                <w:sz w:val="20"/>
                <w:szCs w:val="20"/>
                <w:color w:val="auto"/>
              </w:rPr>
            </w:pPr>
            <w:r>
              <w:rPr>
                <w:rFonts w:ascii="Arial" w:cs="Arial" w:eastAsia="Arial" w:hAnsi="Arial"/>
                <w:sz w:val="13"/>
                <w:szCs w:val="13"/>
                <w:b w:val="1"/>
                <w:bCs w:val="1"/>
                <w:color w:val="FFFFFF"/>
              </w:rPr>
              <w:t>Name</w:t>
            </w:r>
          </w:p>
        </w:tc>
        <w:tc>
          <w:tcPr>
            <w:tcW w:w="10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940" w:type="dxa"/>
            <w:vAlign w:val="bottom"/>
            <w:tcBorders>
              <w:right w:val="single" w:sz="8" w:color="DADADA"/>
            </w:tcBorders>
            <w:shd w:val="clear" w:color="auto" w:fill="3F000B"/>
          </w:tcPr>
          <w:p>
            <w:pPr>
              <w:ind w:left="340"/>
              <w:spacing w:after="0"/>
              <w:rPr>
                <w:sz w:val="20"/>
                <w:szCs w:val="20"/>
                <w:color w:val="auto"/>
              </w:rPr>
            </w:pPr>
            <w:r>
              <w:rPr>
                <w:rFonts w:ascii="Arial" w:cs="Arial" w:eastAsia="Arial" w:hAnsi="Arial"/>
                <w:sz w:val="13"/>
                <w:szCs w:val="13"/>
                <w:b w:val="1"/>
                <w:bCs w:val="1"/>
                <w:color w:val="FFFFFF"/>
              </w:rPr>
              <w:t>Date</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1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r>
      <w:tr>
        <w:trPr>
          <w:trHeight w:val="77"/>
        </w:trPr>
        <w:tc>
          <w:tcPr>
            <w:tcW w:w="1240" w:type="dxa"/>
            <w:vAlign w:val="bottom"/>
            <w:tcBorders>
              <w:left w:val="single" w:sz="8" w:color="3F000B"/>
              <w:right w:val="single" w:sz="8" w:color="3F000B"/>
            </w:tcBorders>
            <w:shd w:val="clear" w:color="auto" w:fill="3F000B"/>
          </w:tcPr>
          <w:p>
            <w:pPr>
              <w:spacing w:after="0"/>
              <w:rPr>
                <w:sz w:val="6"/>
                <w:szCs w:val="6"/>
                <w:color w:val="auto"/>
              </w:rPr>
            </w:pPr>
          </w:p>
        </w:tc>
        <w:tc>
          <w:tcPr>
            <w:tcW w:w="1060" w:type="dxa"/>
            <w:vAlign w:val="bottom"/>
            <w:tcBorders>
              <w:right w:val="single" w:sz="8" w:color="DADADA"/>
            </w:tcBorders>
            <w:shd w:val="clear" w:color="auto" w:fill="3F000B"/>
          </w:tcPr>
          <w:p>
            <w:pPr>
              <w:spacing w:after="0"/>
              <w:rPr>
                <w:sz w:val="6"/>
                <w:szCs w:val="6"/>
                <w:color w:val="auto"/>
              </w:rPr>
            </w:pPr>
          </w:p>
        </w:tc>
        <w:tc>
          <w:tcPr>
            <w:tcW w:w="1260" w:type="dxa"/>
            <w:vAlign w:val="bottom"/>
            <w:tcBorders>
              <w:right w:val="single" w:sz="8" w:color="DADADA"/>
            </w:tcBorders>
            <w:shd w:val="clear" w:color="auto" w:fill="3F000B"/>
          </w:tcPr>
          <w:p>
            <w:pPr>
              <w:spacing w:after="0"/>
              <w:rPr>
                <w:sz w:val="6"/>
                <w:szCs w:val="6"/>
                <w:color w:val="auto"/>
              </w:rPr>
            </w:pPr>
          </w:p>
        </w:tc>
        <w:tc>
          <w:tcPr>
            <w:tcW w:w="1000" w:type="dxa"/>
            <w:vAlign w:val="bottom"/>
            <w:tcBorders>
              <w:right w:val="single" w:sz="8" w:color="DADADA"/>
            </w:tcBorders>
            <w:shd w:val="clear" w:color="auto" w:fill="3F000B"/>
          </w:tcPr>
          <w:p>
            <w:pPr>
              <w:spacing w:after="0"/>
              <w:rPr>
                <w:sz w:val="6"/>
                <w:szCs w:val="6"/>
                <w:color w:val="auto"/>
              </w:rPr>
            </w:pPr>
          </w:p>
        </w:tc>
        <w:tc>
          <w:tcPr>
            <w:tcW w:w="960" w:type="dxa"/>
            <w:vAlign w:val="bottom"/>
            <w:tcBorders>
              <w:right w:val="single" w:sz="8" w:color="DADADA"/>
            </w:tcBorders>
            <w:shd w:val="clear" w:color="auto" w:fill="3F000B"/>
          </w:tcPr>
          <w:p>
            <w:pPr>
              <w:spacing w:after="0"/>
              <w:rPr>
                <w:sz w:val="6"/>
                <w:szCs w:val="6"/>
                <w:color w:val="auto"/>
              </w:rPr>
            </w:pPr>
          </w:p>
        </w:tc>
        <w:tc>
          <w:tcPr>
            <w:tcW w:w="940" w:type="dxa"/>
            <w:vAlign w:val="bottom"/>
            <w:tcBorders>
              <w:right w:val="single" w:sz="8" w:color="DADADA"/>
            </w:tcBorders>
            <w:shd w:val="clear" w:color="auto" w:fill="3F000B"/>
          </w:tcPr>
          <w:p>
            <w:pPr>
              <w:spacing w:after="0"/>
              <w:rPr>
                <w:sz w:val="6"/>
                <w:szCs w:val="6"/>
                <w:color w:val="auto"/>
              </w:rPr>
            </w:pPr>
          </w:p>
        </w:tc>
        <w:tc>
          <w:tcPr>
            <w:tcW w:w="1200" w:type="dxa"/>
            <w:vAlign w:val="bottom"/>
            <w:tcBorders>
              <w:right w:val="single" w:sz="8" w:color="DADADA"/>
            </w:tcBorders>
            <w:shd w:val="clear" w:color="auto" w:fill="3F000B"/>
          </w:tcPr>
          <w:p>
            <w:pPr>
              <w:spacing w:after="0"/>
              <w:rPr>
                <w:sz w:val="6"/>
                <w:szCs w:val="6"/>
                <w:color w:val="auto"/>
              </w:rPr>
            </w:pPr>
          </w:p>
        </w:tc>
        <w:tc>
          <w:tcPr>
            <w:tcW w:w="1180" w:type="dxa"/>
            <w:vAlign w:val="bottom"/>
            <w:tcBorders>
              <w:right w:val="single" w:sz="8" w:color="DADADA"/>
            </w:tcBorders>
            <w:shd w:val="clear" w:color="auto" w:fill="3F000B"/>
          </w:tcPr>
          <w:p>
            <w:pPr>
              <w:spacing w:after="0"/>
              <w:rPr>
                <w:sz w:val="6"/>
                <w:szCs w:val="6"/>
                <w:color w:val="auto"/>
              </w:rPr>
            </w:pPr>
          </w:p>
        </w:tc>
        <w:tc>
          <w:tcPr>
            <w:tcW w:w="1200" w:type="dxa"/>
            <w:vAlign w:val="bottom"/>
            <w:tcBorders>
              <w:right w:val="single" w:sz="8" w:color="DADADA"/>
            </w:tcBorders>
            <w:shd w:val="clear" w:color="auto" w:fill="3F000B"/>
          </w:tcPr>
          <w:p>
            <w:pPr>
              <w:spacing w:after="0"/>
              <w:rPr>
                <w:sz w:val="6"/>
                <w:szCs w:val="6"/>
                <w:color w:val="auto"/>
              </w:rPr>
            </w:pPr>
          </w:p>
        </w:tc>
        <w:tc>
          <w:tcPr>
            <w:tcW w:w="1180" w:type="dxa"/>
            <w:vAlign w:val="bottom"/>
            <w:tcBorders>
              <w:right w:val="single" w:sz="8" w:color="3F000B"/>
            </w:tcBorders>
            <w:shd w:val="clear" w:color="auto" w:fill="3F000B"/>
          </w:tcPr>
          <w:p>
            <w:pPr>
              <w:spacing w:after="0"/>
              <w:rPr>
                <w:sz w:val="6"/>
                <w:szCs w:val="6"/>
                <w:color w:val="auto"/>
              </w:rPr>
            </w:pPr>
          </w:p>
        </w:tc>
      </w:tr>
      <w:tr>
        <w:trPr>
          <w:trHeight w:val="243"/>
        </w:trPr>
        <w:tc>
          <w:tcPr>
            <w:tcW w:w="1240" w:type="dxa"/>
            <w:vAlign w:val="bottom"/>
            <w:tcBorders>
              <w:left w:val="single" w:sz="8" w:color="3F000B"/>
              <w:bottom w:val="single" w:sz="8" w:color="3F000B"/>
              <w:right w:val="single" w:sz="8" w:color="3F000B"/>
            </w:tcBorders>
            <w:shd w:val="clear" w:color="auto" w:fill="3F000B"/>
          </w:tcPr>
          <w:p>
            <w:pPr>
              <w:ind w:left="540"/>
              <w:spacing w:after="0"/>
              <w:rPr>
                <w:sz w:val="20"/>
                <w:szCs w:val="20"/>
                <w:color w:val="auto"/>
              </w:rPr>
            </w:pPr>
            <w:r>
              <w:rPr>
                <w:rFonts w:ascii="Arial" w:cs="Arial" w:eastAsia="Arial" w:hAnsi="Arial"/>
                <w:sz w:val="13"/>
                <w:szCs w:val="13"/>
                <w:b w:val="1"/>
                <w:bCs w:val="1"/>
                <w:color w:val="FFFFFF"/>
              </w:rPr>
              <w:t>(a)</w:t>
            </w:r>
          </w:p>
        </w:tc>
        <w:tc>
          <w:tcPr>
            <w:tcW w:w="10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6"/>
              </w:rPr>
              <w:t>(b)</w:t>
            </w:r>
          </w:p>
        </w:tc>
        <w:tc>
          <w:tcPr>
            <w:tcW w:w="12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(c)</w:t>
            </w:r>
          </w:p>
        </w:tc>
        <w:tc>
          <w:tcPr>
            <w:tcW w:w="10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6"/>
              </w:rPr>
              <w:t>(d)</w:t>
            </w:r>
          </w:p>
        </w:tc>
        <w:tc>
          <w:tcPr>
            <w:tcW w:w="9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(e)</w:t>
            </w:r>
          </w:p>
        </w:tc>
        <w:tc>
          <w:tcPr>
            <w:tcW w:w="94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2"/>
              </w:rPr>
              <w:t>(f)</w:t>
            </w:r>
          </w:p>
        </w:tc>
        <w:tc>
          <w:tcPr>
            <w:tcW w:w="12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4"/>
              </w:rPr>
              <w:t>(g)</w:t>
            </w:r>
          </w:p>
        </w:tc>
        <w:tc>
          <w:tcPr>
            <w:tcW w:w="118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4"/>
              </w:rPr>
              <w:t>(h)</w:t>
            </w:r>
          </w:p>
        </w:tc>
        <w:tc>
          <w:tcPr>
            <w:tcW w:w="12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7"/>
              </w:rPr>
              <w:t>(i)</w:t>
            </w:r>
          </w:p>
        </w:tc>
        <w:tc>
          <w:tcPr>
            <w:tcW w:w="118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(j)</w:t>
            </w:r>
          </w:p>
        </w:tc>
      </w:tr>
      <w:tr>
        <w:trPr>
          <w:trHeight w:val="190"/>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Ms. Buck</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45,452</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45,453</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99.90</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2/19/2028</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31,745</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4,993,466</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62,080</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9,456,646</w:t>
            </w:r>
          </w:p>
        </w:tc>
      </w:tr>
      <w:tr>
        <w:trPr>
          <w:trHeight w:val="216"/>
        </w:trPr>
        <w:tc>
          <w:tcPr>
            <w:tcW w:w="1240" w:type="dxa"/>
            <w:vAlign w:val="bottom"/>
            <w:tcBorders>
              <w:left w:val="single" w:sz="8" w:color="3F000B"/>
              <w:right w:val="single" w:sz="8" w:color="3F000B"/>
            </w:tcBorders>
          </w:tcPr>
          <w:p>
            <w:pPr>
              <w:spacing w:after="0"/>
              <w:rPr>
                <w:sz w:val="18"/>
                <w:szCs w:val="18"/>
                <w:color w:val="auto"/>
              </w:rPr>
            </w:pP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57,870</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19,290</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109.40</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2/28/2027</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86,403</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13,161,769</w:t>
            </w:r>
          </w:p>
        </w:tc>
      </w:tr>
      <w:tr>
        <w:trPr>
          <w:trHeight w:val="216"/>
        </w:trPr>
        <w:tc>
          <w:tcPr>
            <w:tcW w:w="1240" w:type="dxa"/>
            <w:vAlign w:val="bottom"/>
            <w:tcBorders>
              <w:left w:val="single" w:sz="8" w:color="3F000B"/>
              <w:right w:val="single" w:sz="8" w:color="3F000B"/>
            </w:tcBorders>
          </w:tcPr>
          <w:p>
            <w:pPr>
              <w:spacing w:after="0"/>
              <w:rPr>
                <w:sz w:val="18"/>
                <w:szCs w:val="18"/>
                <w:color w:val="auto"/>
              </w:rPr>
            </w:pP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31,210</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90.39</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2/15/2026</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6"/>
        </w:trPr>
        <w:tc>
          <w:tcPr>
            <w:tcW w:w="1240" w:type="dxa"/>
            <w:vAlign w:val="bottom"/>
            <w:tcBorders>
              <w:left w:val="single" w:sz="8" w:color="3F000B"/>
              <w:right w:val="single" w:sz="8" w:color="3F000B"/>
            </w:tcBorders>
          </w:tcPr>
          <w:p>
            <w:pPr>
              <w:spacing w:after="0"/>
              <w:rPr>
                <w:sz w:val="18"/>
                <w:szCs w:val="18"/>
                <w:color w:val="auto"/>
              </w:rPr>
            </w:pP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35,500</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105.91</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2/16/2025</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6"/>
        </w:trPr>
        <w:tc>
          <w:tcPr>
            <w:tcW w:w="1240" w:type="dxa"/>
            <w:vAlign w:val="bottom"/>
            <w:tcBorders>
              <w:left w:val="single" w:sz="8" w:color="3F000B"/>
              <w:right w:val="single" w:sz="8" w:color="3F000B"/>
            </w:tcBorders>
          </w:tcPr>
          <w:p>
            <w:pPr>
              <w:spacing w:after="0"/>
              <w:rPr>
                <w:sz w:val="18"/>
                <w:szCs w:val="18"/>
                <w:color w:val="auto"/>
              </w:rPr>
            </w:pP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46,755</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105.96</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2/17/2024</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r>
      <w:tr>
        <w:trPr>
          <w:trHeight w:val="236"/>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216,787</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64,743</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3F000B"/>
            </w:tcBorders>
          </w:tcPr>
          <w:p>
            <w:pPr>
              <w:ind w:left="72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31,745</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4,993,466</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b w:val="1"/>
                <w:bCs w:val="1"/>
                <w:color w:val="auto"/>
              </w:rPr>
              <w:t>148,483</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b w:val="1"/>
                <w:bCs w:val="1"/>
                <w:color w:val="auto"/>
              </w:rPr>
              <w:t>22,618,415</w:t>
            </w:r>
          </w:p>
        </w:tc>
      </w:tr>
      <w:tr>
        <w:trPr>
          <w:trHeight w:val="196"/>
        </w:trPr>
        <w:tc>
          <w:tcPr>
            <w:tcW w:w="124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4"/>
                <w:szCs w:val="14"/>
                <w:color w:val="auto"/>
              </w:rPr>
              <w:t>Mr. Voskuil</w:t>
            </w:r>
          </w:p>
        </w:tc>
        <w:tc>
          <w:tcPr>
            <w:tcW w:w="10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shd w:val="clear" w:color="auto" w:fill="DADADA"/>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3F000B"/>
            </w:tcBorders>
            <w:shd w:val="clear" w:color="auto" w:fill="DADADA"/>
          </w:tcPr>
          <w:p>
            <w:pPr>
              <w:ind w:left="7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11,722</w:t>
            </w:r>
          </w:p>
        </w:tc>
        <w:tc>
          <w:tcPr>
            <w:tcW w:w="118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1,828,692</w:t>
            </w:r>
          </w:p>
        </w:tc>
        <w:tc>
          <w:tcPr>
            <w:tcW w:w="1200" w:type="dxa"/>
            <w:vAlign w:val="bottom"/>
            <w:tcBorders>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color w:val="auto"/>
              </w:rPr>
              <w:t>16,038</w:t>
            </w:r>
          </w:p>
        </w:tc>
        <w:tc>
          <w:tcPr>
            <w:tcW w:w="118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2,443,069</w:t>
            </w:r>
          </w:p>
        </w:tc>
      </w:tr>
      <w:tr>
        <w:trPr>
          <w:trHeight w:val="216"/>
        </w:trPr>
        <w:tc>
          <w:tcPr>
            <w:tcW w:w="1240" w:type="dxa"/>
            <w:vAlign w:val="bottom"/>
            <w:tcBorders>
              <w:left w:val="single" w:sz="8" w:color="3F000B"/>
              <w:right w:val="single" w:sz="8" w:color="3F000B"/>
            </w:tcBorders>
            <w:shd w:val="clear" w:color="auto" w:fill="DADADA"/>
          </w:tcPr>
          <w:p>
            <w:pPr>
              <w:spacing w:after="0"/>
              <w:rPr>
                <w:sz w:val="18"/>
                <w:szCs w:val="18"/>
                <w:color w:val="auto"/>
              </w:rPr>
            </w:pPr>
          </w:p>
        </w:tc>
        <w:tc>
          <w:tcPr>
            <w:tcW w:w="10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shd w:val="clear" w:color="auto" w:fill="DADADA"/>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3F000B"/>
            </w:tcBorders>
            <w:shd w:val="clear" w:color="auto" w:fill="DADADA"/>
          </w:tcPr>
          <w:p>
            <w:pPr>
              <w:ind w:left="7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color w:val="auto"/>
              </w:rPr>
              <w:t>15,393</w:t>
            </w:r>
          </w:p>
        </w:tc>
        <w:tc>
          <w:tcPr>
            <w:tcW w:w="118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2,344,816</w:t>
            </w:r>
          </w:p>
        </w:tc>
      </w:tr>
      <w:tr>
        <w:trPr>
          <w:trHeight w:val="222"/>
        </w:trPr>
        <w:tc>
          <w:tcPr>
            <w:tcW w:w="12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ADADA"/>
              <w:right w:val="single" w:sz="8" w:color="3F000B"/>
            </w:tcBorders>
            <w:shd w:val="clear" w:color="auto" w:fill="DADADA"/>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ADADA"/>
              <w:right w:val="single" w:sz="8" w:color="3F000B"/>
            </w:tcBorders>
            <w:shd w:val="clear" w:color="auto" w:fill="DADADA"/>
          </w:tcPr>
          <w:p>
            <w:pPr>
              <w:ind w:left="72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b w:val="1"/>
                <w:bCs w:val="1"/>
                <w:color w:val="auto"/>
              </w:rPr>
              <w:t>11,722</w:t>
            </w:r>
          </w:p>
        </w:tc>
        <w:tc>
          <w:tcPr>
            <w:tcW w:w="118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b w:val="1"/>
                <w:bCs w:val="1"/>
                <w:color w:val="auto"/>
              </w:rPr>
              <w:t>1,828,692</w:t>
            </w:r>
          </w:p>
        </w:tc>
        <w:tc>
          <w:tcPr>
            <w:tcW w:w="1200" w:type="dxa"/>
            <w:vAlign w:val="bottom"/>
            <w:tcBorders>
              <w:bottom w:val="single" w:sz="8" w:color="DADADA"/>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b w:val="1"/>
                <w:bCs w:val="1"/>
                <w:color w:val="auto"/>
              </w:rPr>
              <w:t>31,431</w:t>
            </w:r>
          </w:p>
        </w:tc>
        <w:tc>
          <w:tcPr>
            <w:tcW w:w="1180" w:type="dxa"/>
            <w:vAlign w:val="bottom"/>
            <w:tcBorders>
              <w:bottom w:val="single" w:sz="8" w:color="DADADA"/>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b w:val="1"/>
                <w:bCs w:val="1"/>
                <w:color w:val="auto"/>
              </w:rPr>
              <w:t>4,787,885</w:t>
            </w:r>
          </w:p>
        </w:tc>
      </w:tr>
      <w:tr>
        <w:trPr>
          <w:trHeight w:val="190"/>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Mr. Raup</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1,025</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2,050</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99.90</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2/19/2028</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2,591</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404,917</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7,748</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1,180,253</w:t>
            </w:r>
          </w:p>
        </w:tc>
      </w:tr>
      <w:tr>
        <w:trPr>
          <w:trHeight w:val="216"/>
        </w:trPr>
        <w:tc>
          <w:tcPr>
            <w:tcW w:w="1240" w:type="dxa"/>
            <w:vAlign w:val="bottom"/>
            <w:tcBorders>
              <w:left w:val="single" w:sz="8" w:color="3F000B"/>
              <w:right w:val="single" w:sz="8" w:color="3F000B"/>
            </w:tcBorders>
          </w:tcPr>
          <w:p>
            <w:pPr>
              <w:spacing w:after="0"/>
              <w:rPr>
                <w:sz w:val="18"/>
                <w:szCs w:val="18"/>
                <w:color w:val="auto"/>
              </w:rPr>
            </w:pP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796</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797</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107.95</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2/21/2027</w:t>
            </w:r>
          </w:p>
        </w:tc>
        <w:tc>
          <w:tcPr>
            <w:tcW w:w="1200" w:type="dxa"/>
            <w:vAlign w:val="bottom"/>
            <w:tcBorders>
              <w:right w:val="single" w:sz="8" w:color="3F000B"/>
            </w:tcBorders>
          </w:tcPr>
          <w:p>
            <w:pPr>
              <w:spacing w:after="0"/>
              <w:rPr>
                <w:sz w:val="18"/>
                <w:szCs w:val="18"/>
                <w:color w:val="auto"/>
              </w:rPr>
            </w:pPr>
          </w:p>
        </w:tc>
        <w:tc>
          <w:tcPr>
            <w:tcW w:w="1180" w:type="dxa"/>
            <w:vAlign w:val="bottom"/>
            <w:tcBorders>
              <w:right w:val="single" w:sz="8" w:color="3F000B"/>
            </w:tcBorders>
          </w:tcPr>
          <w:p>
            <w:pPr>
              <w:spacing w:after="0"/>
              <w:rPr>
                <w:sz w:val="18"/>
                <w:szCs w:val="18"/>
                <w:color w:val="auto"/>
              </w:rPr>
            </w:pP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3,980</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606,273</w:t>
            </w:r>
          </w:p>
        </w:tc>
      </w:tr>
      <w:tr>
        <w:trPr>
          <w:trHeight w:val="216"/>
        </w:trPr>
        <w:tc>
          <w:tcPr>
            <w:tcW w:w="1240" w:type="dxa"/>
            <w:vAlign w:val="bottom"/>
            <w:tcBorders>
              <w:left w:val="single" w:sz="8" w:color="3F000B"/>
              <w:right w:val="single" w:sz="8" w:color="3F000B"/>
            </w:tcBorders>
          </w:tcPr>
          <w:p>
            <w:pPr>
              <w:spacing w:after="0"/>
              <w:rPr>
                <w:sz w:val="18"/>
                <w:szCs w:val="18"/>
                <w:color w:val="auto"/>
              </w:rPr>
            </w:pP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880</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90.39</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2/15/2026</w:t>
            </w:r>
          </w:p>
        </w:tc>
        <w:tc>
          <w:tcPr>
            <w:tcW w:w="1200" w:type="dxa"/>
            <w:vAlign w:val="bottom"/>
            <w:tcBorders>
              <w:right w:val="single" w:sz="8" w:color="3F000B"/>
            </w:tcBorders>
          </w:tcPr>
          <w:p>
            <w:pPr>
              <w:spacing w:after="0"/>
              <w:rPr>
                <w:sz w:val="18"/>
                <w:szCs w:val="18"/>
                <w:color w:val="auto"/>
              </w:rPr>
            </w:pPr>
          </w:p>
        </w:tc>
        <w:tc>
          <w:tcPr>
            <w:tcW w:w="1180" w:type="dxa"/>
            <w:vAlign w:val="bottom"/>
            <w:tcBorders>
              <w:right w:val="single" w:sz="8" w:color="3F000B"/>
            </w:tcBorders>
          </w:tcPr>
          <w:p>
            <w:pPr>
              <w:spacing w:after="0"/>
              <w:rPr>
                <w:sz w:val="18"/>
                <w:szCs w:val="18"/>
                <w:color w:val="auto"/>
              </w:rPr>
            </w:pPr>
          </w:p>
        </w:tc>
        <w:tc>
          <w:tcPr>
            <w:tcW w:w="1200" w:type="dxa"/>
            <w:vAlign w:val="bottom"/>
            <w:tcBorders>
              <w:right w:val="single" w:sz="8" w:color="3F000B"/>
            </w:tcBorders>
          </w:tcPr>
          <w:p>
            <w:pPr>
              <w:spacing w:after="0"/>
              <w:rPr>
                <w:sz w:val="18"/>
                <w:szCs w:val="18"/>
                <w:color w:val="auto"/>
              </w:rPr>
            </w:pPr>
          </w:p>
        </w:tc>
        <w:tc>
          <w:tcPr>
            <w:tcW w:w="1180" w:type="dxa"/>
            <w:vAlign w:val="bottom"/>
            <w:tcBorders>
              <w:right w:val="single" w:sz="8" w:color="3F000B"/>
            </w:tcBorders>
          </w:tcPr>
          <w:p>
            <w:pPr>
              <w:spacing w:after="0"/>
              <w:rPr>
                <w:sz w:val="18"/>
                <w:szCs w:val="18"/>
                <w:color w:val="auto"/>
              </w:rPr>
            </w:pPr>
          </w:p>
        </w:tc>
      </w:tr>
      <w:tr>
        <w:trPr>
          <w:trHeight w:val="216"/>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2,701</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2,847</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3F000B"/>
            </w:tcBorders>
          </w:tcPr>
          <w:p>
            <w:pPr>
              <w:ind w:left="72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2,591</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404,917</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b w:val="1"/>
                <w:bCs w:val="1"/>
                <w:color w:val="auto"/>
              </w:rPr>
              <w:t>11,728</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b w:val="1"/>
                <w:bCs w:val="1"/>
                <w:color w:val="auto"/>
              </w:rPr>
              <w:t>1,786,526</w:t>
            </w:r>
          </w:p>
        </w:tc>
      </w:tr>
      <w:tr>
        <w:trPr>
          <w:trHeight w:val="25"/>
        </w:trPr>
        <w:tc>
          <w:tcPr>
            <w:tcW w:w="1240" w:type="dxa"/>
            <w:vAlign w:val="bottom"/>
            <w:tcBorders>
              <w:left w:val="single" w:sz="8" w:color="3F000B"/>
              <w:right w:val="single" w:sz="8" w:color="3F000B"/>
            </w:tcBorders>
          </w:tcPr>
          <w:p>
            <w:pPr>
              <w:spacing w:after="0"/>
              <w:rPr>
                <w:sz w:val="2"/>
                <w:szCs w:val="2"/>
                <w:color w:val="auto"/>
              </w:rPr>
            </w:pPr>
          </w:p>
        </w:tc>
        <w:tc>
          <w:tcPr>
            <w:tcW w:w="1060" w:type="dxa"/>
            <w:vAlign w:val="bottom"/>
            <w:tcBorders>
              <w:right w:val="single" w:sz="8" w:color="3F000B"/>
            </w:tcBorders>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c>
          <w:tcPr>
            <w:tcW w:w="1000" w:type="dxa"/>
            <w:vAlign w:val="bottom"/>
            <w:tcBorders>
              <w:right w:val="single" w:sz="8" w:color="3F000B"/>
            </w:tcBorders>
          </w:tcPr>
          <w:p>
            <w:pPr>
              <w:spacing w:after="0"/>
              <w:rPr>
                <w:sz w:val="2"/>
                <w:szCs w:val="2"/>
                <w:color w:val="auto"/>
              </w:rPr>
            </w:pPr>
          </w:p>
        </w:tc>
        <w:tc>
          <w:tcPr>
            <w:tcW w:w="960" w:type="dxa"/>
            <w:vAlign w:val="bottom"/>
            <w:tcBorders>
              <w:right w:val="single" w:sz="8" w:color="3F000B"/>
            </w:tcBorders>
          </w:tcPr>
          <w:p>
            <w:pPr>
              <w:spacing w:after="0"/>
              <w:rPr>
                <w:sz w:val="2"/>
                <w:szCs w:val="2"/>
                <w:color w:val="auto"/>
              </w:rPr>
            </w:pPr>
          </w:p>
        </w:tc>
        <w:tc>
          <w:tcPr>
            <w:tcW w:w="940" w:type="dxa"/>
            <w:vAlign w:val="bottom"/>
            <w:tcBorders>
              <w:right w:val="single" w:sz="8" w:color="3F000B"/>
            </w:tcBorders>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180" w:type="dxa"/>
            <w:vAlign w:val="bottom"/>
            <w:tcBorders>
              <w:right w:val="single" w:sz="8" w:color="3F000B"/>
            </w:tcBorders>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180" w:type="dxa"/>
            <w:vAlign w:val="bottom"/>
            <w:tcBorders>
              <w:right w:val="single" w:sz="8" w:color="3F000B"/>
            </w:tcBorders>
          </w:tcPr>
          <w:p>
            <w:pPr>
              <w:spacing w:after="0"/>
              <w:rPr>
                <w:sz w:val="2"/>
                <w:szCs w:val="2"/>
                <w:color w:val="auto"/>
              </w:rPr>
            </w:pPr>
          </w:p>
        </w:tc>
      </w:tr>
      <w:tr>
        <w:trPr>
          <w:trHeight w:val="191"/>
        </w:trPr>
        <w:tc>
          <w:tcPr>
            <w:tcW w:w="124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4"/>
                <w:szCs w:val="14"/>
                <w:color w:val="auto"/>
              </w:rPr>
              <w:t>Mr. Reiman</w:t>
            </w:r>
          </w:p>
        </w:tc>
        <w:tc>
          <w:tcPr>
            <w:tcW w:w="10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1,742</w:t>
            </w:r>
          </w:p>
        </w:tc>
        <w:tc>
          <w:tcPr>
            <w:tcW w:w="12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1,743</w:t>
            </w:r>
          </w:p>
        </w:tc>
        <w:tc>
          <w:tcPr>
            <w:tcW w:w="1000" w:type="dxa"/>
            <w:vAlign w:val="bottom"/>
            <w:tcBorders>
              <w:right w:val="single" w:sz="8" w:color="3F000B"/>
            </w:tcBorders>
            <w:shd w:val="clear" w:color="auto" w:fill="DADADA"/>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99.90</w:t>
            </w:r>
          </w:p>
        </w:tc>
        <w:tc>
          <w:tcPr>
            <w:tcW w:w="940" w:type="dxa"/>
            <w:vAlign w:val="bottom"/>
            <w:tcBorders>
              <w:right w:val="single" w:sz="8" w:color="3F000B"/>
            </w:tcBorders>
            <w:shd w:val="clear" w:color="auto" w:fill="DADADA"/>
          </w:tcPr>
          <w:p>
            <w:pPr>
              <w:ind w:left="320"/>
              <w:spacing w:after="0"/>
              <w:rPr>
                <w:sz w:val="20"/>
                <w:szCs w:val="20"/>
                <w:color w:val="auto"/>
              </w:rPr>
            </w:pPr>
            <w:r>
              <w:rPr>
                <w:rFonts w:ascii="Arial" w:cs="Arial" w:eastAsia="Arial" w:hAnsi="Arial"/>
                <w:sz w:val="14"/>
                <w:szCs w:val="14"/>
                <w:color w:val="auto"/>
                <w:w w:val="93"/>
              </w:rPr>
              <w:t>2/19/2028</w:t>
            </w:r>
          </w:p>
        </w:tc>
        <w:tc>
          <w:tcPr>
            <w:tcW w:w="120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2,804</w:t>
            </w:r>
          </w:p>
        </w:tc>
        <w:tc>
          <w:tcPr>
            <w:tcW w:w="118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438,420</w:t>
            </w:r>
          </w:p>
        </w:tc>
        <w:tc>
          <w:tcPr>
            <w:tcW w:w="1200" w:type="dxa"/>
            <w:vAlign w:val="bottom"/>
            <w:tcBorders>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color w:val="auto"/>
              </w:rPr>
              <w:t>7,950</w:t>
            </w:r>
          </w:p>
        </w:tc>
        <w:tc>
          <w:tcPr>
            <w:tcW w:w="118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1,211,024</w:t>
            </w:r>
          </w:p>
        </w:tc>
      </w:tr>
      <w:tr>
        <w:trPr>
          <w:trHeight w:val="216"/>
        </w:trPr>
        <w:tc>
          <w:tcPr>
            <w:tcW w:w="1240" w:type="dxa"/>
            <w:vAlign w:val="bottom"/>
            <w:tcBorders>
              <w:left w:val="single" w:sz="8" w:color="3F000B"/>
              <w:right w:val="single" w:sz="8" w:color="3F000B"/>
            </w:tcBorders>
            <w:shd w:val="clear" w:color="auto" w:fill="DADADA"/>
          </w:tcPr>
          <w:p>
            <w:pPr>
              <w:spacing w:after="0"/>
              <w:rPr>
                <w:sz w:val="18"/>
                <w:szCs w:val="18"/>
                <w:color w:val="auto"/>
              </w:rPr>
            </w:pPr>
          </w:p>
        </w:tc>
        <w:tc>
          <w:tcPr>
            <w:tcW w:w="10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2,073</w:t>
            </w:r>
          </w:p>
        </w:tc>
        <w:tc>
          <w:tcPr>
            <w:tcW w:w="12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692</w:t>
            </w:r>
          </w:p>
        </w:tc>
        <w:tc>
          <w:tcPr>
            <w:tcW w:w="1000" w:type="dxa"/>
            <w:vAlign w:val="bottom"/>
            <w:tcBorders>
              <w:right w:val="single" w:sz="8" w:color="3F000B"/>
            </w:tcBorders>
            <w:shd w:val="clear" w:color="auto" w:fill="DADADA"/>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107.95</w:t>
            </w:r>
          </w:p>
        </w:tc>
        <w:tc>
          <w:tcPr>
            <w:tcW w:w="940" w:type="dxa"/>
            <w:vAlign w:val="bottom"/>
            <w:tcBorders>
              <w:right w:val="single" w:sz="8" w:color="3F000B"/>
            </w:tcBorders>
            <w:shd w:val="clear" w:color="auto" w:fill="DADADA"/>
          </w:tcPr>
          <w:p>
            <w:pPr>
              <w:ind w:left="320"/>
              <w:spacing w:after="0"/>
              <w:rPr>
                <w:sz w:val="20"/>
                <w:szCs w:val="20"/>
                <w:color w:val="auto"/>
              </w:rPr>
            </w:pPr>
            <w:r>
              <w:rPr>
                <w:rFonts w:ascii="Arial" w:cs="Arial" w:eastAsia="Arial" w:hAnsi="Arial"/>
                <w:sz w:val="14"/>
                <w:szCs w:val="14"/>
                <w:color w:val="auto"/>
                <w:w w:val="93"/>
              </w:rPr>
              <w:t>2/21/2027</w:t>
            </w:r>
          </w:p>
        </w:tc>
        <w:tc>
          <w:tcPr>
            <w:tcW w:w="120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color w:val="auto"/>
              </w:rPr>
              <w:t>4,265</w:t>
            </w:r>
          </w:p>
        </w:tc>
        <w:tc>
          <w:tcPr>
            <w:tcW w:w="118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649,687</w:t>
            </w:r>
          </w:p>
        </w:tc>
      </w:tr>
      <w:tr>
        <w:trPr>
          <w:trHeight w:val="216"/>
        </w:trPr>
        <w:tc>
          <w:tcPr>
            <w:tcW w:w="1240" w:type="dxa"/>
            <w:vAlign w:val="bottom"/>
            <w:tcBorders>
              <w:left w:val="single" w:sz="8" w:color="3F000B"/>
              <w:right w:val="single" w:sz="8" w:color="3F000B"/>
            </w:tcBorders>
            <w:shd w:val="clear" w:color="auto" w:fill="DADADA"/>
          </w:tcPr>
          <w:p>
            <w:pPr>
              <w:spacing w:after="0"/>
              <w:rPr>
                <w:sz w:val="18"/>
                <w:szCs w:val="18"/>
                <w:color w:val="auto"/>
              </w:rPr>
            </w:pPr>
          </w:p>
        </w:tc>
        <w:tc>
          <w:tcPr>
            <w:tcW w:w="10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1,402</w:t>
            </w:r>
          </w:p>
        </w:tc>
        <w:tc>
          <w:tcPr>
            <w:tcW w:w="12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shd w:val="clear" w:color="auto" w:fill="DADADA"/>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90.39</w:t>
            </w:r>
          </w:p>
        </w:tc>
        <w:tc>
          <w:tcPr>
            <w:tcW w:w="940" w:type="dxa"/>
            <w:vAlign w:val="bottom"/>
            <w:tcBorders>
              <w:right w:val="single" w:sz="8" w:color="3F000B"/>
            </w:tcBorders>
            <w:shd w:val="clear" w:color="auto" w:fill="DADADA"/>
          </w:tcPr>
          <w:p>
            <w:pPr>
              <w:ind w:left="320"/>
              <w:spacing w:after="0"/>
              <w:rPr>
                <w:sz w:val="20"/>
                <w:szCs w:val="20"/>
                <w:color w:val="auto"/>
              </w:rPr>
            </w:pPr>
            <w:r>
              <w:rPr>
                <w:rFonts w:ascii="Arial" w:cs="Arial" w:eastAsia="Arial" w:hAnsi="Arial"/>
                <w:sz w:val="14"/>
                <w:szCs w:val="14"/>
                <w:color w:val="auto"/>
                <w:w w:val="93"/>
              </w:rPr>
              <w:t>2/15/2026</w:t>
            </w:r>
          </w:p>
        </w:tc>
        <w:tc>
          <w:tcPr>
            <w:tcW w:w="120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w:t>
            </w:r>
          </w:p>
        </w:tc>
      </w:tr>
      <w:tr>
        <w:trPr>
          <w:trHeight w:val="222"/>
        </w:trPr>
        <w:tc>
          <w:tcPr>
            <w:tcW w:w="12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5,217</w:t>
            </w:r>
          </w:p>
        </w:tc>
        <w:tc>
          <w:tcPr>
            <w:tcW w:w="12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2,435</w:t>
            </w:r>
          </w:p>
        </w:tc>
        <w:tc>
          <w:tcPr>
            <w:tcW w:w="1000" w:type="dxa"/>
            <w:vAlign w:val="bottom"/>
            <w:tcBorders>
              <w:bottom w:val="single" w:sz="8" w:color="DADADA"/>
              <w:right w:val="single" w:sz="8" w:color="3F000B"/>
            </w:tcBorders>
            <w:shd w:val="clear" w:color="auto" w:fill="DADADA"/>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ADADA"/>
              <w:right w:val="single" w:sz="8" w:color="3F000B"/>
            </w:tcBorders>
            <w:shd w:val="clear" w:color="auto" w:fill="DADADA"/>
          </w:tcPr>
          <w:p>
            <w:pPr>
              <w:ind w:left="72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b w:val="1"/>
                <w:bCs w:val="1"/>
                <w:color w:val="auto"/>
              </w:rPr>
              <w:t>2,804</w:t>
            </w:r>
          </w:p>
        </w:tc>
        <w:tc>
          <w:tcPr>
            <w:tcW w:w="118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b w:val="1"/>
                <w:bCs w:val="1"/>
                <w:color w:val="auto"/>
              </w:rPr>
              <w:t>438,420</w:t>
            </w:r>
          </w:p>
        </w:tc>
        <w:tc>
          <w:tcPr>
            <w:tcW w:w="1200" w:type="dxa"/>
            <w:vAlign w:val="bottom"/>
            <w:tcBorders>
              <w:bottom w:val="single" w:sz="8" w:color="DADADA"/>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b w:val="1"/>
                <w:bCs w:val="1"/>
                <w:color w:val="auto"/>
              </w:rPr>
              <w:t>12,215</w:t>
            </w:r>
          </w:p>
        </w:tc>
        <w:tc>
          <w:tcPr>
            <w:tcW w:w="1180" w:type="dxa"/>
            <w:vAlign w:val="bottom"/>
            <w:tcBorders>
              <w:bottom w:val="single" w:sz="8" w:color="DADADA"/>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b w:val="1"/>
                <w:bCs w:val="1"/>
                <w:color w:val="auto"/>
              </w:rPr>
              <w:t>1,860,711</w:t>
            </w:r>
          </w:p>
        </w:tc>
      </w:tr>
      <w:tr>
        <w:trPr>
          <w:trHeight w:val="190"/>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Mr. Atkins</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6,112</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6,113</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103.74</w:t>
            </w:r>
          </w:p>
        </w:tc>
        <w:tc>
          <w:tcPr>
            <w:tcW w:w="940" w:type="dxa"/>
            <w:vAlign w:val="bottom"/>
            <w:tcBorders>
              <w:right w:val="single" w:sz="8" w:color="3F000B"/>
            </w:tcBorders>
          </w:tcPr>
          <w:p>
            <w:pPr>
              <w:ind w:left="320"/>
              <w:spacing w:after="0"/>
              <w:rPr>
                <w:sz w:val="20"/>
                <w:szCs w:val="20"/>
                <w:color w:val="auto"/>
              </w:rPr>
            </w:pPr>
            <w:r>
              <w:rPr>
                <w:rFonts w:ascii="Arial" w:cs="Arial" w:eastAsia="Arial" w:hAnsi="Arial"/>
                <w:sz w:val="14"/>
                <w:szCs w:val="14"/>
                <w:color w:val="auto"/>
                <w:w w:val="93"/>
              </w:rPr>
              <w:t>10/9/2028</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4,703</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737,376</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10,345</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1,575,854</w:t>
            </w:r>
          </w:p>
        </w:tc>
      </w:tr>
      <w:tr>
        <w:trPr>
          <w:trHeight w:val="216"/>
        </w:trPr>
        <w:tc>
          <w:tcPr>
            <w:tcW w:w="1240" w:type="dxa"/>
            <w:vAlign w:val="bottom"/>
            <w:tcBorders>
              <w:left w:val="single" w:sz="8" w:color="3F000B"/>
              <w:right w:val="single" w:sz="8" w:color="3F000B"/>
            </w:tcBorders>
          </w:tcPr>
          <w:p>
            <w:pPr>
              <w:spacing w:after="0"/>
              <w:rPr>
                <w:sz w:val="18"/>
                <w:szCs w:val="18"/>
                <w:color w:val="auto"/>
              </w:rPr>
            </w:pP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3F000B"/>
            </w:tcBorders>
          </w:tcPr>
          <w:p>
            <w:pPr>
              <w:ind w:left="7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12,828</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1,954,089</w:t>
            </w:r>
          </w:p>
        </w:tc>
      </w:tr>
      <w:tr>
        <w:trPr>
          <w:trHeight w:val="235"/>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6,112</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6,113</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3F000B"/>
            </w:tcBorders>
          </w:tcPr>
          <w:p>
            <w:pPr>
              <w:ind w:left="72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4,703</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737,376</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b w:val="1"/>
                <w:bCs w:val="1"/>
                <w:color w:val="auto"/>
              </w:rPr>
              <w:t>23,173</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b w:val="1"/>
                <w:bCs w:val="1"/>
                <w:color w:val="auto"/>
              </w:rPr>
              <w:t>3,529,943</w:t>
            </w:r>
          </w:p>
        </w:tc>
      </w:tr>
      <w:tr>
        <w:trPr>
          <w:trHeight w:val="197"/>
        </w:trPr>
        <w:tc>
          <w:tcPr>
            <w:tcW w:w="124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4"/>
                <w:szCs w:val="14"/>
                <w:color w:val="auto"/>
              </w:rPr>
              <w:t>Mr. Walling</w:t>
            </w:r>
          </w:p>
        </w:tc>
        <w:tc>
          <w:tcPr>
            <w:tcW w:w="10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shd w:val="clear" w:color="auto" w:fill="DADADA"/>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3F000B"/>
            </w:tcBorders>
            <w:shd w:val="clear" w:color="auto" w:fill="DADADA"/>
          </w:tcPr>
          <w:p>
            <w:pPr>
              <w:ind w:left="7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color w:val="auto"/>
              </w:rPr>
              <w:t>6,858</w:t>
            </w:r>
          </w:p>
        </w:tc>
        <w:tc>
          <w:tcPr>
            <w:tcW w:w="1180" w:type="dxa"/>
            <w:vAlign w:val="bottom"/>
            <w:tcBorders>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color w:val="auto"/>
              </w:rPr>
              <w:t>1,044,679</w:t>
            </w:r>
          </w:p>
        </w:tc>
      </w:tr>
      <w:tr>
        <w:trPr>
          <w:trHeight w:val="221"/>
        </w:trPr>
        <w:tc>
          <w:tcPr>
            <w:tcW w:w="12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ADADA"/>
              <w:right w:val="single" w:sz="8" w:color="3F000B"/>
            </w:tcBorders>
            <w:shd w:val="clear" w:color="auto" w:fill="DADADA"/>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ADADA"/>
              <w:right w:val="single" w:sz="8" w:color="3F000B"/>
            </w:tcBorders>
            <w:shd w:val="clear" w:color="auto" w:fill="DADADA"/>
          </w:tcPr>
          <w:p>
            <w:pPr>
              <w:ind w:left="72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ADADA"/>
              <w:right w:val="single" w:sz="8" w:color="3F000B"/>
            </w:tcBorders>
            <w:shd w:val="clear" w:color="auto" w:fill="DADADA"/>
          </w:tcPr>
          <w:p>
            <w:pPr>
              <w:jc w:val="right"/>
              <w:ind w:right="11"/>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ADADA"/>
              <w:right w:val="single" w:sz="8" w:color="3F000B"/>
            </w:tcBorders>
            <w:shd w:val="clear" w:color="auto" w:fill="DADADA"/>
          </w:tcPr>
          <w:p>
            <w:pPr>
              <w:jc w:val="right"/>
              <w:ind w:right="32"/>
              <w:spacing w:after="0"/>
              <w:rPr>
                <w:sz w:val="20"/>
                <w:szCs w:val="20"/>
                <w:color w:val="auto"/>
              </w:rPr>
            </w:pPr>
            <w:r>
              <w:rPr>
                <w:rFonts w:ascii="Arial" w:cs="Arial" w:eastAsia="Arial" w:hAnsi="Arial"/>
                <w:sz w:val="14"/>
                <w:szCs w:val="14"/>
                <w:b w:val="1"/>
                <w:bCs w:val="1"/>
                <w:color w:val="auto"/>
              </w:rPr>
              <w:t>6,858</w:t>
            </w:r>
          </w:p>
        </w:tc>
        <w:tc>
          <w:tcPr>
            <w:tcW w:w="1180" w:type="dxa"/>
            <w:vAlign w:val="bottom"/>
            <w:tcBorders>
              <w:bottom w:val="single" w:sz="8" w:color="DADADA"/>
              <w:right w:val="single" w:sz="8" w:color="3F000B"/>
            </w:tcBorders>
            <w:shd w:val="clear" w:color="auto" w:fill="DADADA"/>
          </w:tcPr>
          <w:p>
            <w:pPr>
              <w:jc w:val="right"/>
              <w:ind w:right="12"/>
              <w:spacing w:after="0"/>
              <w:rPr>
                <w:sz w:val="20"/>
                <w:szCs w:val="20"/>
                <w:color w:val="auto"/>
              </w:rPr>
            </w:pPr>
            <w:r>
              <w:rPr>
                <w:rFonts w:ascii="Arial" w:cs="Arial" w:eastAsia="Arial" w:hAnsi="Arial"/>
                <w:sz w:val="14"/>
                <w:szCs w:val="14"/>
                <w:b w:val="1"/>
                <w:bCs w:val="1"/>
                <w:color w:val="auto"/>
              </w:rPr>
              <w:t>1,044,679</w:t>
            </w:r>
          </w:p>
        </w:tc>
      </w:tr>
      <w:tr>
        <w:trPr>
          <w:trHeight w:val="191"/>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color w:val="auto"/>
              </w:rPr>
              <w:t>Ms. West</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3F000B"/>
            </w:tcBorders>
          </w:tcPr>
          <w:p>
            <w:pPr>
              <w:ind w:left="7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color w:val="auto"/>
              </w:rPr>
              <w:t>—</w:t>
            </w:r>
          </w:p>
        </w:tc>
      </w:tr>
      <w:tr>
        <w:trPr>
          <w:trHeight w:val="216"/>
        </w:trPr>
        <w:tc>
          <w:tcPr>
            <w:tcW w:w="1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3F000B"/>
            </w:tcBorders>
          </w:tcPr>
          <w:p>
            <w:pPr>
              <w:ind w:left="7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3F000B"/>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3F000B"/>
            </w:tcBorders>
          </w:tcPr>
          <w:p>
            <w:pPr>
              <w:ind w:left="72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180" w:type="dxa"/>
            <w:vAlign w:val="bottom"/>
            <w:tcBorders>
              <w:right w:val="single" w:sz="8" w:color="3F000B"/>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3F000B"/>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180" w:type="dxa"/>
            <w:vAlign w:val="bottom"/>
            <w:tcBorders>
              <w:right w:val="single" w:sz="8" w:color="3F000B"/>
            </w:tcBorders>
          </w:tcPr>
          <w:p>
            <w:pPr>
              <w:jc w:val="right"/>
              <w:ind w:right="12"/>
              <w:spacing w:after="0"/>
              <w:rPr>
                <w:sz w:val="20"/>
                <w:szCs w:val="20"/>
                <w:color w:val="auto"/>
              </w:rPr>
            </w:pPr>
            <w:r>
              <w:rPr>
                <w:rFonts w:ascii="Arial" w:cs="Arial" w:eastAsia="Arial" w:hAnsi="Arial"/>
                <w:sz w:val="14"/>
                <w:szCs w:val="14"/>
                <w:b w:val="1"/>
                <w:bCs w:val="1"/>
                <w:color w:val="auto"/>
              </w:rPr>
              <w:t>—</w:t>
            </w:r>
          </w:p>
        </w:tc>
      </w:tr>
      <w:tr>
        <w:trPr>
          <w:trHeight w:val="25"/>
        </w:trPr>
        <w:tc>
          <w:tcPr>
            <w:tcW w:w="1240" w:type="dxa"/>
            <w:vAlign w:val="bottom"/>
            <w:tcBorders>
              <w:left w:val="single" w:sz="8" w:color="3F000B"/>
              <w:bottom w:val="single" w:sz="8" w:color="3F000B"/>
              <w:right w:val="single" w:sz="8" w:color="3F000B"/>
            </w:tcBorders>
          </w:tcPr>
          <w:p>
            <w:pPr>
              <w:spacing w:after="0"/>
              <w:rPr>
                <w:sz w:val="2"/>
                <w:szCs w:val="2"/>
                <w:color w:val="auto"/>
              </w:rPr>
            </w:pPr>
          </w:p>
        </w:tc>
        <w:tc>
          <w:tcPr>
            <w:tcW w:w="1060" w:type="dxa"/>
            <w:vAlign w:val="bottom"/>
            <w:tcBorders>
              <w:bottom w:val="single" w:sz="8" w:color="3F000B"/>
              <w:right w:val="single" w:sz="8" w:color="3F000B"/>
            </w:tcBorders>
          </w:tcPr>
          <w:p>
            <w:pPr>
              <w:spacing w:after="0"/>
              <w:rPr>
                <w:sz w:val="2"/>
                <w:szCs w:val="2"/>
                <w:color w:val="auto"/>
              </w:rPr>
            </w:pPr>
          </w:p>
        </w:tc>
        <w:tc>
          <w:tcPr>
            <w:tcW w:w="1260" w:type="dxa"/>
            <w:vAlign w:val="bottom"/>
            <w:tcBorders>
              <w:bottom w:val="single" w:sz="8" w:color="3F000B"/>
              <w:right w:val="single" w:sz="8" w:color="3F000B"/>
            </w:tcBorders>
          </w:tcPr>
          <w:p>
            <w:pPr>
              <w:spacing w:after="0"/>
              <w:rPr>
                <w:sz w:val="2"/>
                <w:szCs w:val="2"/>
                <w:color w:val="auto"/>
              </w:rPr>
            </w:pPr>
          </w:p>
        </w:tc>
        <w:tc>
          <w:tcPr>
            <w:tcW w:w="1000" w:type="dxa"/>
            <w:vAlign w:val="bottom"/>
            <w:tcBorders>
              <w:bottom w:val="single" w:sz="8" w:color="3F000B"/>
              <w:right w:val="single" w:sz="8" w:color="3F000B"/>
            </w:tcBorders>
          </w:tcPr>
          <w:p>
            <w:pPr>
              <w:spacing w:after="0"/>
              <w:rPr>
                <w:sz w:val="2"/>
                <w:szCs w:val="2"/>
                <w:color w:val="auto"/>
              </w:rPr>
            </w:pPr>
          </w:p>
        </w:tc>
        <w:tc>
          <w:tcPr>
            <w:tcW w:w="960" w:type="dxa"/>
            <w:vAlign w:val="bottom"/>
            <w:tcBorders>
              <w:bottom w:val="single" w:sz="8" w:color="3F000B"/>
              <w:right w:val="single" w:sz="8" w:color="3F000B"/>
            </w:tcBorders>
          </w:tcPr>
          <w:p>
            <w:pPr>
              <w:spacing w:after="0"/>
              <w:rPr>
                <w:sz w:val="2"/>
                <w:szCs w:val="2"/>
                <w:color w:val="auto"/>
              </w:rPr>
            </w:pPr>
          </w:p>
        </w:tc>
        <w:tc>
          <w:tcPr>
            <w:tcW w:w="940" w:type="dxa"/>
            <w:vAlign w:val="bottom"/>
            <w:tcBorders>
              <w:bottom w:val="single" w:sz="8" w:color="3F000B"/>
              <w:right w:val="single" w:sz="8" w:color="3F000B"/>
            </w:tcBorders>
          </w:tcPr>
          <w:p>
            <w:pPr>
              <w:spacing w:after="0"/>
              <w:rPr>
                <w:sz w:val="2"/>
                <w:szCs w:val="2"/>
                <w:color w:val="auto"/>
              </w:rPr>
            </w:pPr>
          </w:p>
        </w:tc>
        <w:tc>
          <w:tcPr>
            <w:tcW w:w="1200" w:type="dxa"/>
            <w:vAlign w:val="bottom"/>
            <w:tcBorders>
              <w:bottom w:val="single" w:sz="8" w:color="3F000B"/>
              <w:right w:val="single" w:sz="8" w:color="3F000B"/>
            </w:tcBorders>
          </w:tcPr>
          <w:p>
            <w:pPr>
              <w:spacing w:after="0"/>
              <w:rPr>
                <w:sz w:val="2"/>
                <w:szCs w:val="2"/>
                <w:color w:val="auto"/>
              </w:rPr>
            </w:pPr>
          </w:p>
        </w:tc>
        <w:tc>
          <w:tcPr>
            <w:tcW w:w="1180" w:type="dxa"/>
            <w:vAlign w:val="bottom"/>
            <w:tcBorders>
              <w:bottom w:val="single" w:sz="8" w:color="3F000B"/>
              <w:right w:val="single" w:sz="8" w:color="3F000B"/>
            </w:tcBorders>
          </w:tcPr>
          <w:p>
            <w:pPr>
              <w:spacing w:after="0"/>
              <w:rPr>
                <w:sz w:val="2"/>
                <w:szCs w:val="2"/>
                <w:color w:val="auto"/>
              </w:rPr>
            </w:pPr>
          </w:p>
        </w:tc>
        <w:tc>
          <w:tcPr>
            <w:tcW w:w="1200" w:type="dxa"/>
            <w:vAlign w:val="bottom"/>
            <w:tcBorders>
              <w:bottom w:val="single" w:sz="8" w:color="3F000B"/>
              <w:right w:val="single" w:sz="8" w:color="3F000B"/>
            </w:tcBorders>
          </w:tcPr>
          <w:p>
            <w:pPr>
              <w:spacing w:after="0"/>
              <w:rPr>
                <w:sz w:val="2"/>
                <w:szCs w:val="2"/>
                <w:color w:val="auto"/>
              </w:rPr>
            </w:pPr>
          </w:p>
        </w:tc>
        <w:tc>
          <w:tcPr>
            <w:tcW w:w="1180" w:type="dxa"/>
            <w:vAlign w:val="bottom"/>
            <w:tcBorders>
              <w:bottom w:val="single" w:sz="8" w:color="3F000B"/>
              <w:right w:val="single" w:sz="8" w:color="3F000B"/>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right="180" w:hanging="332"/>
        <w:spacing w:after="0" w:line="257" w:lineRule="auto"/>
        <w:tabs>
          <w:tab w:leader="none" w:pos="33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Columns (b) through (f) represent information about stock options awarded to each NEO under the EICP. Stock option awards vest in 25% increments over four years and have a ten-year term. Information on the treatment of stock options upon retirement, death, disability, termination, or Change in Control can be found in the section entitled “Potential Payments upon Termination or Change in Control.”</w:t>
      </w:r>
    </w:p>
    <w:p>
      <w:pPr>
        <w:spacing w:after="0" w:line="76" w:lineRule="exact"/>
        <w:rPr>
          <w:rFonts w:ascii="Arial" w:cs="Arial" w:eastAsia="Arial" w:hAnsi="Arial"/>
          <w:sz w:val="14"/>
          <w:szCs w:val="14"/>
          <w:color w:val="auto"/>
        </w:rPr>
      </w:pPr>
    </w:p>
    <w:p>
      <w:pPr>
        <w:ind w:left="320" w:hanging="312"/>
        <w:spacing w:after="0"/>
        <w:tabs>
          <w:tab w:leader="none" w:pos="3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Options listed in Column (b) are vested and may be exercised by the NEO at any time subject to the terms of the stock option.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111" w:right="359" w:bottom="1440" w:gutter="0" w:footer="0" w:header="0"/>
        </w:sectPr>
      </w:pPr>
    </w:p>
    <w:bookmarkStart w:id="73" w:name="page74"/>
    <w:bookmarkEnd w:id="73"/>
    <w:p>
      <w:pPr>
        <w:ind w:left="332" w:right="60" w:hanging="332"/>
        <w:spacing w:after="0" w:line="257" w:lineRule="auto"/>
        <w:tabs>
          <w:tab w:leader="none" w:pos="32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Options listed in Column (c) were not vested as of December 31, 2020. The following table provides information with respect to the dates on which these options vested or are scheduled to vest, subject to continued employment (or retirement, death or disability), and subject further to proration in the event of severance and possible acceleration in the event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69215</wp:posOffset>
            </wp:positionV>
            <wp:extent cx="5143500" cy="4718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471805"/>
                    </a:xfrm>
                    <a:prstGeom prst="rect">
                      <a:avLst/>
                    </a:prstGeom>
                    <a:noFill/>
                  </pic:spPr>
                </pic:pic>
              </a:graphicData>
            </a:graphic>
          </wp:anchor>
        </w:drawing>
      </w:r>
    </w:p>
    <w:p>
      <w:pPr>
        <w:spacing w:after="0" w:line="69" w:lineRule="exact"/>
        <w:rPr>
          <w:sz w:val="20"/>
          <w:szCs w:val="20"/>
          <w:color w:val="auto"/>
        </w:rPr>
      </w:pPr>
    </w:p>
    <w:tbl>
      <w:tblPr>
        <w:tblLayout w:type="fixed"/>
        <w:tblInd w:w="342" w:type="dxa"/>
        <w:tblCellMar>
          <w:top w:w="0" w:type="dxa"/>
          <w:left w:w="0" w:type="dxa"/>
          <w:bottom w:w="0" w:type="dxa"/>
          <w:right w:w="0" w:type="dxa"/>
        </w:tblCellMar>
      </w:tblPr>
      <w:tr>
        <w:trPr>
          <w:trHeight w:val="298"/>
        </w:trPr>
        <w:tc>
          <w:tcPr>
            <w:tcW w:w="1540" w:type="dxa"/>
            <w:vAlign w:val="bottom"/>
            <w:tcBorders>
              <w:top w:val="single" w:sz="8" w:color="3F000B"/>
              <w:left w:val="single" w:sz="8" w:color="3F000B"/>
              <w:right w:val="single" w:sz="8" w:color="DADADA"/>
            </w:tcBorders>
            <w:shd w:val="clear" w:color="auto" w:fill="3F000B"/>
          </w:tcPr>
          <w:p>
            <w:pPr>
              <w:spacing w:after="0"/>
              <w:rPr>
                <w:sz w:val="24"/>
                <w:szCs w:val="24"/>
                <w:color w:val="auto"/>
              </w:rPr>
            </w:pPr>
          </w:p>
        </w:tc>
        <w:tc>
          <w:tcPr>
            <w:tcW w:w="1260" w:type="dxa"/>
            <w:vAlign w:val="bottom"/>
            <w:tcBorders>
              <w:top w:val="single" w:sz="8" w:color="3F000B"/>
              <w:right w:val="single" w:sz="8" w:color="3F000B"/>
            </w:tcBorders>
            <w:vMerge w:val="restart"/>
            <w:shd w:val="clear" w:color="auto" w:fill="3F000B"/>
          </w:tcPr>
          <w:p>
            <w:pPr>
              <w:ind w:left="400"/>
              <w:spacing w:after="0"/>
              <w:rPr>
                <w:sz w:val="20"/>
                <w:szCs w:val="20"/>
                <w:color w:val="auto"/>
              </w:rPr>
            </w:pPr>
            <w:r>
              <w:rPr>
                <w:rFonts w:ascii="Arial" w:cs="Arial" w:eastAsia="Arial" w:hAnsi="Arial"/>
                <w:sz w:val="14"/>
                <w:szCs w:val="14"/>
                <w:b w:val="1"/>
                <w:bCs w:val="1"/>
                <w:color w:val="FFFFFF"/>
              </w:rPr>
              <w:t>Future</w:t>
            </w:r>
          </w:p>
        </w:tc>
        <w:tc>
          <w:tcPr>
            <w:tcW w:w="1160" w:type="dxa"/>
            <w:vAlign w:val="bottom"/>
            <w:tcBorders>
              <w:top w:val="single" w:sz="8" w:color="3F000B"/>
              <w:right w:val="single" w:sz="8" w:color="3F000B"/>
            </w:tcBorders>
            <w:shd w:val="clear" w:color="auto" w:fill="3F000B"/>
          </w:tcPr>
          <w:p>
            <w:pPr>
              <w:spacing w:after="0"/>
              <w:rPr>
                <w:sz w:val="24"/>
                <w:szCs w:val="24"/>
                <w:color w:val="auto"/>
              </w:rPr>
            </w:pPr>
          </w:p>
        </w:tc>
        <w:tc>
          <w:tcPr>
            <w:tcW w:w="1160" w:type="dxa"/>
            <w:vAlign w:val="bottom"/>
            <w:tcBorders>
              <w:top w:val="single" w:sz="8" w:color="3F000B"/>
              <w:right w:val="single" w:sz="8" w:color="3F000B"/>
            </w:tcBorders>
            <w:shd w:val="clear" w:color="auto" w:fill="3F000B"/>
          </w:tcPr>
          <w:p>
            <w:pPr>
              <w:spacing w:after="0"/>
              <w:rPr>
                <w:sz w:val="24"/>
                <w:szCs w:val="24"/>
                <w:color w:val="auto"/>
              </w:rPr>
            </w:pPr>
          </w:p>
        </w:tc>
        <w:tc>
          <w:tcPr>
            <w:tcW w:w="3460" w:type="dxa"/>
            <w:vAlign w:val="bottom"/>
            <w:tcBorders>
              <w:top w:val="single" w:sz="8" w:color="3F000B"/>
              <w:right w:val="single" w:sz="8" w:color="3F000B"/>
            </w:tcBorders>
            <w:gridSpan w:val="3"/>
            <w:shd w:val="clear" w:color="auto" w:fill="3F000B"/>
          </w:tcPr>
          <w:p>
            <w:pPr>
              <w:jc w:val="right"/>
              <w:ind w:right="828"/>
              <w:spacing w:after="0"/>
              <w:rPr>
                <w:sz w:val="20"/>
                <w:szCs w:val="20"/>
                <w:color w:val="auto"/>
              </w:rPr>
            </w:pPr>
            <w:r>
              <w:rPr>
                <w:rFonts w:ascii="Arial" w:cs="Arial" w:eastAsia="Arial" w:hAnsi="Arial"/>
                <w:sz w:val="14"/>
                <w:szCs w:val="14"/>
                <w:b w:val="1"/>
                <w:bCs w:val="1"/>
                <w:color w:val="FFFFFF"/>
              </w:rPr>
              <w:t>Number of Options Vesting</w:t>
            </w:r>
          </w:p>
        </w:tc>
        <w:tc>
          <w:tcPr>
            <w:tcW w:w="1160" w:type="dxa"/>
            <w:vAlign w:val="bottom"/>
            <w:tcBorders>
              <w:top w:val="single" w:sz="8" w:color="3F000B"/>
              <w:right w:val="single" w:sz="8" w:color="3F000B"/>
            </w:tcBorders>
            <w:shd w:val="clear" w:color="auto" w:fill="3F000B"/>
          </w:tcPr>
          <w:p>
            <w:pPr>
              <w:spacing w:after="0"/>
              <w:rPr>
                <w:sz w:val="24"/>
                <w:szCs w:val="24"/>
                <w:color w:val="auto"/>
              </w:rPr>
            </w:pPr>
          </w:p>
        </w:tc>
        <w:tc>
          <w:tcPr>
            <w:tcW w:w="1160" w:type="dxa"/>
            <w:vAlign w:val="bottom"/>
            <w:tcBorders>
              <w:top w:val="single" w:sz="8" w:color="3F000B"/>
              <w:right w:val="single" w:sz="8" w:color="3F000B"/>
            </w:tcBorders>
            <w:shd w:val="clear" w:color="auto" w:fill="3F000B"/>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540" w:type="dxa"/>
            <w:vAlign w:val="bottom"/>
            <w:tcBorders>
              <w:left w:val="single" w:sz="8" w:color="3F000B"/>
              <w:right w:val="single" w:sz="8" w:color="DADADA"/>
            </w:tcBorders>
            <w:vMerge w:val="restart"/>
            <w:shd w:val="clear" w:color="auto" w:fill="3F000B"/>
          </w:tcPr>
          <w:p>
            <w:pPr>
              <w:ind w:left="580"/>
              <w:spacing w:after="0"/>
              <w:rPr>
                <w:sz w:val="20"/>
                <w:szCs w:val="20"/>
                <w:color w:val="auto"/>
              </w:rPr>
            </w:pPr>
            <w:r>
              <w:rPr>
                <w:rFonts w:ascii="Arial" w:cs="Arial" w:eastAsia="Arial" w:hAnsi="Arial"/>
                <w:sz w:val="14"/>
                <w:szCs w:val="14"/>
                <w:b w:val="1"/>
                <w:bCs w:val="1"/>
                <w:color w:val="FFFFFF"/>
              </w:rPr>
              <w:t>Grant</w:t>
            </w:r>
          </w:p>
        </w:tc>
        <w:tc>
          <w:tcPr>
            <w:tcW w:w="1260" w:type="dxa"/>
            <w:vAlign w:val="bottom"/>
            <w:tcBorders>
              <w:right w:val="single" w:sz="8" w:color="3F000B"/>
            </w:tcBorders>
            <w:vMerge w:val="continue"/>
            <w:shd w:val="clear" w:color="auto" w:fill="3F000B"/>
          </w:tcPr>
          <w:p>
            <w:pPr>
              <w:spacing w:after="0"/>
              <w:rPr>
                <w:sz w:val="5"/>
                <w:szCs w:val="5"/>
                <w:color w:val="auto"/>
              </w:rPr>
            </w:pPr>
          </w:p>
        </w:tc>
        <w:tc>
          <w:tcPr>
            <w:tcW w:w="1160" w:type="dxa"/>
            <w:vAlign w:val="bottom"/>
            <w:tcBorders>
              <w:right w:val="single" w:sz="8" w:color="3F000B"/>
            </w:tcBorders>
            <w:shd w:val="clear" w:color="auto" w:fill="3F000B"/>
          </w:tcPr>
          <w:p>
            <w:pPr>
              <w:spacing w:after="0"/>
              <w:rPr>
                <w:sz w:val="5"/>
                <w:szCs w:val="5"/>
                <w:color w:val="auto"/>
              </w:rPr>
            </w:pPr>
          </w:p>
        </w:tc>
        <w:tc>
          <w:tcPr>
            <w:tcW w:w="1160" w:type="dxa"/>
            <w:vAlign w:val="bottom"/>
            <w:tcBorders>
              <w:right w:val="single" w:sz="8" w:color="3F000B"/>
            </w:tcBorders>
            <w:shd w:val="clear" w:color="auto" w:fill="3F000B"/>
          </w:tcPr>
          <w:p>
            <w:pPr>
              <w:spacing w:after="0"/>
              <w:rPr>
                <w:sz w:val="5"/>
                <w:szCs w:val="5"/>
                <w:color w:val="auto"/>
              </w:rPr>
            </w:pPr>
          </w:p>
        </w:tc>
        <w:tc>
          <w:tcPr>
            <w:tcW w:w="1160" w:type="dxa"/>
            <w:vAlign w:val="bottom"/>
            <w:tcBorders>
              <w:right w:val="single" w:sz="8" w:color="3F000B"/>
            </w:tcBorders>
            <w:shd w:val="clear" w:color="auto" w:fill="3F000B"/>
          </w:tcPr>
          <w:p>
            <w:pPr>
              <w:spacing w:after="0"/>
              <w:rPr>
                <w:sz w:val="5"/>
                <w:szCs w:val="5"/>
                <w:color w:val="auto"/>
              </w:rPr>
            </w:pPr>
          </w:p>
        </w:tc>
        <w:tc>
          <w:tcPr>
            <w:tcW w:w="1160" w:type="dxa"/>
            <w:vAlign w:val="bottom"/>
            <w:tcBorders>
              <w:right w:val="single" w:sz="8" w:color="3F000B"/>
            </w:tcBorders>
            <w:shd w:val="clear" w:color="auto" w:fill="3F000B"/>
          </w:tcPr>
          <w:p>
            <w:pPr>
              <w:spacing w:after="0"/>
              <w:rPr>
                <w:sz w:val="5"/>
                <w:szCs w:val="5"/>
                <w:color w:val="auto"/>
              </w:rPr>
            </w:pPr>
          </w:p>
        </w:tc>
        <w:tc>
          <w:tcPr>
            <w:tcW w:w="1140" w:type="dxa"/>
            <w:vAlign w:val="bottom"/>
            <w:tcBorders>
              <w:right w:val="single" w:sz="8" w:color="3F000B"/>
            </w:tcBorders>
            <w:shd w:val="clear" w:color="auto" w:fill="3F000B"/>
          </w:tcPr>
          <w:p>
            <w:pPr>
              <w:spacing w:after="0"/>
              <w:rPr>
                <w:sz w:val="5"/>
                <w:szCs w:val="5"/>
                <w:color w:val="auto"/>
              </w:rPr>
            </w:pPr>
          </w:p>
        </w:tc>
        <w:tc>
          <w:tcPr>
            <w:tcW w:w="1160" w:type="dxa"/>
            <w:vAlign w:val="bottom"/>
            <w:tcBorders>
              <w:right w:val="single" w:sz="8" w:color="3F000B"/>
            </w:tcBorders>
            <w:shd w:val="clear" w:color="auto" w:fill="3F000B"/>
          </w:tcPr>
          <w:p>
            <w:pPr>
              <w:spacing w:after="0"/>
              <w:rPr>
                <w:sz w:val="5"/>
                <w:szCs w:val="5"/>
                <w:color w:val="auto"/>
              </w:rPr>
            </w:pPr>
          </w:p>
        </w:tc>
        <w:tc>
          <w:tcPr>
            <w:tcW w:w="1160" w:type="dxa"/>
            <w:vAlign w:val="bottom"/>
            <w:tcBorders>
              <w:right w:val="single" w:sz="8" w:color="3F000B"/>
            </w:tcBorders>
            <w:shd w:val="clear" w:color="auto" w:fill="3F000B"/>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40" w:type="dxa"/>
            <w:vAlign w:val="bottom"/>
            <w:tcBorders>
              <w:left w:val="single" w:sz="8" w:color="3F000B"/>
              <w:right w:val="single" w:sz="8" w:color="DADADA"/>
            </w:tcBorders>
            <w:vMerge w:val="continue"/>
            <w:shd w:val="clear" w:color="auto" w:fill="3F000B"/>
          </w:tcPr>
          <w:p>
            <w:pPr>
              <w:spacing w:after="0"/>
              <w:rPr>
                <w:sz w:val="11"/>
                <w:szCs w:val="11"/>
                <w:color w:val="auto"/>
              </w:rPr>
            </w:pPr>
          </w:p>
        </w:tc>
        <w:tc>
          <w:tcPr>
            <w:tcW w:w="1260" w:type="dxa"/>
            <w:vAlign w:val="bottom"/>
            <w:tcBorders>
              <w:right w:val="single" w:sz="8" w:color="DADADA"/>
            </w:tcBorders>
            <w:shd w:val="clear" w:color="auto" w:fill="3F000B"/>
          </w:tcPr>
          <w:p>
            <w:pPr>
              <w:ind w:left="400"/>
              <w:spacing w:after="0" w:line="135" w:lineRule="exact"/>
              <w:rPr>
                <w:sz w:val="20"/>
                <w:szCs w:val="20"/>
                <w:color w:val="auto"/>
              </w:rPr>
            </w:pPr>
            <w:r>
              <w:rPr>
                <w:rFonts w:ascii="Arial" w:cs="Arial" w:eastAsia="Arial" w:hAnsi="Arial"/>
                <w:sz w:val="14"/>
                <w:szCs w:val="14"/>
                <w:b w:val="1"/>
                <w:bCs w:val="1"/>
                <w:color w:val="FFFFFF"/>
              </w:rPr>
              <w:t>Vesting</w:t>
            </w:r>
          </w:p>
        </w:tc>
        <w:tc>
          <w:tcPr>
            <w:tcW w:w="1160" w:type="dxa"/>
            <w:vAlign w:val="bottom"/>
            <w:tcBorders>
              <w:right w:val="single" w:sz="8" w:color="DADADA"/>
            </w:tcBorders>
            <w:shd w:val="clear" w:color="auto" w:fill="3F000B"/>
          </w:tcPr>
          <w:p>
            <w:pPr>
              <w:spacing w:after="0"/>
              <w:rPr>
                <w:sz w:val="11"/>
                <w:szCs w:val="11"/>
                <w:color w:val="auto"/>
              </w:rPr>
            </w:pPr>
          </w:p>
        </w:tc>
        <w:tc>
          <w:tcPr>
            <w:tcW w:w="1160" w:type="dxa"/>
            <w:vAlign w:val="bottom"/>
            <w:tcBorders>
              <w:right w:val="single" w:sz="8" w:color="DADADA"/>
            </w:tcBorders>
            <w:shd w:val="clear" w:color="auto" w:fill="3F000B"/>
          </w:tcPr>
          <w:p>
            <w:pPr>
              <w:spacing w:after="0"/>
              <w:rPr>
                <w:sz w:val="11"/>
                <w:szCs w:val="11"/>
                <w:color w:val="auto"/>
              </w:rPr>
            </w:pPr>
          </w:p>
        </w:tc>
        <w:tc>
          <w:tcPr>
            <w:tcW w:w="1160" w:type="dxa"/>
            <w:vAlign w:val="bottom"/>
            <w:tcBorders>
              <w:right w:val="single" w:sz="8" w:color="DADADA"/>
            </w:tcBorders>
            <w:shd w:val="clear" w:color="auto" w:fill="3F000B"/>
          </w:tcPr>
          <w:p>
            <w:pPr>
              <w:spacing w:after="0"/>
              <w:rPr>
                <w:sz w:val="11"/>
                <w:szCs w:val="11"/>
                <w:color w:val="auto"/>
              </w:rPr>
            </w:pPr>
          </w:p>
        </w:tc>
        <w:tc>
          <w:tcPr>
            <w:tcW w:w="1160" w:type="dxa"/>
            <w:vAlign w:val="bottom"/>
            <w:tcBorders>
              <w:right w:val="single" w:sz="8" w:color="DADADA"/>
            </w:tcBorders>
            <w:shd w:val="clear" w:color="auto" w:fill="3F000B"/>
          </w:tcPr>
          <w:p>
            <w:pPr>
              <w:spacing w:after="0"/>
              <w:rPr>
                <w:sz w:val="11"/>
                <w:szCs w:val="11"/>
                <w:color w:val="auto"/>
              </w:rPr>
            </w:pPr>
          </w:p>
        </w:tc>
        <w:tc>
          <w:tcPr>
            <w:tcW w:w="1140" w:type="dxa"/>
            <w:vAlign w:val="bottom"/>
            <w:tcBorders>
              <w:right w:val="single" w:sz="8" w:color="DADADA"/>
            </w:tcBorders>
            <w:shd w:val="clear" w:color="auto" w:fill="3F000B"/>
          </w:tcPr>
          <w:p>
            <w:pPr>
              <w:spacing w:after="0"/>
              <w:rPr>
                <w:sz w:val="11"/>
                <w:szCs w:val="11"/>
                <w:color w:val="auto"/>
              </w:rPr>
            </w:pPr>
          </w:p>
        </w:tc>
        <w:tc>
          <w:tcPr>
            <w:tcW w:w="1160" w:type="dxa"/>
            <w:vAlign w:val="bottom"/>
            <w:tcBorders>
              <w:right w:val="single" w:sz="8" w:color="3F000B"/>
            </w:tcBorders>
            <w:shd w:val="clear" w:color="auto" w:fill="3F000B"/>
          </w:tcPr>
          <w:p>
            <w:pPr>
              <w:spacing w:after="0"/>
              <w:rPr>
                <w:sz w:val="11"/>
                <w:szCs w:val="11"/>
                <w:color w:val="auto"/>
              </w:rPr>
            </w:pPr>
          </w:p>
        </w:tc>
        <w:tc>
          <w:tcPr>
            <w:tcW w:w="1160" w:type="dxa"/>
            <w:vAlign w:val="bottom"/>
            <w:tcBorders>
              <w:right w:val="single" w:sz="8" w:color="3F000B"/>
            </w:tcBorders>
            <w:shd w:val="clear" w:color="auto" w:fill="3F000B"/>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540" w:type="dxa"/>
            <w:vAlign w:val="bottom"/>
            <w:tcBorders>
              <w:left w:val="single" w:sz="8" w:color="3F000B"/>
              <w:bottom w:val="single" w:sz="8" w:color="3F000B"/>
              <w:right w:val="single" w:sz="8" w:color="DADADA"/>
            </w:tcBorders>
            <w:shd w:val="clear" w:color="auto" w:fill="3F000B"/>
          </w:tcPr>
          <w:p>
            <w:pPr>
              <w:ind w:left="620"/>
              <w:spacing w:after="0"/>
              <w:rPr>
                <w:sz w:val="20"/>
                <w:szCs w:val="20"/>
                <w:color w:val="auto"/>
              </w:rPr>
            </w:pPr>
            <w:r>
              <w:rPr>
                <w:rFonts w:ascii="Arial" w:cs="Arial" w:eastAsia="Arial" w:hAnsi="Arial"/>
                <w:sz w:val="14"/>
                <w:szCs w:val="14"/>
                <w:b w:val="1"/>
                <w:bCs w:val="1"/>
                <w:color w:val="FFFFFF"/>
              </w:rPr>
              <w:t>Date</w:t>
            </w:r>
          </w:p>
        </w:tc>
        <w:tc>
          <w:tcPr>
            <w:tcW w:w="1260" w:type="dxa"/>
            <w:vAlign w:val="bottom"/>
            <w:tcBorders>
              <w:bottom w:val="single" w:sz="8" w:color="3F000B"/>
              <w:right w:val="single" w:sz="8" w:color="DADADA"/>
            </w:tcBorders>
            <w:shd w:val="clear" w:color="auto" w:fill="3F000B"/>
          </w:tcPr>
          <w:p>
            <w:pPr>
              <w:ind w:left="440"/>
              <w:spacing w:after="0"/>
              <w:rPr>
                <w:sz w:val="20"/>
                <w:szCs w:val="20"/>
                <w:color w:val="auto"/>
              </w:rPr>
            </w:pPr>
            <w:r>
              <w:rPr>
                <w:rFonts w:ascii="Arial" w:cs="Arial" w:eastAsia="Arial" w:hAnsi="Arial"/>
                <w:sz w:val="14"/>
                <w:szCs w:val="14"/>
                <w:b w:val="1"/>
                <w:bCs w:val="1"/>
                <w:color w:val="FFFFFF"/>
              </w:rPr>
              <w:t>Dates</w:t>
            </w:r>
          </w:p>
        </w:tc>
        <w:tc>
          <w:tcPr>
            <w:tcW w:w="1160" w:type="dxa"/>
            <w:vAlign w:val="bottom"/>
            <w:tcBorders>
              <w:bottom w:val="single" w:sz="8" w:color="3F000B"/>
              <w:right w:val="single" w:sz="8" w:color="DADADA"/>
            </w:tcBorders>
            <w:shd w:val="clear" w:color="auto" w:fill="3F000B"/>
          </w:tcPr>
          <w:p>
            <w:pPr>
              <w:jc w:val="right"/>
              <w:ind w:right="228"/>
              <w:spacing w:after="0"/>
              <w:rPr>
                <w:sz w:val="20"/>
                <w:szCs w:val="20"/>
                <w:color w:val="auto"/>
              </w:rPr>
            </w:pPr>
            <w:r>
              <w:rPr>
                <w:rFonts w:ascii="Arial" w:cs="Arial" w:eastAsia="Arial" w:hAnsi="Arial"/>
                <w:sz w:val="14"/>
                <w:szCs w:val="14"/>
                <w:b w:val="1"/>
                <w:bCs w:val="1"/>
                <w:color w:val="FFFFFF"/>
              </w:rPr>
              <w:t>Ms. Buck</w:t>
            </w:r>
          </w:p>
        </w:tc>
        <w:tc>
          <w:tcPr>
            <w:tcW w:w="1160" w:type="dxa"/>
            <w:vAlign w:val="bottom"/>
            <w:tcBorders>
              <w:bottom w:val="single" w:sz="8" w:color="3F000B"/>
              <w:right w:val="single" w:sz="8" w:color="DADADA"/>
            </w:tcBorders>
            <w:shd w:val="clear" w:color="auto" w:fill="3F000B"/>
          </w:tcPr>
          <w:p>
            <w:pPr>
              <w:ind w:left="200"/>
              <w:spacing w:after="0"/>
              <w:rPr>
                <w:sz w:val="20"/>
                <w:szCs w:val="20"/>
                <w:color w:val="auto"/>
              </w:rPr>
            </w:pPr>
            <w:r>
              <w:rPr>
                <w:rFonts w:ascii="Arial" w:cs="Arial" w:eastAsia="Arial" w:hAnsi="Arial"/>
                <w:sz w:val="14"/>
                <w:szCs w:val="14"/>
                <w:b w:val="1"/>
                <w:bCs w:val="1"/>
                <w:color w:val="FFFFFF"/>
              </w:rPr>
              <w:t>Mr. Voskuil</w:t>
            </w:r>
          </w:p>
        </w:tc>
        <w:tc>
          <w:tcPr>
            <w:tcW w:w="1160" w:type="dxa"/>
            <w:vAlign w:val="bottom"/>
            <w:tcBorders>
              <w:bottom w:val="single" w:sz="8" w:color="3F000B"/>
              <w:right w:val="single" w:sz="8" w:color="DADADA"/>
            </w:tcBorders>
            <w:shd w:val="clear" w:color="auto" w:fill="3F000B"/>
          </w:tcPr>
          <w:p>
            <w:pPr>
              <w:jc w:val="right"/>
              <w:ind w:right="228"/>
              <w:spacing w:after="0"/>
              <w:rPr>
                <w:sz w:val="20"/>
                <w:szCs w:val="20"/>
                <w:color w:val="auto"/>
              </w:rPr>
            </w:pPr>
            <w:r>
              <w:rPr>
                <w:rFonts w:ascii="Arial" w:cs="Arial" w:eastAsia="Arial" w:hAnsi="Arial"/>
                <w:sz w:val="14"/>
                <w:szCs w:val="14"/>
                <w:b w:val="1"/>
                <w:bCs w:val="1"/>
                <w:color w:val="FFFFFF"/>
              </w:rPr>
              <w:t>Mr. Raup</w:t>
            </w:r>
          </w:p>
        </w:tc>
        <w:tc>
          <w:tcPr>
            <w:tcW w:w="1160" w:type="dxa"/>
            <w:vAlign w:val="bottom"/>
            <w:tcBorders>
              <w:bottom w:val="single" w:sz="8" w:color="3F000B"/>
              <w:right w:val="single" w:sz="8" w:color="DADADA"/>
            </w:tcBorders>
            <w:shd w:val="clear" w:color="auto" w:fill="3F000B"/>
          </w:tcPr>
          <w:p>
            <w:pPr>
              <w:jc w:val="right"/>
              <w:ind w:right="148"/>
              <w:spacing w:after="0"/>
              <w:rPr>
                <w:sz w:val="20"/>
                <w:szCs w:val="20"/>
                <w:color w:val="auto"/>
              </w:rPr>
            </w:pPr>
            <w:r>
              <w:rPr>
                <w:rFonts w:ascii="Arial" w:cs="Arial" w:eastAsia="Arial" w:hAnsi="Arial"/>
                <w:sz w:val="14"/>
                <w:szCs w:val="14"/>
                <w:b w:val="1"/>
                <w:bCs w:val="1"/>
                <w:color w:val="FFFFFF"/>
              </w:rPr>
              <w:t>Mr. Reiman</w:t>
            </w:r>
          </w:p>
        </w:tc>
        <w:tc>
          <w:tcPr>
            <w:tcW w:w="1140" w:type="dxa"/>
            <w:vAlign w:val="bottom"/>
            <w:tcBorders>
              <w:bottom w:val="single" w:sz="8" w:color="3F000B"/>
              <w:right w:val="single" w:sz="8" w:color="DADADA"/>
            </w:tcBorders>
            <w:shd w:val="clear" w:color="auto" w:fill="3F000B"/>
          </w:tcPr>
          <w:p>
            <w:pPr>
              <w:jc w:val="right"/>
              <w:ind w:right="168"/>
              <w:spacing w:after="0"/>
              <w:rPr>
                <w:sz w:val="20"/>
                <w:szCs w:val="20"/>
                <w:color w:val="auto"/>
              </w:rPr>
            </w:pPr>
            <w:r>
              <w:rPr>
                <w:rFonts w:ascii="Arial" w:cs="Arial" w:eastAsia="Arial" w:hAnsi="Arial"/>
                <w:sz w:val="14"/>
                <w:szCs w:val="14"/>
                <w:b w:val="1"/>
                <w:bCs w:val="1"/>
                <w:color w:val="FFFFFF"/>
              </w:rPr>
              <w:t>Mr. Atkins</w:t>
            </w:r>
          </w:p>
        </w:tc>
        <w:tc>
          <w:tcPr>
            <w:tcW w:w="1160" w:type="dxa"/>
            <w:vAlign w:val="bottom"/>
            <w:tcBorders>
              <w:bottom w:val="single" w:sz="8" w:color="3F000B"/>
              <w:right w:val="single" w:sz="8" w:color="3F000B"/>
            </w:tcBorders>
            <w:shd w:val="clear" w:color="auto" w:fill="3F000B"/>
          </w:tcPr>
          <w:p>
            <w:pPr>
              <w:ind w:left="200"/>
              <w:spacing w:after="0"/>
              <w:rPr>
                <w:sz w:val="20"/>
                <w:szCs w:val="20"/>
                <w:color w:val="auto"/>
              </w:rPr>
            </w:pPr>
            <w:r>
              <w:rPr>
                <w:rFonts w:ascii="Arial" w:cs="Arial" w:eastAsia="Arial" w:hAnsi="Arial"/>
                <w:sz w:val="14"/>
                <w:szCs w:val="14"/>
                <w:b w:val="1"/>
                <w:bCs w:val="1"/>
                <w:color w:val="FFFFFF"/>
              </w:rPr>
              <w:t>Mr. Walling</w:t>
            </w:r>
          </w:p>
        </w:tc>
        <w:tc>
          <w:tcPr>
            <w:tcW w:w="1160" w:type="dxa"/>
            <w:vAlign w:val="bottom"/>
            <w:tcBorders>
              <w:bottom w:val="single" w:sz="8" w:color="3F000B"/>
              <w:right w:val="single" w:sz="8" w:color="3F000B"/>
            </w:tcBorders>
            <w:shd w:val="clear" w:color="auto" w:fill="3F000B"/>
          </w:tcPr>
          <w:p>
            <w:pPr>
              <w:ind w:left="280"/>
              <w:spacing w:after="0"/>
              <w:rPr>
                <w:sz w:val="20"/>
                <w:szCs w:val="20"/>
                <w:color w:val="auto"/>
              </w:rPr>
            </w:pPr>
            <w:r>
              <w:rPr>
                <w:rFonts w:ascii="Arial" w:cs="Arial" w:eastAsia="Arial" w:hAnsi="Arial"/>
                <w:sz w:val="14"/>
                <w:szCs w:val="14"/>
                <w:b w:val="1"/>
                <w:bCs w:val="1"/>
                <w:color w:val="FFFFFF"/>
              </w:rPr>
              <w:t>Ms. West</w:t>
            </w:r>
          </w:p>
        </w:tc>
        <w:tc>
          <w:tcPr>
            <w:tcW w:w="0" w:type="dxa"/>
            <w:vAlign w:val="bottom"/>
          </w:tcPr>
          <w:p>
            <w:pPr>
              <w:spacing w:after="0"/>
              <w:rPr>
                <w:sz w:val="1"/>
                <w:szCs w:val="1"/>
                <w:color w:val="auto"/>
              </w:rPr>
            </w:pPr>
          </w:p>
        </w:tc>
      </w:tr>
      <w:tr>
        <w:trPr>
          <w:trHeight w:val="184"/>
        </w:trPr>
        <w:tc>
          <w:tcPr>
            <w:tcW w:w="1540" w:type="dxa"/>
            <w:vAlign w:val="bottom"/>
            <w:tcBorders>
              <w:top w:val="single" w:sz="8" w:color="3F000B"/>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10/10/2018</w:t>
            </w:r>
          </w:p>
        </w:tc>
        <w:tc>
          <w:tcPr>
            <w:tcW w:w="1260" w:type="dxa"/>
            <w:vAlign w:val="bottom"/>
            <w:tcBorders>
              <w:top w:val="single" w:sz="8" w:color="3F000B"/>
              <w:right w:val="single" w:sz="8" w:color="3F000B"/>
            </w:tcBorders>
          </w:tcPr>
          <w:p>
            <w:pPr>
              <w:jc w:val="center"/>
              <w:spacing w:after="0"/>
              <w:rPr>
                <w:sz w:val="20"/>
                <w:szCs w:val="20"/>
                <w:color w:val="auto"/>
              </w:rPr>
            </w:pPr>
            <w:r>
              <w:rPr>
                <w:rFonts w:ascii="Arial" w:cs="Arial" w:eastAsia="Arial" w:hAnsi="Arial"/>
                <w:sz w:val="14"/>
                <w:szCs w:val="14"/>
                <w:color w:val="auto"/>
                <w:w w:val="91"/>
              </w:rPr>
              <w:t>10/10/2021</w:t>
            </w:r>
          </w:p>
        </w:tc>
        <w:tc>
          <w:tcPr>
            <w:tcW w:w="116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3F000B"/>
              <w:right w:val="single" w:sz="8" w:color="3F000B"/>
            </w:tcBorders>
          </w:tcPr>
          <w:p>
            <w:pPr>
              <w:ind w:left="9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3F000B"/>
              <w:right w:val="single" w:sz="8" w:color="3F000B"/>
            </w:tcBorders>
          </w:tcPr>
          <w:p>
            <w:pPr>
              <w:jc w:val="right"/>
              <w:ind w:right="8"/>
              <w:spacing w:after="0"/>
              <w:rPr>
                <w:sz w:val="20"/>
                <w:szCs w:val="20"/>
                <w:color w:val="auto"/>
              </w:rPr>
            </w:pPr>
            <w:r>
              <w:rPr>
                <w:rFonts w:ascii="Arial" w:cs="Arial" w:eastAsia="Arial" w:hAnsi="Arial"/>
                <w:sz w:val="14"/>
                <w:szCs w:val="14"/>
                <w:color w:val="auto"/>
              </w:rPr>
              <w:t>3,056</w:t>
            </w:r>
          </w:p>
        </w:tc>
        <w:tc>
          <w:tcPr>
            <w:tcW w:w="1160" w:type="dxa"/>
            <w:vAlign w:val="bottom"/>
            <w:tcBorders>
              <w:top w:val="single" w:sz="8" w:color="3F000B"/>
              <w:right w:val="single" w:sz="8" w:color="3F000B"/>
            </w:tcBorders>
          </w:tcPr>
          <w:p>
            <w:pPr>
              <w:ind w:left="94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3F000B"/>
              <w:right w:val="single" w:sz="8" w:color="3F000B"/>
            </w:tcBorders>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40" w:type="dxa"/>
            <w:vAlign w:val="bottom"/>
            <w:tcBorders>
              <w:left w:val="single" w:sz="8" w:color="3F000B"/>
              <w:right w:val="single" w:sz="8" w:color="3F000B"/>
            </w:tcBorders>
          </w:tcPr>
          <w:p>
            <w:pPr>
              <w:spacing w:after="0"/>
              <w:rPr>
                <w:sz w:val="18"/>
                <w:szCs w:val="18"/>
                <w:color w:val="auto"/>
              </w:rPr>
            </w:pPr>
          </w:p>
        </w:tc>
        <w:tc>
          <w:tcPr>
            <w:tcW w:w="1260" w:type="dxa"/>
            <w:vAlign w:val="bottom"/>
            <w:tcBorders>
              <w:right w:val="single" w:sz="8" w:color="3F000B"/>
            </w:tcBorders>
          </w:tcPr>
          <w:p>
            <w:pPr>
              <w:jc w:val="center"/>
              <w:spacing w:after="0"/>
              <w:rPr>
                <w:sz w:val="20"/>
                <w:szCs w:val="20"/>
                <w:color w:val="auto"/>
              </w:rPr>
            </w:pPr>
            <w:r>
              <w:rPr>
                <w:rFonts w:ascii="Arial" w:cs="Arial" w:eastAsia="Arial" w:hAnsi="Arial"/>
                <w:sz w:val="14"/>
                <w:szCs w:val="14"/>
                <w:color w:val="auto"/>
                <w:w w:val="91"/>
              </w:rPr>
              <w:t>10/10/2022</w:t>
            </w: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ind w:left="92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3,057</w:t>
            </w:r>
          </w:p>
        </w:tc>
        <w:tc>
          <w:tcPr>
            <w:tcW w:w="1160" w:type="dxa"/>
            <w:vAlign w:val="bottom"/>
            <w:tcBorders>
              <w:right w:val="single" w:sz="8" w:color="3F000B"/>
            </w:tcBorders>
          </w:tcPr>
          <w:p>
            <w:pPr>
              <w:ind w:left="94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540" w:type="dxa"/>
            <w:vAlign w:val="bottom"/>
            <w:tcBorders>
              <w:left w:val="single" w:sz="8" w:color="3F000B"/>
              <w:right w:val="single" w:sz="8" w:color="3F000B"/>
            </w:tcBorders>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4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540" w:type="dxa"/>
            <w:vAlign w:val="bottom"/>
            <w:tcBorders>
              <w:left w:val="single" w:sz="8" w:color="3F000B"/>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2/20/2018</w:t>
            </w:r>
          </w:p>
        </w:tc>
        <w:tc>
          <w:tcPr>
            <w:tcW w:w="1260" w:type="dxa"/>
            <w:vAlign w:val="bottom"/>
            <w:tcBorders>
              <w:right w:val="single" w:sz="8" w:color="3F000B"/>
            </w:tcBorders>
            <w:shd w:val="clear" w:color="auto" w:fill="DADADA"/>
          </w:tcPr>
          <w:p>
            <w:pPr>
              <w:jc w:val="center"/>
              <w:spacing w:after="0"/>
              <w:rPr>
                <w:sz w:val="20"/>
                <w:szCs w:val="20"/>
                <w:color w:val="auto"/>
              </w:rPr>
            </w:pPr>
            <w:r>
              <w:rPr>
                <w:rFonts w:ascii="Arial" w:cs="Arial" w:eastAsia="Arial" w:hAnsi="Arial"/>
                <w:sz w:val="14"/>
                <w:szCs w:val="14"/>
                <w:color w:val="auto"/>
                <w:w w:val="96"/>
              </w:rPr>
              <w:t>2/20/2021</w:t>
            </w:r>
          </w:p>
        </w:tc>
        <w:tc>
          <w:tcPr>
            <w:tcW w:w="1160" w:type="dxa"/>
            <w:vAlign w:val="bottom"/>
            <w:tcBorders>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22,726</w:t>
            </w:r>
          </w:p>
        </w:tc>
        <w:tc>
          <w:tcPr>
            <w:tcW w:w="1160" w:type="dxa"/>
            <w:vAlign w:val="bottom"/>
            <w:tcBorders>
              <w:right w:val="single" w:sz="8" w:color="3F000B"/>
            </w:tcBorders>
            <w:shd w:val="clear" w:color="auto" w:fill="DADADA"/>
          </w:tcPr>
          <w:p>
            <w:pPr>
              <w:ind w:left="92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1,025</w:t>
            </w:r>
          </w:p>
        </w:tc>
        <w:tc>
          <w:tcPr>
            <w:tcW w:w="1160" w:type="dxa"/>
            <w:vAlign w:val="bottom"/>
            <w:tcBorders>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871</w:t>
            </w:r>
          </w:p>
        </w:tc>
        <w:tc>
          <w:tcPr>
            <w:tcW w:w="1140" w:type="dxa"/>
            <w:vAlign w:val="bottom"/>
            <w:tcBorders>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shd w:val="clear" w:color="auto" w:fill="DADADA"/>
          </w:tcPr>
          <w:p>
            <w:pPr>
              <w:ind w:left="94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shd w:val="clear" w:color="auto" w:fill="DADADA"/>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540" w:type="dxa"/>
            <w:vAlign w:val="bottom"/>
            <w:tcBorders>
              <w:left w:val="single" w:sz="8" w:color="3F000B"/>
              <w:bottom w:val="single" w:sz="8" w:color="DADADA"/>
              <w:right w:val="single" w:sz="8" w:color="3F000B"/>
            </w:tcBorders>
            <w:shd w:val="clear" w:color="auto" w:fill="DADADA"/>
          </w:tcPr>
          <w:p>
            <w:pPr>
              <w:spacing w:after="0"/>
              <w:rPr>
                <w:sz w:val="19"/>
                <w:szCs w:val="19"/>
                <w:color w:val="auto"/>
              </w:rPr>
            </w:pPr>
          </w:p>
        </w:tc>
        <w:tc>
          <w:tcPr>
            <w:tcW w:w="1260" w:type="dxa"/>
            <w:vAlign w:val="bottom"/>
            <w:tcBorders>
              <w:bottom w:val="single" w:sz="8" w:color="DADADA"/>
              <w:right w:val="single" w:sz="8" w:color="3F000B"/>
            </w:tcBorders>
            <w:shd w:val="clear" w:color="auto" w:fill="DADADA"/>
          </w:tcPr>
          <w:p>
            <w:pPr>
              <w:jc w:val="center"/>
              <w:spacing w:after="0"/>
              <w:rPr>
                <w:sz w:val="20"/>
                <w:szCs w:val="20"/>
                <w:color w:val="auto"/>
              </w:rPr>
            </w:pPr>
            <w:r>
              <w:rPr>
                <w:rFonts w:ascii="Arial" w:cs="Arial" w:eastAsia="Arial" w:hAnsi="Arial"/>
                <w:sz w:val="14"/>
                <w:szCs w:val="14"/>
                <w:color w:val="auto"/>
                <w:w w:val="96"/>
              </w:rPr>
              <w:t>2/20/2022</w:t>
            </w:r>
          </w:p>
        </w:tc>
        <w:tc>
          <w:tcPr>
            <w:tcW w:w="11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22,727</w:t>
            </w:r>
          </w:p>
        </w:tc>
        <w:tc>
          <w:tcPr>
            <w:tcW w:w="1160" w:type="dxa"/>
            <w:vAlign w:val="bottom"/>
            <w:tcBorders>
              <w:bottom w:val="single" w:sz="8" w:color="DADADA"/>
              <w:right w:val="single" w:sz="8" w:color="3F000B"/>
            </w:tcBorders>
            <w:shd w:val="clear" w:color="auto" w:fill="DADADA"/>
          </w:tcPr>
          <w:p>
            <w:pPr>
              <w:ind w:left="9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1,025</w:t>
            </w:r>
          </w:p>
        </w:tc>
        <w:tc>
          <w:tcPr>
            <w:tcW w:w="11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872</w:t>
            </w:r>
          </w:p>
        </w:tc>
        <w:tc>
          <w:tcPr>
            <w:tcW w:w="11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ADADA"/>
              <w:right w:val="single" w:sz="8" w:color="3F000B"/>
            </w:tcBorders>
            <w:shd w:val="clear" w:color="auto" w:fill="DADADA"/>
          </w:tcPr>
          <w:p>
            <w:pPr>
              <w:ind w:left="9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ADADA"/>
              <w:right w:val="single" w:sz="8" w:color="3F000B"/>
            </w:tcBorders>
            <w:shd w:val="clear" w:color="auto" w:fill="DADADA"/>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54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3/1/2017</w:t>
            </w:r>
          </w:p>
        </w:tc>
        <w:tc>
          <w:tcPr>
            <w:tcW w:w="1260" w:type="dxa"/>
            <w:vAlign w:val="bottom"/>
            <w:tcBorders>
              <w:right w:val="single" w:sz="8" w:color="3F000B"/>
            </w:tcBorders>
          </w:tcPr>
          <w:p>
            <w:pPr>
              <w:jc w:val="center"/>
              <w:spacing w:after="0"/>
              <w:rPr>
                <w:sz w:val="20"/>
                <w:szCs w:val="20"/>
                <w:color w:val="auto"/>
              </w:rPr>
            </w:pPr>
            <w:r>
              <w:rPr>
                <w:rFonts w:ascii="Arial" w:cs="Arial" w:eastAsia="Arial" w:hAnsi="Arial"/>
                <w:sz w:val="14"/>
                <w:szCs w:val="14"/>
                <w:color w:val="auto"/>
                <w:w w:val="95"/>
              </w:rPr>
              <w:t>3/1/2021</w:t>
            </w: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19,290</w:t>
            </w:r>
          </w:p>
        </w:tc>
        <w:tc>
          <w:tcPr>
            <w:tcW w:w="1160" w:type="dxa"/>
            <w:vAlign w:val="bottom"/>
            <w:tcBorders>
              <w:right w:val="single" w:sz="8" w:color="3F000B"/>
            </w:tcBorders>
          </w:tcPr>
          <w:p>
            <w:pPr>
              <w:ind w:left="92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spacing w:after="0"/>
              <w:rPr>
                <w:sz w:val="16"/>
                <w:szCs w:val="16"/>
                <w:color w:val="auto"/>
              </w:rPr>
            </w:pPr>
          </w:p>
        </w:tc>
        <w:tc>
          <w:tcPr>
            <w:tcW w:w="11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ind w:left="94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3F000B"/>
            </w:tcBorders>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540" w:type="dxa"/>
            <w:vAlign w:val="bottom"/>
            <w:tcBorders>
              <w:left w:val="single" w:sz="8" w:color="3F000B"/>
              <w:right w:val="single" w:sz="8" w:color="3F000B"/>
            </w:tcBorders>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4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2/22/2017</w:t>
            </w:r>
          </w:p>
        </w:tc>
        <w:tc>
          <w:tcPr>
            <w:tcW w:w="1260" w:type="dxa"/>
            <w:vAlign w:val="bottom"/>
            <w:tcBorders>
              <w:bottom w:val="single" w:sz="8" w:color="DADADA"/>
              <w:right w:val="single" w:sz="8" w:color="3F000B"/>
            </w:tcBorders>
            <w:shd w:val="clear" w:color="auto" w:fill="DADADA"/>
          </w:tcPr>
          <w:p>
            <w:pPr>
              <w:jc w:val="center"/>
              <w:spacing w:after="0"/>
              <w:rPr>
                <w:sz w:val="20"/>
                <w:szCs w:val="20"/>
                <w:color w:val="auto"/>
              </w:rPr>
            </w:pPr>
            <w:r>
              <w:rPr>
                <w:rFonts w:ascii="Arial" w:cs="Arial" w:eastAsia="Arial" w:hAnsi="Arial"/>
                <w:sz w:val="14"/>
                <w:szCs w:val="14"/>
                <w:color w:val="auto"/>
                <w:w w:val="96"/>
              </w:rPr>
              <w:t>2/22/2021</w:t>
            </w:r>
          </w:p>
        </w:tc>
        <w:tc>
          <w:tcPr>
            <w:tcW w:w="11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ADADA"/>
              <w:right w:val="single" w:sz="8" w:color="3F000B"/>
            </w:tcBorders>
            <w:shd w:val="clear" w:color="auto" w:fill="DADADA"/>
          </w:tcPr>
          <w:p>
            <w:pPr>
              <w:ind w:left="9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797</w:t>
            </w:r>
          </w:p>
        </w:tc>
        <w:tc>
          <w:tcPr>
            <w:tcW w:w="116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692</w:t>
            </w:r>
          </w:p>
        </w:tc>
        <w:tc>
          <w:tcPr>
            <w:tcW w:w="114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ADADA"/>
              <w:right w:val="single" w:sz="8" w:color="3F000B"/>
            </w:tcBorders>
            <w:shd w:val="clear" w:color="auto" w:fill="DADADA"/>
          </w:tcPr>
          <w:p>
            <w:pPr>
              <w:ind w:left="9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ADADA"/>
              <w:right w:val="single" w:sz="8" w:color="3F000B"/>
            </w:tcBorders>
            <w:shd w:val="clear" w:color="auto" w:fill="DADADA"/>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540" w:type="dxa"/>
            <w:vAlign w:val="bottom"/>
            <w:tcBorders>
              <w:left w:val="single" w:sz="8" w:color="3F000B"/>
            </w:tcBorders>
          </w:tcPr>
          <w:p>
            <w:pPr>
              <w:ind w:left="20"/>
              <w:spacing w:after="0"/>
              <w:rPr>
                <w:sz w:val="20"/>
                <w:szCs w:val="20"/>
                <w:color w:val="auto"/>
              </w:rPr>
            </w:pPr>
            <w:r>
              <w:rPr>
                <w:rFonts w:ascii="Arial" w:cs="Arial" w:eastAsia="Arial" w:hAnsi="Arial"/>
                <w:sz w:val="14"/>
                <w:szCs w:val="14"/>
                <w:b w:val="1"/>
                <w:bCs w:val="1"/>
                <w:color w:val="auto"/>
              </w:rPr>
              <w:t>Total per NEO</w:t>
            </w:r>
          </w:p>
        </w:tc>
        <w:tc>
          <w:tcPr>
            <w:tcW w:w="1260" w:type="dxa"/>
            <w:vAlign w:val="bottom"/>
            <w:tcBorders>
              <w:right w:val="single" w:sz="8" w:color="3F000B"/>
            </w:tcBorders>
          </w:tcPr>
          <w:p>
            <w:pPr>
              <w:spacing w:after="0"/>
              <w:rPr>
                <w:sz w:val="16"/>
                <w:szCs w:val="16"/>
                <w:color w:val="auto"/>
              </w:rPr>
            </w:pP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b w:val="1"/>
                <w:bCs w:val="1"/>
                <w:color w:val="auto"/>
              </w:rPr>
              <w:t>64,743</w:t>
            </w:r>
          </w:p>
        </w:tc>
        <w:tc>
          <w:tcPr>
            <w:tcW w:w="1160" w:type="dxa"/>
            <w:vAlign w:val="bottom"/>
            <w:tcBorders>
              <w:right w:val="single" w:sz="8" w:color="3F000B"/>
            </w:tcBorders>
          </w:tcPr>
          <w:p>
            <w:pPr>
              <w:ind w:left="9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b w:val="1"/>
                <w:bCs w:val="1"/>
                <w:color w:val="auto"/>
              </w:rPr>
              <w:t>2,847</w:t>
            </w:r>
          </w:p>
        </w:tc>
        <w:tc>
          <w:tcPr>
            <w:tcW w:w="116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b w:val="1"/>
                <w:bCs w:val="1"/>
                <w:color w:val="auto"/>
              </w:rPr>
              <w:t>2,435</w:t>
            </w:r>
          </w:p>
        </w:tc>
        <w:tc>
          <w:tcPr>
            <w:tcW w:w="114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b w:val="1"/>
                <w:bCs w:val="1"/>
                <w:color w:val="auto"/>
              </w:rPr>
              <w:t>6,113</w:t>
            </w:r>
          </w:p>
        </w:tc>
        <w:tc>
          <w:tcPr>
            <w:tcW w:w="1160" w:type="dxa"/>
            <w:vAlign w:val="bottom"/>
            <w:tcBorders>
              <w:right w:val="single" w:sz="8" w:color="3F000B"/>
            </w:tcBorders>
          </w:tcPr>
          <w:p>
            <w:pPr>
              <w:ind w:left="94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3F000B"/>
            </w:tcBorders>
          </w:tcPr>
          <w:p>
            <w:pPr>
              <w:ind w:left="9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1540" w:type="dxa"/>
            <w:vAlign w:val="bottom"/>
            <w:tcBorders>
              <w:left w:val="single" w:sz="8" w:color="3F000B"/>
              <w:bottom w:val="single" w:sz="8" w:color="3F000B"/>
            </w:tcBorders>
          </w:tcPr>
          <w:p>
            <w:pPr>
              <w:spacing w:after="0"/>
              <w:rPr>
                <w:sz w:val="2"/>
                <w:szCs w:val="2"/>
                <w:color w:val="auto"/>
              </w:rPr>
            </w:pPr>
          </w:p>
        </w:tc>
        <w:tc>
          <w:tcPr>
            <w:tcW w:w="126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114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32" w:right="100" w:hanging="332"/>
        <w:spacing w:after="0" w:line="247" w:lineRule="auto"/>
        <w:tabs>
          <w:tab w:leader="none" w:pos="324" w:val="left"/>
        </w:tabs>
        <w:numPr>
          <w:ilvl w:val="0"/>
          <w:numId w:val="151"/>
        </w:numPr>
        <w:rPr>
          <w:rFonts w:ascii="Arial" w:cs="Arial" w:eastAsia="Arial" w:hAnsi="Arial"/>
          <w:sz w:val="14"/>
          <w:szCs w:val="14"/>
          <w:color w:val="auto"/>
        </w:rPr>
      </w:pPr>
      <w:r>
        <w:rPr>
          <w:rFonts w:ascii="Arial" w:cs="Arial" w:eastAsia="Arial" w:hAnsi="Arial"/>
          <w:sz w:val="14"/>
          <w:szCs w:val="14"/>
          <w:color w:val="auto"/>
        </w:rPr>
        <w:t>For Ms. Buck and Messrs. Raup and Reiman, Column (g) includes unvested annual RSUs awarded in February 2018, February 2019, and February 2020, which vest ratably over 3 years. For Mr. Atkins, Column (g) includes unvested new hire RSUs granted in October 2018 and unvested annual RSUs awarded in February 2019 and February 2020, which vest ratably over 3 years. For Mr. Voskuil, Column (g) includes unvested new hire and replacement RSUs granted in July 2019, which vest ratably over 3 years and 2 years, respectively, and unvested annual RSUs awarded in February 2020, which vest ratably over 3 years. Column (h) sets forth the value of the RSUs reported in Column (g) using the $152.33 closing price per share of our Common Stock on the NYSE on December 31, 2020, the last trading day of 2020. Column (h) also includes the value of dividend equivalents accrued through December 31, 2020, on the RSUs included in Column (g).</w:t>
      </w:r>
    </w:p>
    <w:p>
      <w:pPr>
        <w:spacing w:after="0" w:line="85" w:lineRule="exact"/>
        <w:rPr>
          <w:rFonts w:ascii="Arial" w:cs="Arial" w:eastAsia="Arial" w:hAnsi="Arial"/>
          <w:sz w:val="14"/>
          <w:szCs w:val="14"/>
          <w:color w:val="auto"/>
        </w:rPr>
      </w:pPr>
    </w:p>
    <w:p>
      <w:pPr>
        <w:jc w:val="both"/>
        <w:ind w:left="332" w:right="40" w:hanging="332"/>
        <w:spacing w:after="0" w:line="269" w:lineRule="auto"/>
        <w:tabs>
          <w:tab w:leader="none" w:pos="324"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Based on progress to date against the performance metrics established for open PSU performance cycles, the first number in Column (i) for each NEO, except Mr. Walling, is the maximum number of PSUs potentially payable for the 2020-2022 performance cycle ending on December 31, 2022. The first number in Column (i) for Mr. Walling and the second number in Column</w:t>
      </w:r>
    </w:p>
    <w:p>
      <w:pPr>
        <w:jc w:val="both"/>
        <w:ind w:left="332" w:right="400"/>
        <w:spacing w:after="0" w:line="276" w:lineRule="auto"/>
        <w:rPr>
          <w:rFonts w:ascii="Arial" w:cs="Arial" w:eastAsia="Arial" w:hAnsi="Arial"/>
          <w:sz w:val="13"/>
          <w:szCs w:val="13"/>
          <w:color w:val="auto"/>
        </w:rPr>
      </w:pPr>
      <w:r>
        <w:rPr>
          <w:rFonts w:ascii="Arial" w:cs="Arial" w:eastAsia="Arial" w:hAnsi="Arial"/>
          <w:sz w:val="13"/>
          <w:szCs w:val="13"/>
          <w:color w:val="auto"/>
        </w:rPr>
        <w:t>(i) for each of the other NEOs, is the maximum number of PSUs potentially payable for the 2019-2021 performance cycle ending on December 31, 2021. The actual number of PSUs earned, if any, will be determined at the end of each performance cycle and may be fewer than the number reflected in Column (i). Column (j) sets forth the value of PSUs reported in Column (i) using the $152.33 closing price per share of our Common Stock on the NYSE on December 31, 2020, the last trading day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12"/>
          </w:cols>
          <w:pgMar w:left="328" w:top="998" w:right="35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3F000B"/>
        </w:rPr>
        <w:t>2020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9268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926840" cy="8255"/>
                    </a:xfrm>
                    <a:prstGeom prst="rect">
                      <a:avLst/>
                    </a:prstGeom>
                    <a:noFill/>
                  </pic:spPr>
                </pic:pic>
              </a:graphicData>
            </a:graphic>
          </wp:anchor>
        </w:drawing>
      </w:r>
    </w:p>
    <w:p>
      <w:pPr>
        <w:spacing w:after="0" w:line="1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and explanatory footnotes provide information with regard to amounts paid to or received by our NEOs during 2020 as a result of the exercise of stock options or the vesting of stock awards: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412"/>
        </w:trPr>
        <w:tc>
          <w:tcPr>
            <w:tcW w:w="3600" w:type="dxa"/>
            <w:vAlign w:val="bottom"/>
            <w:tcBorders>
              <w:top w:val="single" w:sz="8" w:color="3F000B"/>
              <w:left w:val="single" w:sz="8" w:color="3F000B"/>
              <w:right w:val="single" w:sz="8" w:color="3F000B"/>
            </w:tcBorders>
            <w:shd w:val="clear" w:color="auto" w:fill="3F000B"/>
          </w:tcPr>
          <w:p>
            <w:pPr>
              <w:spacing w:after="0"/>
              <w:rPr>
                <w:sz w:val="24"/>
                <w:szCs w:val="24"/>
                <w:color w:val="auto"/>
              </w:rPr>
            </w:pPr>
          </w:p>
        </w:tc>
        <w:tc>
          <w:tcPr>
            <w:tcW w:w="3800" w:type="dxa"/>
            <w:vAlign w:val="bottom"/>
            <w:tcBorders>
              <w:top w:val="single" w:sz="8" w:color="3F000B"/>
              <w:right w:val="single" w:sz="8" w:color="DADADA"/>
            </w:tcBorders>
            <w:gridSpan w:val="2"/>
            <w:shd w:val="clear" w:color="auto" w:fill="3F000B"/>
          </w:tcPr>
          <w:p>
            <w:pPr>
              <w:jc w:val="right"/>
              <w:ind w:right="1190"/>
              <w:spacing w:after="0"/>
              <w:rPr>
                <w:sz w:val="20"/>
                <w:szCs w:val="20"/>
                <w:color w:val="auto"/>
              </w:rPr>
            </w:pPr>
            <w:r>
              <w:rPr>
                <w:rFonts w:ascii="Arial" w:cs="Arial" w:eastAsia="Arial" w:hAnsi="Arial"/>
                <w:sz w:val="18"/>
                <w:szCs w:val="18"/>
                <w:b w:val="1"/>
                <w:bCs w:val="1"/>
                <w:color w:val="FFFFFF"/>
              </w:rPr>
              <w:t>Option Awards</w:t>
            </w:r>
            <w:r>
              <w:rPr>
                <w:rFonts w:ascii="Arial" w:cs="Arial" w:eastAsia="Arial" w:hAnsi="Arial"/>
                <w:sz w:val="23"/>
                <w:szCs w:val="23"/>
                <w:b w:val="1"/>
                <w:bCs w:val="1"/>
                <w:color w:val="FFFFFF"/>
                <w:vertAlign w:val="superscript"/>
              </w:rPr>
              <w:t>(1)</w:t>
            </w:r>
          </w:p>
        </w:tc>
        <w:tc>
          <w:tcPr>
            <w:tcW w:w="3800" w:type="dxa"/>
            <w:vAlign w:val="bottom"/>
            <w:tcBorders>
              <w:top w:val="single" w:sz="8" w:color="3F000B"/>
              <w:right w:val="single" w:sz="8" w:color="3F000B"/>
            </w:tcBorders>
            <w:gridSpan w:val="2"/>
            <w:shd w:val="clear" w:color="auto" w:fill="3F000B"/>
          </w:tcPr>
          <w:p>
            <w:pPr>
              <w:jc w:val="right"/>
              <w:ind w:right="1130"/>
              <w:spacing w:after="0"/>
              <w:rPr>
                <w:sz w:val="20"/>
                <w:szCs w:val="20"/>
                <w:color w:val="auto"/>
              </w:rPr>
            </w:pPr>
            <w:r>
              <w:rPr>
                <w:rFonts w:ascii="Arial" w:cs="Arial" w:eastAsia="Arial" w:hAnsi="Arial"/>
                <w:sz w:val="18"/>
                <w:szCs w:val="18"/>
                <w:b w:val="1"/>
                <w:bCs w:val="1"/>
                <w:color w:val="FFFFFF"/>
              </w:rPr>
              <w:t>Stock Awards</w:t>
            </w:r>
            <w:r>
              <w:rPr>
                <w:rFonts w:ascii="Arial" w:cs="Arial" w:eastAsia="Arial" w:hAnsi="Arial"/>
                <w:sz w:val="23"/>
                <w:szCs w:val="23"/>
                <w:b w:val="1"/>
                <w:bCs w:val="1"/>
                <w:color w:val="FFFFFF"/>
                <w:vertAlign w:val="superscript"/>
              </w:rPr>
              <w:t>(2) (3)</w:t>
            </w:r>
          </w:p>
        </w:tc>
        <w:tc>
          <w:tcPr>
            <w:tcW w:w="0" w:type="dxa"/>
            <w:vAlign w:val="bottom"/>
          </w:tcPr>
          <w:p>
            <w:pPr>
              <w:spacing w:after="0"/>
              <w:rPr>
                <w:sz w:val="1"/>
                <w:szCs w:val="1"/>
                <w:color w:val="auto"/>
              </w:rPr>
            </w:pPr>
          </w:p>
        </w:tc>
      </w:tr>
      <w:tr>
        <w:trPr>
          <w:trHeight w:val="312"/>
        </w:trPr>
        <w:tc>
          <w:tcPr>
            <w:tcW w:w="3600" w:type="dxa"/>
            <w:vAlign w:val="bottom"/>
            <w:tcBorders>
              <w:left w:val="single" w:sz="8" w:color="3F000B"/>
              <w:right w:val="single" w:sz="8" w:color="3F000B"/>
            </w:tcBorders>
            <w:shd w:val="clear" w:color="auto" w:fill="3F000B"/>
          </w:tcPr>
          <w:p>
            <w:pPr>
              <w:spacing w:after="0"/>
              <w:rPr>
                <w:sz w:val="24"/>
                <w:szCs w:val="24"/>
                <w:color w:val="auto"/>
              </w:rPr>
            </w:pP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90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Value</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90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Value</w:t>
            </w:r>
          </w:p>
        </w:tc>
        <w:tc>
          <w:tcPr>
            <w:tcW w:w="0" w:type="dxa"/>
            <w:vAlign w:val="bottom"/>
          </w:tcPr>
          <w:p>
            <w:pPr>
              <w:spacing w:after="0"/>
              <w:rPr>
                <w:sz w:val="1"/>
                <w:szCs w:val="1"/>
                <w:color w:val="auto"/>
              </w:rPr>
            </w:pPr>
          </w:p>
        </w:tc>
      </w:tr>
      <w:tr>
        <w:trPr>
          <w:trHeight w:val="194"/>
        </w:trPr>
        <w:tc>
          <w:tcPr>
            <w:tcW w:w="3600" w:type="dxa"/>
            <w:vAlign w:val="bottom"/>
            <w:tcBorders>
              <w:left w:val="single" w:sz="8" w:color="3F000B"/>
              <w:right w:val="single" w:sz="8" w:color="3F000B"/>
            </w:tcBorders>
            <w:shd w:val="clear" w:color="auto" w:fill="3F000B"/>
          </w:tcPr>
          <w:p>
            <w:pPr>
              <w:spacing w:after="0"/>
              <w:rPr>
                <w:sz w:val="16"/>
                <w:szCs w:val="16"/>
                <w:color w:val="auto"/>
              </w:rPr>
            </w:pPr>
          </w:p>
        </w:tc>
        <w:tc>
          <w:tcPr>
            <w:tcW w:w="1900" w:type="dxa"/>
            <w:vAlign w:val="bottom"/>
            <w:tcBorders>
              <w:right w:val="single" w:sz="8" w:color="DADADA"/>
            </w:tcBorders>
            <w:shd w:val="clear" w:color="auto" w:fill="3F000B"/>
          </w:tcPr>
          <w:p>
            <w:pPr>
              <w:jc w:val="center"/>
              <w:spacing w:after="0" w:line="194" w:lineRule="exact"/>
              <w:rPr>
                <w:sz w:val="20"/>
                <w:szCs w:val="20"/>
                <w:color w:val="auto"/>
              </w:rPr>
            </w:pPr>
            <w:r>
              <w:rPr>
                <w:rFonts w:ascii="Arial" w:cs="Arial" w:eastAsia="Arial" w:hAnsi="Arial"/>
                <w:sz w:val="18"/>
                <w:szCs w:val="18"/>
                <w:b w:val="1"/>
                <w:bCs w:val="1"/>
                <w:color w:val="FFFFFF"/>
                <w:w w:val="83"/>
              </w:rPr>
              <w:t>Shares</w:t>
            </w:r>
          </w:p>
        </w:tc>
        <w:tc>
          <w:tcPr>
            <w:tcW w:w="1900" w:type="dxa"/>
            <w:vAlign w:val="bottom"/>
            <w:tcBorders>
              <w:right w:val="single" w:sz="8" w:color="DADADA"/>
            </w:tcBorders>
            <w:vMerge w:val="continue"/>
            <w:shd w:val="clear" w:color="auto" w:fill="3F000B"/>
          </w:tcPr>
          <w:p>
            <w:pPr>
              <w:spacing w:after="0"/>
              <w:rPr>
                <w:sz w:val="16"/>
                <w:szCs w:val="16"/>
                <w:color w:val="auto"/>
              </w:rPr>
            </w:pPr>
          </w:p>
        </w:tc>
        <w:tc>
          <w:tcPr>
            <w:tcW w:w="1900" w:type="dxa"/>
            <w:vAlign w:val="bottom"/>
            <w:tcBorders>
              <w:right w:val="single" w:sz="8" w:color="DADADA"/>
            </w:tcBorders>
            <w:shd w:val="clear" w:color="auto" w:fill="3F000B"/>
          </w:tcPr>
          <w:p>
            <w:pPr>
              <w:jc w:val="center"/>
              <w:spacing w:after="0" w:line="194" w:lineRule="exact"/>
              <w:rPr>
                <w:sz w:val="20"/>
                <w:szCs w:val="20"/>
                <w:color w:val="auto"/>
              </w:rPr>
            </w:pPr>
            <w:r>
              <w:rPr>
                <w:rFonts w:ascii="Arial" w:cs="Arial" w:eastAsia="Arial" w:hAnsi="Arial"/>
                <w:sz w:val="18"/>
                <w:szCs w:val="18"/>
                <w:b w:val="1"/>
                <w:bCs w:val="1"/>
                <w:color w:val="FFFFFF"/>
                <w:w w:val="86"/>
              </w:rPr>
              <w:t>Shares</w:t>
            </w:r>
          </w:p>
        </w:tc>
        <w:tc>
          <w:tcPr>
            <w:tcW w:w="1900" w:type="dxa"/>
            <w:vAlign w:val="bottom"/>
            <w:tcBorders>
              <w:right w:val="single" w:sz="8" w:color="3F000B"/>
            </w:tcBorders>
            <w:vMerge w:val="continue"/>
            <w:shd w:val="clear" w:color="auto" w:fill="3F000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3F000B"/>
              <w:right w:val="single" w:sz="8" w:color="3F000B"/>
            </w:tcBorders>
            <w:shd w:val="clear" w:color="auto" w:fill="3F000B"/>
          </w:tcPr>
          <w:p>
            <w:pPr>
              <w:spacing w:after="0"/>
              <w:rPr>
                <w:sz w:val="18"/>
                <w:szCs w:val="18"/>
                <w:color w:val="auto"/>
              </w:rPr>
            </w:pP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9"/>
              </w:rPr>
              <w:t>Acquired on</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9"/>
              </w:rPr>
              <w:t>Realized on</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Acquired on</w:t>
            </w:r>
          </w:p>
        </w:tc>
        <w:tc>
          <w:tcPr>
            <w:tcW w:w="190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Realized on</w:t>
            </w:r>
          </w:p>
        </w:tc>
        <w:tc>
          <w:tcPr>
            <w:tcW w:w="0" w:type="dxa"/>
            <w:vAlign w:val="bottom"/>
          </w:tcPr>
          <w:p>
            <w:pPr>
              <w:spacing w:after="0"/>
              <w:rPr>
                <w:sz w:val="1"/>
                <w:szCs w:val="1"/>
                <w:color w:val="auto"/>
              </w:rPr>
            </w:pPr>
          </w:p>
        </w:tc>
      </w:tr>
      <w:tr>
        <w:trPr>
          <w:trHeight w:val="216"/>
        </w:trPr>
        <w:tc>
          <w:tcPr>
            <w:tcW w:w="3600" w:type="dxa"/>
            <w:vAlign w:val="bottom"/>
            <w:tcBorders>
              <w:left w:val="single" w:sz="8" w:color="3F000B"/>
              <w:right w:val="single" w:sz="8" w:color="3F000B"/>
            </w:tcBorders>
            <w:shd w:val="clear" w:color="auto" w:fill="3F000B"/>
          </w:tcPr>
          <w:p>
            <w:pPr>
              <w:spacing w:after="0"/>
              <w:rPr>
                <w:sz w:val="18"/>
                <w:szCs w:val="18"/>
                <w:color w:val="auto"/>
              </w:rPr>
            </w:pP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9"/>
              </w:rPr>
              <w:t>Exercise</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6"/>
              </w:rPr>
              <w:t>Exercise</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6"/>
              </w:rPr>
              <w:t>Vesting</w:t>
            </w:r>
          </w:p>
        </w:tc>
        <w:tc>
          <w:tcPr>
            <w:tcW w:w="190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6"/>
              </w:rPr>
              <w:t>Vesting</w:t>
            </w:r>
          </w:p>
        </w:tc>
        <w:tc>
          <w:tcPr>
            <w:tcW w:w="0" w:type="dxa"/>
            <w:vAlign w:val="bottom"/>
          </w:tcPr>
          <w:p>
            <w:pPr>
              <w:spacing w:after="0"/>
              <w:rPr>
                <w:sz w:val="1"/>
                <w:szCs w:val="1"/>
                <w:color w:val="auto"/>
              </w:rPr>
            </w:pPr>
          </w:p>
        </w:tc>
      </w:tr>
      <w:tr>
        <w:trPr>
          <w:trHeight w:val="270"/>
        </w:trPr>
        <w:tc>
          <w:tcPr>
            <w:tcW w:w="3600" w:type="dxa"/>
            <w:vAlign w:val="bottom"/>
            <w:tcBorders>
              <w:left w:val="single" w:sz="8" w:color="3F000B"/>
              <w:right w:val="single" w:sz="8" w:color="3F000B"/>
            </w:tcBorders>
            <w:shd w:val="clear" w:color="auto" w:fill="3F000B"/>
          </w:tcPr>
          <w:p>
            <w:pPr>
              <w:ind w:left="1560"/>
              <w:spacing w:after="0"/>
              <w:rPr>
                <w:sz w:val="20"/>
                <w:szCs w:val="20"/>
                <w:color w:val="auto"/>
              </w:rPr>
            </w:pPr>
            <w:r>
              <w:rPr>
                <w:rFonts w:ascii="Arial" w:cs="Arial" w:eastAsia="Arial" w:hAnsi="Arial"/>
                <w:sz w:val="18"/>
                <w:szCs w:val="18"/>
                <w:b w:val="1"/>
                <w:bCs w:val="1"/>
                <w:color w:val="FFFFFF"/>
              </w:rPr>
              <w:t>Name</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19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190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34"/>
        </w:trPr>
        <w:tc>
          <w:tcPr>
            <w:tcW w:w="3600" w:type="dxa"/>
            <w:vAlign w:val="bottom"/>
            <w:tcBorders>
              <w:left w:val="single" w:sz="8" w:color="3F000B"/>
              <w:right w:val="single" w:sz="8" w:color="3F000B"/>
            </w:tcBorders>
            <w:shd w:val="clear" w:color="auto" w:fill="3F000B"/>
          </w:tcPr>
          <w:p>
            <w:pPr>
              <w:spacing w:after="0"/>
              <w:rPr>
                <w:sz w:val="2"/>
                <w:szCs w:val="2"/>
                <w:color w:val="auto"/>
              </w:rPr>
            </w:pPr>
          </w:p>
        </w:tc>
        <w:tc>
          <w:tcPr>
            <w:tcW w:w="1900" w:type="dxa"/>
            <w:vAlign w:val="bottom"/>
            <w:tcBorders>
              <w:right w:val="single" w:sz="8" w:color="DADADA"/>
            </w:tcBorders>
            <w:shd w:val="clear" w:color="auto" w:fill="3F000B"/>
          </w:tcPr>
          <w:p>
            <w:pPr>
              <w:spacing w:after="0"/>
              <w:rPr>
                <w:sz w:val="2"/>
                <w:szCs w:val="2"/>
                <w:color w:val="auto"/>
              </w:rPr>
            </w:pPr>
          </w:p>
        </w:tc>
        <w:tc>
          <w:tcPr>
            <w:tcW w:w="1900" w:type="dxa"/>
            <w:vAlign w:val="bottom"/>
            <w:tcBorders>
              <w:right w:val="single" w:sz="8" w:color="DADADA"/>
            </w:tcBorders>
            <w:shd w:val="clear" w:color="auto" w:fill="3F000B"/>
          </w:tcPr>
          <w:p>
            <w:pPr>
              <w:spacing w:after="0"/>
              <w:rPr>
                <w:sz w:val="2"/>
                <w:szCs w:val="2"/>
                <w:color w:val="auto"/>
              </w:rPr>
            </w:pPr>
          </w:p>
        </w:tc>
        <w:tc>
          <w:tcPr>
            <w:tcW w:w="1900" w:type="dxa"/>
            <w:vAlign w:val="bottom"/>
            <w:tcBorders>
              <w:right w:val="single" w:sz="8" w:color="DADADA"/>
            </w:tcBorders>
            <w:shd w:val="clear" w:color="auto" w:fill="3F000B"/>
          </w:tcPr>
          <w:p>
            <w:pPr>
              <w:spacing w:after="0"/>
              <w:rPr>
                <w:sz w:val="2"/>
                <w:szCs w:val="2"/>
                <w:color w:val="auto"/>
              </w:rPr>
            </w:pPr>
          </w:p>
        </w:tc>
        <w:tc>
          <w:tcPr>
            <w:tcW w:w="1900" w:type="dxa"/>
            <w:vAlign w:val="bottom"/>
            <w:tcBorders>
              <w:right w:val="single" w:sz="8" w:color="3F000B"/>
            </w:tcBorders>
            <w:shd w:val="clear" w:color="auto" w:fill="3F000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left w:val="single" w:sz="8" w:color="3F000B"/>
              <w:bottom w:val="single" w:sz="8" w:color="3F000B"/>
              <w:right w:val="single" w:sz="8" w:color="3F000B"/>
            </w:tcBorders>
            <w:shd w:val="clear" w:color="auto" w:fill="3F000B"/>
          </w:tcPr>
          <w:p>
            <w:pPr>
              <w:ind w:left="1680"/>
              <w:spacing w:after="0"/>
              <w:rPr>
                <w:sz w:val="20"/>
                <w:szCs w:val="20"/>
                <w:color w:val="auto"/>
              </w:rPr>
            </w:pPr>
            <w:r>
              <w:rPr>
                <w:rFonts w:ascii="Arial" w:cs="Arial" w:eastAsia="Arial" w:hAnsi="Arial"/>
                <w:sz w:val="18"/>
                <w:szCs w:val="18"/>
                <w:b w:val="1"/>
                <w:bCs w:val="1"/>
                <w:color w:val="FFFFFF"/>
              </w:rPr>
              <w:t>(a)</w:t>
            </w:r>
          </w:p>
        </w:tc>
        <w:tc>
          <w:tcPr>
            <w:tcW w:w="19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(b)</w:t>
            </w:r>
          </w:p>
        </w:tc>
        <w:tc>
          <w:tcPr>
            <w:tcW w:w="19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(c)</w:t>
            </w:r>
          </w:p>
        </w:tc>
        <w:tc>
          <w:tcPr>
            <w:tcW w:w="19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(d)</w:t>
            </w:r>
          </w:p>
        </w:tc>
        <w:tc>
          <w:tcPr>
            <w:tcW w:w="190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(e)</w:t>
            </w:r>
          </w:p>
        </w:tc>
        <w:tc>
          <w:tcPr>
            <w:tcW w:w="0" w:type="dxa"/>
            <w:vAlign w:val="bottom"/>
          </w:tcPr>
          <w:p>
            <w:pPr>
              <w:spacing w:after="0"/>
              <w:rPr>
                <w:sz w:val="1"/>
                <w:szCs w:val="1"/>
                <w:color w:val="auto"/>
              </w:rPr>
            </w:pPr>
          </w:p>
        </w:tc>
      </w:tr>
      <w:tr>
        <w:trPr>
          <w:trHeight w:val="243"/>
        </w:trPr>
        <w:tc>
          <w:tcPr>
            <w:tcW w:w="3600" w:type="dxa"/>
            <w:vAlign w:val="bottom"/>
            <w:tcBorders>
              <w:left w:val="single" w:sz="8" w:color="542121"/>
              <w:right w:val="single" w:sz="8" w:color="542121"/>
            </w:tcBorders>
          </w:tcPr>
          <w:p>
            <w:pPr>
              <w:ind w:left="40"/>
              <w:spacing w:after="0"/>
              <w:rPr>
                <w:sz w:val="20"/>
                <w:szCs w:val="20"/>
                <w:color w:val="auto"/>
              </w:rPr>
            </w:pPr>
            <w:r>
              <w:rPr>
                <w:rFonts w:ascii="Arial" w:cs="Arial" w:eastAsia="Arial" w:hAnsi="Arial"/>
                <w:sz w:val="18"/>
                <w:szCs w:val="18"/>
                <w:color w:val="auto"/>
              </w:rPr>
              <w:t>Ms. Buck</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26,824</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1,880,592</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48,404</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7,162,824</w:t>
            </w:r>
          </w:p>
        </w:tc>
        <w:tc>
          <w:tcPr>
            <w:tcW w:w="0" w:type="dxa"/>
            <w:vAlign w:val="bottom"/>
          </w:tcPr>
          <w:p>
            <w:pPr>
              <w:spacing w:after="0"/>
              <w:rPr>
                <w:sz w:val="1"/>
                <w:szCs w:val="1"/>
                <w:color w:val="auto"/>
              </w:rPr>
            </w:pPr>
          </w:p>
        </w:tc>
      </w:tr>
      <w:tr>
        <w:trPr>
          <w:trHeight w:val="270"/>
        </w:trPr>
        <w:tc>
          <w:tcPr>
            <w:tcW w:w="3600" w:type="dxa"/>
            <w:vAlign w:val="bottom"/>
            <w:tcBorders>
              <w:left w:val="single" w:sz="8" w:color="542121"/>
              <w:right w:val="single" w:sz="8" w:color="542121"/>
            </w:tcBorders>
          </w:tcPr>
          <w:p>
            <w:pPr>
              <w:spacing w:after="0"/>
              <w:rPr>
                <w:sz w:val="23"/>
                <w:szCs w:val="23"/>
                <w:color w:val="auto"/>
              </w:rPr>
            </w:pPr>
          </w:p>
        </w:tc>
        <w:tc>
          <w:tcPr>
            <w:tcW w:w="1900" w:type="dxa"/>
            <w:vAlign w:val="bottom"/>
            <w:tcBorders>
              <w:right w:val="single" w:sz="8" w:color="542121"/>
            </w:tcBorders>
          </w:tcPr>
          <w:p>
            <w:pPr>
              <w:spacing w:after="0"/>
              <w:rPr>
                <w:sz w:val="23"/>
                <w:szCs w:val="23"/>
                <w:color w:val="auto"/>
              </w:rPr>
            </w:pPr>
          </w:p>
        </w:tc>
        <w:tc>
          <w:tcPr>
            <w:tcW w:w="1900" w:type="dxa"/>
            <w:vAlign w:val="bottom"/>
            <w:tcBorders>
              <w:right w:val="single" w:sz="8" w:color="542121"/>
            </w:tcBorders>
          </w:tcPr>
          <w:p>
            <w:pPr>
              <w:spacing w:after="0"/>
              <w:rPr>
                <w:sz w:val="23"/>
                <w:szCs w:val="23"/>
                <w:color w:val="auto"/>
              </w:rPr>
            </w:pP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15,303</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2,316,894</w:t>
            </w:r>
          </w:p>
        </w:tc>
        <w:tc>
          <w:tcPr>
            <w:tcW w:w="0" w:type="dxa"/>
            <w:vAlign w:val="bottom"/>
          </w:tcPr>
          <w:p>
            <w:pPr>
              <w:spacing w:after="0"/>
              <w:rPr>
                <w:sz w:val="1"/>
                <w:szCs w:val="1"/>
                <w:color w:val="auto"/>
              </w:rPr>
            </w:pPr>
          </w:p>
        </w:tc>
      </w:tr>
      <w:tr>
        <w:trPr>
          <w:trHeight w:val="27"/>
        </w:trPr>
        <w:tc>
          <w:tcPr>
            <w:tcW w:w="3600" w:type="dxa"/>
            <w:vAlign w:val="bottom"/>
            <w:tcBorders>
              <w:left w:val="single" w:sz="8" w:color="542121"/>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left w:val="single" w:sz="8" w:color="542121"/>
              <w:bottom w:val="single" w:sz="8" w:color="DADADA"/>
              <w:right w:val="single" w:sz="8" w:color="542121"/>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1900" w:type="dxa"/>
            <w:vAlign w:val="bottom"/>
            <w:tcBorders>
              <w:bottom w:val="single" w:sz="8" w:color="DADADA"/>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DADADA"/>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5,435</w:t>
            </w:r>
          </w:p>
        </w:tc>
        <w:tc>
          <w:tcPr>
            <w:tcW w:w="19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799,010</w:t>
            </w:r>
          </w:p>
        </w:tc>
        <w:tc>
          <w:tcPr>
            <w:tcW w:w="0" w:type="dxa"/>
            <w:vAlign w:val="bottom"/>
          </w:tcPr>
          <w:p>
            <w:pPr>
              <w:spacing w:after="0"/>
              <w:rPr>
                <w:sz w:val="1"/>
                <w:szCs w:val="1"/>
                <w:color w:val="auto"/>
              </w:rPr>
            </w:pPr>
          </w:p>
        </w:tc>
      </w:tr>
      <w:tr>
        <w:trPr>
          <w:trHeight w:val="243"/>
        </w:trPr>
        <w:tc>
          <w:tcPr>
            <w:tcW w:w="3600" w:type="dxa"/>
            <w:vAlign w:val="bottom"/>
            <w:tcBorders>
              <w:left w:val="single" w:sz="8" w:color="542121"/>
              <w:right w:val="single" w:sz="8" w:color="542121"/>
            </w:tcBorders>
          </w:tcPr>
          <w:p>
            <w:pPr>
              <w:ind w:left="40"/>
              <w:spacing w:after="0"/>
              <w:rPr>
                <w:sz w:val="20"/>
                <w:szCs w:val="20"/>
                <w:color w:val="auto"/>
              </w:rPr>
            </w:pPr>
            <w:r>
              <w:rPr>
                <w:rFonts w:ascii="Arial" w:cs="Arial" w:eastAsia="Arial" w:hAnsi="Arial"/>
                <w:sz w:val="18"/>
                <w:szCs w:val="18"/>
                <w:color w:val="auto"/>
              </w:rPr>
              <w:t>Mr. Raup</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2,183</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323,040</w:t>
            </w:r>
          </w:p>
        </w:tc>
        <w:tc>
          <w:tcPr>
            <w:tcW w:w="0" w:type="dxa"/>
            <w:vAlign w:val="bottom"/>
          </w:tcPr>
          <w:p>
            <w:pPr>
              <w:spacing w:after="0"/>
              <w:rPr>
                <w:sz w:val="1"/>
                <w:szCs w:val="1"/>
                <w:color w:val="auto"/>
              </w:rPr>
            </w:pPr>
          </w:p>
        </w:tc>
      </w:tr>
      <w:tr>
        <w:trPr>
          <w:trHeight w:val="270"/>
        </w:trPr>
        <w:tc>
          <w:tcPr>
            <w:tcW w:w="3600" w:type="dxa"/>
            <w:vAlign w:val="bottom"/>
            <w:tcBorders>
              <w:left w:val="single" w:sz="8" w:color="542121"/>
              <w:right w:val="single" w:sz="8" w:color="542121"/>
            </w:tcBorders>
          </w:tcPr>
          <w:p>
            <w:pPr>
              <w:spacing w:after="0"/>
              <w:rPr>
                <w:sz w:val="23"/>
                <w:szCs w:val="23"/>
                <w:color w:val="auto"/>
              </w:rPr>
            </w:pPr>
          </w:p>
        </w:tc>
        <w:tc>
          <w:tcPr>
            <w:tcW w:w="1900" w:type="dxa"/>
            <w:vAlign w:val="bottom"/>
            <w:tcBorders>
              <w:right w:val="single" w:sz="8" w:color="542121"/>
            </w:tcBorders>
          </w:tcPr>
          <w:p>
            <w:pPr>
              <w:spacing w:after="0"/>
              <w:rPr>
                <w:sz w:val="23"/>
                <w:szCs w:val="23"/>
                <w:color w:val="auto"/>
              </w:rPr>
            </w:pPr>
          </w:p>
        </w:tc>
        <w:tc>
          <w:tcPr>
            <w:tcW w:w="1900" w:type="dxa"/>
            <w:vAlign w:val="bottom"/>
            <w:tcBorders>
              <w:right w:val="single" w:sz="8" w:color="542121"/>
            </w:tcBorders>
          </w:tcPr>
          <w:p>
            <w:pPr>
              <w:spacing w:after="0"/>
              <w:rPr>
                <w:sz w:val="23"/>
                <w:szCs w:val="23"/>
                <w:color w:val="auto"/>
              </w:rPr>
            </w:pP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1,498</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213,972</w:t>
            </w:r>
          </w:p>
        </w:tc>
        <w:tc>
          <w:tcPr>
            <w:tcW w:w="0" w:type="dxa"/>
            <w:vAlign w:val="bottom"/>
          </w:tcPr>
          <w:p>
            <w:pPr>
              <w:spacing w:after="0"/>
              <w:rPr>
                <w:sz w:val="1"/>
                <w:szCs w:val="1"/>
                <w:color w:val="auto"/>
              </w:rPr>
            </w:pPr>
          </w:p>
        </w:tc>
      </w:tr>
      <w:tr>
        <w:trPr>
          <w:trHeight w:val="27"/>
        </w:trPr>
        <w:tc>
          <w:tcPr>
            <w:tcW w:w="3600" w:type="dxa"/>
            <w:vAlign w:val="bottom"/>
            <w:tcBorders>
              <w:left w:val="single" w:sz="8" w:color="542121"/>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00" w:type="dxa"/>
            <w:vAlign w:val="bottom"/>
            <w:tcBorders>
              <w:left w:val="single" w:sz="8" w:color="542121"/>
              <w:right w:val="single" w:sz="8" w:color="542121"/>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1900" w:type="dxa"/>
            <w:vAlign w:val="bottom"/>
            <w:tcBorders>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2,905</w:t>
            </w:r>
          </w:p>
        </w:tc>
        <w:tc>
          <w:tcPr>
            <w:tcW w:w="1900" w:type="dxa"/>
            <w:vAlign w:val="bottom"/>
            <w:tcBorders>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142,606</w:t>
            </w:r>
          </w:p>
        </w:tc>
        <w:tc>
          <w:tcPr>
            <w:tcW w:w="1900" w:type="dxa"/>
            <w:vAlign w:val="bottom"/>
            <w:tcBorders>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2,779</w:t>
            </w:r>
          </w:p>
        </w:tc>
        <w:tc>
          <w:tcPr>
            <w:tcW w:w="1900" w:type="dxa"/>
            <w:vAlign w:val="bottom"/>
            <w:tcBorders>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411,236</w:t>
            </w:r>
          </w:p>
        </w:tc>
        <w:tc>
          <w:tcPr>
            <w:tcW w:w="0" w:type="dxa"/>
            <w:vAlign w:val="bottom"/>
          </w:tcPr>
          <w:p>
            <w:pPr>
              <w:spacing w:after="0"/>
              <w:rPr>
                <w:sz w:val="1"/>
                <w:szCs w:val="1"/>
                <w:color w:val="auto"/>
              </w:rPr>
            </w:pPr>
          </w:p>
        </w:tc>
      </w:tr>
      <w:tr>
        <w:trPr>
          <w:trHeight w:val="277"/>
        </w:trPr>
        <w:tc>
          <w:tcPr>
            <w:tcW w:w="3600" w:type="dxa"/>
            <w:vAlign w:val="bottom"/>
            <w:tcBorders>
              <w:left w:val="single" w:sz="8" w:color="542121"/>
              <w:bottom w:val="single" w:sz="8" w:color="DADADA"/>
              <w:right w:val="single" w:sz="8" w:color="542121"/>
            </w:tcBorders>
            <w:shd w:val="clear" w:color="auto" w:fill="DADADA"/>
          </w:tcPr>
          <w:p>
            <w:pPr>
              <w:spacing w:after="0"/>
              <w:rPr>
                <w:sz w:val="24"/>
                <w:szCs w:val="24"/>
                <w:color w:val="auto"/>
              </w:rPr>
            </w:pPr>
          </w:p>
        </w:tc>
        <w:tc>
          <w:tcPr>
            <w:tcW w:w="1900" w:type="dxa"/>
            <w:vAlign w:val="bottom"/>
            <w:tcBorders>
              <w:bottom w:val="single" w:sz="8" w:color="DADADA"/>
              <w:right w:val="single" w:sz="8" w:color="542121"/>
            </w:tcBorders>
            <w:shd w:val="clear" w:color="auto" w:fill="DADADA"/>
          </w:tcPr>
          <w:p>
            <w:pPr>
              <w:spacing w:after="0"/>
              <w:rPr>
                <w:sz w:val="24"/>
                <w:szCs w:val="24"/>
                <w:color w:val="auto"/>
              </w:rPr>
            </w:pPr>
          </w:p>
        </w:tc>
        <w:tc>
          <w:tcPr>
            <w:tcW w:w="1900" w:type="dxa"/>
            <w:vAlign w:val="bottom"/>
            <w:tcBorders>
              <w:bottom w:val="single" w:sz="8" w:color="DADADA"/>
              <w:right w:val="single" w:sz="8" w:color="542121"/>
            </w:tcBorders>
            <w:shd w:val="clear" w:color="auto" w:fill="DADADA"/>
          </w:tcPr>
          <w:p>
            <w:pPr>
              <w:spacing w:after="0"/>
              <w:rPr>
                <w:sz w:val="24"/>
                <w:szCs w:val="24"/>
                <w:color w:val="auto"/>
              </w:rPr>
            </w:pPr>
          </w:p>
        </w:tc>
        <w:tc>
          <w:tcPr>
            <w:tcW w:w="19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1,806</w:t>
            </w:r>
          </w:p>
        </w:tc>
        <w:tc>
          <w:tcPr>
            <w:tcW w:w="19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253,902</w:t>
            </w:r>
          </w:p>
        </w:tc>
        <w:tc>
          <w:tcPr>
            <w:tcW w:w="0" w:type="dxa"/>
            <w:vAlign w:val="bottom"/>
          </w:tcPr>
          <w:p>
            <w:pPr>
              <w:spacing w:after="0"/>
              <w:rPr>
                <w:sz w:val="1"/>
                <w:szCs w:val="1"/>
                <w:color w:val="auto"/>
              </w:rPr>
            </w:pPr>
          </w:p>
        </w:tc>
      </w:tr>
      <w:tr>
        <w:trPr>
          <w:trHeight w:val="243"/>
        </w:trPr>
        <w:tc>
          <w:tcPr>
            <w:tcW w:w="3600" w:type="dxa"/>
            <w:vAlign w:val="bottom"/>
            <w:tcBorders>
              <w:left w:val="single" w:sz="8" w:color="542121"/>
              <w:right w:val="single" w:sz="8" w:color="542121"/>
            </w:tcBorders>
          </w:tcPr>
          <w:p>
            <w:pPr>
              <w:ind w:left="40"/>
              <w:spacing w:after="0"/>
              <w:rPr>
                <w:sz w:val="20"/>
                <w:szCs w:val="20"/>
                <w:color w:val="auto"/>
              </w:rPr>
            </w:pPr>
            <w:r>
              <w:rPr>
                <w:rFonts w:ascii="Arial" w:cs="Arial" w:eastAsia="Arial" w:hAnsi="Arial"/>
                <w:sz w:val="18"/>
                <w:szCs w:val="18"/>
                <w:color w:val="auto"/>
              </w:rPr>
              <w:t>Mr. Atkins</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6,480</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958,910</w:t>
            </w:r>
          </w:p>
        </w:tc>
        <w:tc>
          <w:tcPr>
            <w:tcW w:w="0" w:type="dxa"/>
            <w:vAlign w:val="bottom"/>
          </w:tcPr>
          <w:p>
            <w:pPr>
              <w:spacing w:after="0"/>
              <w:rPr>
                <w:sz w:val="1"/>
                <w:szCs w:val="1"/>
                <w:color w:val="auto"/>
              </w:rPr>
            </w:pPr>
          </w:p>
        </w:tc>
      </w:tr>
      <w:tr>
        <w:trPr>
          <w:trHeight w:val="270"/>
        </w:trPr>
        <w:tc>
          <w:tcPr>
            <w:tcW w:w="3600" w:type="dxa"/>
            <w:vAlign w:val="bottom"/>
            <w:tcBorders>
              <w:left w:val="single" w:sz="8" w:color="542121"/>
              <w:right w:val="single" w:sz="8" w:color="542121"/>
            </w:tcBorders>
          </w:tcPr>
          <w:p>
            <w:pPr>
              <w:spacing w:after="0"/>
              <w:rPr>
                <w:sz w:val="23"/>
                <w:szCs w:val="23"/>
                <w:color w:val="auto"/>
              </w:rPr>
            </w:pPr>
          </w:p>
        </w:tc>
        <w:tc>
          <w:tcPr>
            <w:tcW w:w="1900" w:type="dxa"/>
            <w:vAlign w:val="bottom"/>
            <w:tcBorders>
              <w:right w:val="single" w:sz="8" w:color="542121"/>
            </w:tcBorders>
          </w:tcPr>
          <w:p>
            <w:pPr>
              <w:spacing w:after="0"/>
              <w:rPr>
                <w:sz w:val="23"/>
                <w:szCs w:val="23"/>
                <w:color w:val="auto"/>
              </w:rPr>
            </w:pPr>
          </w:p>
        </w:tc>
        <w:tc>
          <w:tcPr>
            <w:tcW w:w="1900" w:type="dxa"/>
            <w:vAlign w:val="bottom"/>
            <w:tcBorders>
              <w:right w:val="single" w:sz="8" w:color="542121"/>
            </w:tcBorders>
          </w:tcPr>
          <w:p>
            <w:pPr>
              <w:spacing w:after="0"/>
              <w:rPr>
                <w:sz w:val="23"/>
                <w:szCs w:val="23"/>
                <w:color w:val="auto"/>
              </w:rPr>
            </w:pP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1,554</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223,024</w:t>
            </w:r>
          </w:p>
        </w:tc>
        <w:tc>
          <w:tcPr>
            <w:tcW w:w="0" w:type="dxa"/>
            <w:vAlign w:val="bottom"/>
          </w:tcPr>
          <w:p>
            <w:pPr>
              <w:spacing w:after="0"/>
              <w:rPr>
                <w:sz w:val="1"/>
                <w:szCs w:val="1"/>
                <w:color w:val="auto"/>
              </w:rPr>
            </w:pPr>
          </w:p>
        </w:tc>
      </w:tr>
      <w:tr>
        <w:trPr>
          <w:trHeight w:val="27"/>
        </w:trPr>
        <w:tc>
          <w:tcPr>
            <w:tcW w:w="3600" w:type="dxa"/>
            <w:vAlign w:val="bottom"/>
            <w:tcBorders>
              <w:left w:val="single" w:sz="8" w:color="542121"/>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1900" w:type="dxa"/>
            <w:vAlign w:val="bottom"/>
            <w:tcBorders>
              <w:right w:val="single" w:sz="8" w:color="54212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00" w:type="dxa"/>
            <w:vAlign w:val="bottom"/>
            <w:tcBorders>
              <w:left w:val="single" w:sz="8" w:color="542121"/>
              <w:right w:val="single" w:sz="8" w:color="542121"/>
            </w:tcBorders>
            <w:shd w:val="clear" w:color="auto" w:fill="DADADA"/>
          </w:tcPr>
          <w:p>
            <w:pPr>
              <w:ind w:left="40"/>
              <w:spacing w:after="0"/>
              <w:rPr>
                <w:sz w:val="20"/>
                <w:szCs w:val="20"/>
                <w:color w:val="auto"/>
              </w:rPr>
            </w:pPr>
            <w:r>
              <w:rPr>
                <w:rFonts w:ascii="Arial" w:cs="Arial" w:eastAsia="Arial" w:hAnsi="Arial"/>
                <w:sz w:val="18"/>
                <w:szCs w:val="18"/>
                <w:color w:val="auto"/>
              </w:rPr>
              <w:t>Mr. Walling</w:t>
            </w:r>
          </w:p>
        </w:tc>
        <w:tc>
          <w:tcPr>
            <w:tcW w:w="1900" w:type="dxa"/>
            <w:vAlign w:val="bottom"/>
            <w:tcBorders>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36,048</w:t>
            </w:r>
          </w:p>
        </w:tc>
        <w:tc>
          <w:tcPr>
            <w:tcW w:w="1900" w:type="dxa"/>
            <w:vAlign w:val="bottom"/>
            <w:tcBorders>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957,651</w:t>
            </w:r>
          </w:p>
        </w:tc>
        <w:tc>
          <w:tcPr>
            <w:tcW w:w="1900" w:type="dxa"/>
            <w:vAlign w:val="bottom"/>
            <w:tcBorders>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6,270</w:t>
            </w:r>
          </w:p>
        </w:tc>
        <w:tc>
          <w:tcPr>
            <w:tcW w:w="1900" w:type="dxa"/>
            <w:vAlign w:val="bottom"/>
            <w:tcBorders>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927,835</w:t>
            </w:r>
          </w:p>
        </w:tc>
        <w:tc>
          <w:tcPr>
            <w:tcW w:w="0" w:type="dxa"/>
            <w:vAlign w:val="bottom"/>
          </w:tcPr>
          <w:p>
            <w:pPr>
              <w:spacing w:after="0"/>
              <w:rPr>
                <w:sz w:val="1"/>
                <w:szCs w:val="1"/>
                <w:color w:val="auto"/>
              </w:rPr>
            </w:pPr>
          </w:p>
        </w:tc>
      </w:tr>
      <w:tr>
        <w:trPr>
          <w:trHeight w:val="277"/>
        </w:trPr>
        <w:tc>
          <w:tcPr>
            <w:tcW w:w="3600" w:type="dxa"/>
            <w:vAlign w:val="bottom"/>
            <w:tcBorders>
              <w:left w:val="single" w:sz="8" w:color="542121"/>
              <w:bottom w:val="single" w:sz="8" w:color="DADADA"/>
              <w:right w:val="single" w:sz="8" w:color="542121"/>
            </w:tcBorders>
            <w:shd w:val="clear" w:color="auto" w:fill="DADADA"/>
          </w:tcPr>
          <w:p>
            <w:pPr>
              <w:spacing w:after="0"/>
              <w:rPr>
                <w:sz w:val="24"/>
                <w:szCs w:val="24"/>
                <w:color w:val="auto"/>
              </w:rPr>
            </w:pPr>
          </w:p>
        </w:tc>
        <w:tc>
          <w:tcPr>
            <w:tcW w:w="1900" w:type="dxa"/>
            <w:vAlign w:val="bottom"/>
            <w:tcBorders>
              <w:bottom w:val="single" w:sz="8" w:color="DADADA"/>
              <w:right w:val="single" w:sz="8" w:color="542121"/>
            </w:tcBorders>
            <w:shd w:val="clear" w:color="auto" w:fill="DADADA"/>
          </w:tcPr>
          <w:p>
            <w:pPr>
              <w:spacing w:after="0"/>
              <w:rPr>
                <w:sz w:val="24"/>
                <w:szCs w:val="24"/>
                <w:color w:val="auto"/>
              </w:rPr>
            </w:pPr>
          </w:p>
        </w:tc>
        <w:tc>
          <w:tcPr>
            <w:tcW w:w="1900" w:type="dxa"/>
            <w:vAlign w:val="bottom"/>
            <w:tcBorders>
              <w:bottom w:val="single" w:sz="8" w:color="DADADA"/>
              <w:right w:val="single" w:sz="8" w:color="542121"/>
            </w:tcBorders>
            <w:shd w:val="clear" w:color="auto" w:fill="DADADA"/>
          </w:tcPr>
          <w:p>
            <w:pPr>
              <w:spacing w:after="0"/>
              <w:rPr>
                <w:sz w:val="24"/>
                <w:szCs w:val="24"/>
                <w:color w:val="auto"/>
              </w:rPr>
            </w:pPr>
          </w:p>
        </w:tc>
        <w:tc>
          <w:tcPr>
            <w:tcW w:w="19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5,252</w:t>
            </w:r>
          </w:p>
        </w:tc>
        <w:tc>
          <w:tcPr>
            <w:tcW w:w="19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779,356</w:t>
            </w:r>
          </w:p>
        </w:tc>
        <w:tc>
          <w:tcPr>
            <w:tcW w:w="0" w:type="dxa"/>
            <w:vAlign w:val="bottom"/>
          </w:tcPr>
          <w:p>
            <w:pPr>
              <w:spacing w:after="0"/>
              <w:rPr>
                <w:sz w:val="1"/>
                <w:szCs w:val="1"/>
                <w:color w:val="auto"/>
              </w:rPr>
            </w:pPr>
          </w:p>
        </w:tc>
      </w:tr>
      <w:tr>
        <w:trPr>
          <w:trHeight w:val="243"/>
        </w:trPr>
        <w:tc>
          <w:tcPr>
            <w:tcW w:w="3600" w:type="dxa"/>
            <w:vAlign w:val="bottom"/>
            <w:tcBorders>
              <w:left w:val="single" w:sz="8" w:color="542121"/>
              <w:right w:val="single" w:sz="8" w:color="542121"/>
            </w:tcBorders>
          </w:tcPr>
          <w:p>
            <w:pPr>
              <w:ind w:left="40"/>
              <w:spacing w:after="0"/>
              <w:rPr>
                <w:sz w:val="20"/>
                <w:szCs w:val="20"/>
                <w:color w:val="auto"/>
              </w:rPr>
            </w:pPr>
            <w:r>
              <w:rPr>
                <w:rFonts w:ascii="Arial" w:cs="Arial" w:eastAsia="Arial" w:hAnsi="Arial"/>
                <w:sz w:val="18"/>
                <w:szCs w:val="18"/>
                <w:color w:val="auto"/>
              </w:rPr>
              <w:t>Ms. West</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30,619</w:t>
            </w:r>
          </w:p>
        </w:tc>
        <w:tc>
          <w:tcPr>
            <w:tcW w:w="19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977,887</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19,415</w:t>
            </w:r>
          </w:p>
        </w:tc>
        <w:tc>
          <w:tcPr>
            <w:tcW w:w="19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3,083,786</w:t>
            </w:r>
          </w:p>
        </w:tc>
        <w:tc>
          <w:tcPr>
            <w:tcW w:w="0" w:type="dxa"/>
            <w:vAlign w:val="bottom"/>
          </w:tcPr>
          <w:p>
            <w:pPr>
              <w:spacing w:after="0"/>
              <w:rPr>
                <w:sz w:val="1"/>
                <w:szCs w:val="1"/>
                <w:color w:val="auto"/>
              </w:rPr>
            </w:pPr>
          </w:p>
        </w:tc>
      </w:tr>
      <w:tr>
        <w:trPr>
          <w:trHeight w:val="27"/>
        </w:trPr>
        <w:tc>
          <w:tcPr>
            <w:tcW w:w="3600" w:type="dxa"/>
            <w:vAlign w:val="bottom"/>
            <w:tcBorders>
              <w:left w:val="single" w:sz="8" w:color="542121"/>
              <w:bottom w:val="single" w:sz="8" w:color="3F000B"/>
              <w:right w:val="single" w:sz="8" w:color="542121"/>
            </w:tcBorders>
          </w:tcPr>
          <w:p>
            <w:pPr>
              <w:spacing w:after="0"/>
              <w:rPr>
                <w:sz w:val="2"/>
                <w:szCs w:val="2"/>
                <w:color w:val="auto"/>
              </w:rPr>
            </w:pPr>
          </w:p>
        </w:tc>
        <w:tc>
          <w:tcPr>
            <w:tcW w:w="1900" w:type="dxa"/>
            <w:vAlign w:val="bottom"/>
            <w:tcBorders>
              <w:bottom w:val="single" w:sz="8" w:color="3F000B"/>
              <w:right w:val="single" w:sz="8" w:color="542121"/>
            </w:tcBorders>
          </w:tcPr>
          <w:p>
            <w:pPr>
              <w:spacing w:after="0"/>
              <w:rPr>
                <w:sz w:val="2"/>
                <w:szCs w:val="2"/>
                <w:color w:val="auto"/>
              </w:rPr>
            </w:pPr>
          </w:p>
        </w:tc>
        <w:tc>
          <w:tcPr>
            <w:tcW w:w="1900" w:type="dxa"/>
            <w:vAlign w:val="bottom"/>
            <w:tcBorders>
              <w:bottom w:val="single" w:sz="8" w:color="3F000B"/>
              <w:right w:val="single" w:sz="8" w:color="542121"/>
            </w:tcBorders>
          </w:tcPr>
          <w:p>
            <w:pPr>
              <w:spacing w:after="0"/>
              <w:rPr>
                <w:sz w:val="2"/>
                <w:szCs w:val="2"/>
                <w:color w:val="auto"/>
              </w:rPr>
            </w:pPr>
          </w:p>
        </w:tc>
        <w:tc>
          <w:tcPr>
            <w:tcW w:w="1900" w:type="dxa"/>
            <w:vAlign w:val="bottom"/>
            <w:tcBorders>
              <w:bottom w:val="single" w:sz="8" w:color="542121"/>
              <w:right w:val="single" w:sz="8" w:color="542121"/>
            </w:tcBorders>
          </w:tcPr>
          <w:p>
            <w:pPr>
              <w:spacing w:after="0"/>
              <w:rPr>
                <w:sz w:val="2"/>
                <w:szCs w:val="2"/>
                <w:color w:val="auto"/>
              </w:rPr>
            </w:pPr>
          </w:p>
        </w:tc>
        <w:tc>
          <w:tcPr>
            <w:tcW w:w="1900" w:type="dxa"/>
            <w:vAlign w:val="bottom"/>
            <w:tcBorders>
              <w:bottom w:val="single" w:sz="8" w:color="3F000B"/>
              <w:right w:val="single" w:sz="8" w:color="54212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right="180" w:hanging="332"/>
        <w:spacing w:after="0" w:line="273" w:lineRule="auto"/>
        <w:tabs>
          <w:tab w:leader="none" w:pos="332" w:val="left"/>
        </w:tabs>
        <w:numPr>
          <w:ilvl w:val="0"/>
          <w:numId w:val="152"/>
        </w:numPr>
        <w:rPr>
          <w:rFonts w:ascii="Arial" w:cs="Arial" w:eastAsia="Arial" w:hAnsi="Arial"/>
          <w:sz w:val="14"/>
          <w:szCs w:val="14"/>
          <w:color w:val="auto"/>
        </w:rPr>
      </w:pPr>
      <w:r>
        <w:rPr>
          <w:rFonts w:ascii="Arial" w:cs="Arial" w:eastAsia="Arial" w:hAnsi="Arial"/>
          <w:sz w:val="14"/>
          <w:szCs w:val="14"/>
          <w:color w:val="auto"/>
        </w:rPr>
        <w:t>Column (b) represents the number of stock options exercised by the NEO during 2020, and Column (c) represents the market value at the time of exercise of the shares purchased less the exercise price paid.</w:t>
      </w:r>
    </w:p>
    <w:p>
      <w:pPr>
        <w:spacing w:after="0" w:line="65" w:lineRule="exact"/>
        <w:rPr>
          <w:rFonts w:ascii="Arial" w:cs="Arial" w:eastAsia="Arial" w:hAnsi="Arial"/>
          <w:sz w:val="14"/>
          <w:szCs w:val="14"/>
          <w:color w:val="auto"/>
        </w:rPr>
      </w:pPr>
    </w:p>
    <w:p>
      <w:pPr>
        <w:ind w:left="340" w:right="260" w:hanging="332"/>
        <w:spacing w:after="0" w:line="269" w:lineRule="auto"/>
        <w:tabs>
          <w:tab w:leader="none" w:pos="33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For Ms. Buck and Messrs. Atkins, Raup, Reiman and Walling, the first number in Column (d) includes the number of PSUs earned from the 2018-2020 performance cycle that ended on December 31, 2020, as determined by the Compensation Committee, or, in the case of Ms. Buck, by the independent members of our Board. The number of PSUs included in Column</w:t>
      </w:r>
    </w:p>
    <w:p>
      <w:pPr>
        <w:ind w:left="340" w:right="140"/>
        <w:spacing w:after="0" w:line="248" w:lineRule="auto"/>
        <w:rPr>
          <w:rFonts w:ascii="Arial" w:cs="Arial" w:eastAsia="Arial" w:hAnsi="Arial"/>
          <w:sz w:val="13"/>
          <w:szCs w:val="13"/>
          <w:color w:val="auto"/>
        </w:rPr>
      </w:pPr>
      <w:r>
        <w:rPr>
          <w:rFonts w:ascii="Arial" w:cs="Arial" w:eastAsia="Arial" w:hAnsi="Arial"/>
          <w:sz w:val="14"/>
          <w:szCs w:val="14"/>
          <w:color w:val="auto"/>
        </w:rPr>
        <w:t>(d) reflects payment of the 2018-2020 PSU cycle at 170.71% of target. All of the applicable NEOs received payment of the award in Common Stock in February 2021. In accordance with the terms of the PSU award agreement, each PSU represents one share of our Common Stock valued in Column (e) at $147.98, the closing price of our Common Stock on the NYSE on February 23, 2021, the date the Compensation Committee approved the PSU payment.</w:t>
      </w:r>
    </w:p>
    <w:p>
      <w:pPr>
        <w:spacing w:after="0" w:line="82" w:lineRule="exact"/>
        <w:rPr>
          <w:rFonts w:ascii="Arial" w:cs="Arial" w:eastAsia="Arial" w:hAnsi="Arial"/>
          <w:sz w:val="13"/>
          <w:szCs w:val="13"/>
          <w:color w:val="auto"/>
        </w:rPr>
      </w:pPr>
    </w:p>
    <w:p>
      <w:pPr>
        <w:ind w:left="340" w:right="60" w:hanging="332"/>
        <w:spacing w:after="0" w:line="312" w:lineRule="auto"/>
        <w:tabs>
          <w:tab w:leader="none" w:pos="33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For Ms. Buck and Messrs. Atkins, Raup, Reiman and Walling, the second number in Column (d) and for Mr. Voskuil and Ms. West, the first number in Column (d), reflects RSUs that were distributed in 2020 and the corresponding number in Column (e) sets forth the value of such RSUs at vesting and cash credits equivalent to dividends accrued during the vesting period.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2020 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753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75330" cy="8890"/>
                    </a:xfrm>
                    <a:prstGeom prst="rect">
                      <a:avLst/>
                    </a:prstGeom>
                    <a:noFill/>
                  </pic:spPr>
                </pic:pic>
              </a:graphicData>
            </a:graphic>
          </wp:anchor>
        </w:drawing>
      </w:r>
    </w:p>
    <w:p>
      <w:pPr>
        <w:spacing w:after="0" w:line="1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Ms. Buck and Mr. Reiman are participants in our pension plan and are fully vested in benefits under that plan. Ms. Buck is also eligible to participate in our non-qualified DB SERP. No benefit is payable under the DB SERP if the executive officer terminates employment prior to age 55 or if he or she does not have five years of service with the Company. As of December 31, 2020, Ms. Buck had attained age 55 with five years of service and therefore was fully vested in her DB SERP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111" w:right="359" w:bottom="1440" w:gutter="0" w:footer="0" w:header="0"/>
        </w:sectPr>
      </w:pPr>
    </w:p>
    <w:bookmarkStart w:id="75" w:name="page76"/>
    <w:bookmarkEnd w:id="75"/>
    <w:p>
      <w:pPr>
        <w:ind w:right="40"/>
        <w:spacing w:after="0" w:line="257" w:lineRule="auto"/>
        <w:rPr>
          <w:sz w:val="20"/>
          <w:szCs w:val="20"/>
          <w:color w:val="auto"/>
        </w:rPr>
      </w:pPr>
      <w:r>
        <w:rPr>
          <w:rFonts w:ascii="Arial" w:cs="Arial" w:eastAsia="Arial" w:hAnsi="Arial"/>
          <w:sz w:val="18"/>
          <w:szCs w:val="18"/>
          <w:color w:val="auto"/>
        </w:rPr>
        <w:t>The combination of the pension and DB SERP plans was designed to provide a benefit upon retirement at or after reaching age 60 based on a joint and survivor annuity equal to 55% of final average compensation for an executive with 15 or more years of service (reduced pro rata for each year of service under 15). Effective January 1, 2007, the benefit payable under the DB SERP to an executive who was age 50 or over as of January 1, 2007, was reduced by 10%, and the benefit payable to an executive who had not attained age 50 as of January 1, 2007, was reduced by 20%. As a result, the benefit payable to Ms. Buck was reduced by 20%.</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DB SERP, final average compensation is calculated as the sum of (i) the average of the highest three calendar years of base salary paid over the last five years of employment with the Company and (ii) the average of the highest three OHIP awards, paid or deferred, for the last five years of employment with the Company. The benefit accrued under the DB SERP is payable upon retirement (subject to the provisions of Section 409A of the IRC) as a lump sum or a life annuity with 50% benefit continuation to the participant’s surviving spouse, or payment may be deferred in accordance with the provisions of the Company’s Deferred Compensation Plan. The lump sum is equal to the actuarial present value of the joint and survivor pension earned, reduced by the lump sum value of the benefits to be paid under the pension plan and the value of the executive’s Social Security benefits. If the executive terminates employment after age 55 but before age 60, the benefit is reduced for early retirement at a rate of 5% per year for the period until the executive would have turned 60.</w:t>
      </w:r>
    </w:p>
    <w:p>
      <w:pPr>
        <w:spacing w:after="0" w:line="1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CLRP provides eligible participants the defined benefit he or she would have earned under our pension plan were it not for the legal limitation on compensation used to determine benefits. An executive who is a participant in the DB SERP is not eligible to participate in the CLRP unless he or she (i) ceases to be designated by the Committee as eligible to participate in the DB SERP prior to his or her termination of employment with the Company or (ii) has his or her employment involuntarily terminated by the Company other than for Cause prior to vesting in the DB SERP. NEOs meeting these criteria become eligible to participate in the CLRP and receive a benefit for all years in which they would have been a participant of the CLRP had they not been designated by the Committee to be eligible for the DB SERP.</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executives who are eligible for both the DC SERP, as described under 2020 Non-Qualified Deferred Compensation, and the pension plan, the additional credit under the CLRP is limited to 3% of eligible earnings less the IRS annual limitation on compensation. Mr. Reiman is the only NEO eligible for the CLRP. Upon separation, benefits under the CLRP are payable in a single lump sum or may be deferred into the Deferred Compensation Plan. A participant is eligible for his or her CLRP benefit upon separation from service (subject to the provisions of Section 409A of the IRC) after five years of service or attaining age 55 (unless the participant is terminated for Cause). Payment is also made to the estate of a participant who dies prior to separation from service. Participants who become disabled are 100% vested in their benefit and continue to accrue additional benefits for up to two additional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057" w:right="339" w:bottom="1440" w:gutter="0" w:footer="0" w:header="0"/>
        </w:sectPr>
      </w:pPr>
    </w:p>
    <w:bookmarkStart w:id="76" w:name="page77"/>
    <w:bookmarkEnd w:id="76"/>
    <w:p>
      <w:pPr>
        <w:ind w:right="20"/>
        <w:spacing w:after="0" w:line="263" w:lineRule="auto"/>
        <w:rPr>
          <w:sz w:val="20"/>
          <w:szCs w:val="20"/>
          <w:color w:val="auto"/>
        </w:rPr>
      </w:pPr>
      <w:r>
        <w:rPr>
          <w:rFonts w:ascii="Arial" w:cs="Arial" w:eastAsia="Arial" w:hAnsi="Arial"/>
          <w:sz w:val="18"/>
          <w:szCs w:val="18"/>
          <w:color w:val="auto"/>
        </w:rPr>
        <w:t>The following table and explanatory footnote provide information regarding the present value of benefits accrued under the pension plan and the DB SERP or CLRP, as applicable, for each NEO as of December 31, 2020. The amounts shown for the DB SERP reflect the reduction for the present value of the benefits under the pension plan and Social Security benefits.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240" w:type="dxa"/>
            <w:vAlign w:val="bottom"/>
            <w:tcBorders>
              <w:top w:val="single" w:sz="8" w:color="3F000B"/>
              <w:left w:val="single" w:sz="8" w:color="542121"/>
              <w:right w:val="single" w:sz="8" w:color="DADADA"/>
            </w:tcBorders>
            <w:shd w:val="clear" w:color="auto" w:fill="3F000B"/>
          </w:tcPr>
          <w:p>
            <w:pPr>
              <w:spacing w:after="0"/>
              <w:rPr>
                <w:sz w:val="24"/>
                <w:szCs w:val="24"/>
                <w:color w:val="auto"/>
              </w:rPr>
            </w:pPr>
          </w:p>
        </w:tc>
        <w:tc>
          <w:tcPr>
            <w:tcW w:w="2220" w:type="dxa"/>
            <w:vAlign w:val="bottom"/>
            <w:tcBorders>
              <w:top w:val="single" w:sz="8" w:color="3F000B"/>
              <w:right w:val="single" w:sz="8" w:color="3F000B"/>
            </w:tcBorders>
            <w:shd w:val="clear" w:color="auto" w:fill="3F000B"/>
          </w:tcPr>
          <w:p>
            <w:pPr>
              <w:spacing w:after="0"/>
              <w:rPr>
                <w:sz w:val="24"/>
                <w:szCs w:val="24"/>
                <w:color w:val="auto"/>
              </w:rPr>
            </w:pPr>
          </w:p>
        </w:tc>
        <w:tc>
          <w:tcPr>
            <w:tcW w:w="2260" w:type="dxa"/>
            <w:vAlign w:val="bottom"/>
            <w:tcBorders>
              <w:top w:val="single" w:sz="8" w:color="3F000B"/>
              <w:right w:val="single" w:sz="8" w:color="DADADA"/>
            </w:tcBorders>
            <w:shd w:val="clear" w:color="auto" w:fill="3F000B"/>
          </w:tcPr>
          <w:p>
            <w:pPr>
              <w:spacing w:after="0"/>
              <w:rPr>
                <w:sz w:val="24"/>
                <w:szCs w:val="24"/>
                <w:color w:val="auto"/>
              </w:rPr>
            </w:pPr>
          </w:p>
        </w:tc>
        <w:tc>
          <w:tcPr>
            <w:tcW w:w="224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Present Value of</w:t>
            </w:r>
          </w:p>
        </w:tc>
        <w:tc>
          <w:tcPr>
            <w:tcW w:w="2240" w:type="dxa"/>
            <w:vAlign w:val="bottom"/>
            <w:tcBorders>
              <w:top w:val="single" w:sz="8" w:color="3F000B"/>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Payments During</w:t>
            </w:r>
          </w:p>
        </w:tc>
      </w:tr>
      <w:tr>
        <w:trPr>
          <w:trHeight w:val="216"/>
        </w:trPr>
        <w:tc>
          <w:tcPr>
            <w:tcW w:w="2240" w:type="dxa"/>
            <w:vAlign w:val="bottom"/>
            <w:tcBorders>
              <w:left w:val="single" w:sz="8" w:color="542121"/>
              <w:right w:val="single" w:sz="8" w:color="DADADA"/>
            </w:tcBorders>
            <w:shd w:val="clear" w:color="auto" w:fill="3F000B"/>
          </w:tcPr>
          <w:p>
            <w:pPr>
              <w:spacing w:after="0"/>
              <w:rPr>
                <w:sz w:val="18"/>
                <w:szCs w:val="18"/>
                <w:color w:val="auto"/>
              </w:rPr>
            </w:pPr>
          </w:p>
        </w:tc>
        <w:tc>
          <w:tcPr>
            <w:tcW w:w="2220" w:type="dxa"/>
            <w:vAlign w:val="bottom"/>
            <w:tcBorders>
              <w:right w:val="single" w:sz="8" w:color="3F000B"/>
            </w:tcBorders>
            <w:shd w:val="clear" w:color="auto" w:fill="3F000B"/>
          </w:tcPr>
          <w:p>
            <w:pPr>
              <w:spacing w:after="0"/>
              <w:rPr>
                <w:sz w:val="18"/>
                <w:szCs w:val="18"/>
                <w:color w:val="auto"/>
              </w:rPr>
            </w:pPr>
          </w:p>
        </w:tc>
        <w:tc>
          <w:tcPr>
            <w:tcW w:w="2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Number of Years Credited</w:t>
            </w:r>
          </w:p>
        </w:tc>
        <w:tc>
          <w:tcPr>
            <w:tcW w:w="22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Accumulated</w:t>
            </w:r>
          </w:p>
        </w:tc>
        <w:tc>
          <w:tcPr>
            <w:tcW w:w="224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Last Fiscal</w:t>
            </w:r>
          </w:p>
        </w:tc>
      </w:tr>
      <w:tr>
        <w:trPr>
          <w:trHeight w:val="216"/>
        </w:trPr>
        <w:tc>
          <w:tcPr>
            <w:tcW w:w="2240" w:type="dxa"/>
            <w:vAlign w:val="bottom"/>
            <w:tcBorders>
              <w:left w:val="single" w:sz="8" w:color="542121"/>
              <w:right w:val="single" w:sz="8" w:color="DADADA"/>
            </w:tcBorders>
            <w:shd w:val="clear" w:color="auto" w:fill="3F000B"/>
          </w:tcPr>
          <w:p>
            <w:pPr>
              <w:spacing w:after="0"/>
              <w:rPr>
                <w:sz w:val="18"/>
                <w:szCs w:val="18"/>
                <w:color w:val="auto"/>
              </w:rPr>
            </w:pPr>
          </w:p>
        </w:tc>
        <w:tc>
          <w:tcPr>
            <w:tcW w:w="2220" w:type="dxa"/>
            <w:vAlign w:val="bottom"/>
            <w:tcBorders>
              <w:right w:val="single" w:sz="8" w:color="3F000B"/>
            </w:tcBorders>
            <w:shd w:val="clear" w:color="auto" w:fill="3F000B"/>
          </w:tcPr>
          <w:p>
            <w:pPr>
              <w:spacing w:after="0"/>
              <w:rPr>
                <w:sz w:val="18"/>
                <w:szCs w:val="18"/>
                <w:color w:val="auto"/>
              </w:rPr>
            </w:pPr>
          </w:p>
        </w:tc>
        <w:tc>
          <w:tcPr>
            <w:tcW w:w="2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Service</w:t>
            </w:r>
          </w:p>
        </w:tc>
        <w:tc>
          <w:tcPr>
            <w:tcW w:w="2240" w:type="dxa"/>
            <w:vAlign w:val="bottom"/>
            <w:tcBorders>
              <w:right w:val="single" w:sz="8" w:color="DADADA"/>
            </w:tcBorders>
            <w:shd w:val="clear" w:color="auto" w:fill="3F000B"/>
          </w:tcPr>
          <w:p>
            <w:pPr>
              <w:jc w:val="center"/>
              <w:spacing w:after="0" w:line="216" w:lineRule="exact"/>
              <w:rPr>
                <w:sz w:val="20"/>
                <w:szCs w:val="20"/>
                <w:color w:val="auto"/>
              </w:rPr>
            </w:pPr>
            <w:r>
              <w:rPr>
                <w:rFonts w:ascii="Arial" w:cs="Arial" w:eastAsia="Arial" w:hAnsi="Arial"/>
                <w:sz w:val="18"/>
                <w:szCs w:val="18"/>
                <w:b w:val="1"/>
                <w:bCs w:val="1"/>
                <w:color w:val="FFFFFF"/>
                <w:w w:val="85"/>
              </w:rPr>
              <w:t>Benefit</w:t>
            </w:r>
            <w:r>
              <w:rPr>
                <w:rFonts w:ascii="Arial" w:cs="Arial" w:eastAsia="Arial" w:hAnsi="Arial"/>
                <w:sz w:val="23"/>
                <w:szCs w:val="23"/>
                <w:b w:val="1"/>
                <w:bCs w:val="1"/>
                <w:color w:val="FFFFFF"/>
                <w:w w:val="85"/>
                <w:vertAlign w:val="superscript"/>
              </w:rPr>
              <w:t>(1)</w:t>
            </w:r>
          </w:p>
        </w:tc>
        <w:tc>
          <w:tcPr>
            <w:tcW w:w="224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Year</w:t>
            </w:r>
          </w:p>
        </w:tc>
      </w:tr>
      <w:tr>
        <w:trPr>
          <w:trHeight w:val="270"/>
        </w:trPr>
        <w:tc>
          <w:tcPr>
            <w:tcW w:w="2240" w:type="dxa"/>
            <w:vAlign w:val="bottom"/>
            <w:tcBorders>
              <w:left w:val="single" w:sz="8" w:color="542121"/>
              <w:right w:val="single" w:sz="8" w:color="DADADA"/>
            </w:tcBorders>
            <w:shd w:val="clear" w:color="auto" w:fill="3F000B"/>
          </w:tcPr>
          <w:p>
            <w:pPr>
              <w:ind w:left="900"/>
              <w:spacing w:after="0"/>
              <w:rPr>
                <w:sz w:val="20"/>
                <w:szCs w:val="20"/>
                <w:color w:val="auto"/>
              </w:rPr>
            </w:pPr>
            <w:r>
              <w:rPr>
                <w:rFonts w:ascii="Arial" w:cs="Arial" w:eastAsia="Arial" w:hAnsi="Arial"/>
                <w:sz w:val="18"/>
                <w:szCs w:val="18"/>
                <w:b w:val="1"/>
                <w:bCs w:val="1"/>
                <w:color w:val="FFFFFF"/>
              </w:rPr>
              <w:t>Name</w:t>
            </w:r>
          </w:p>
        </w:tc>
        <w:tc>
          <w:tcPr>
            <w:tcW w:w="2220" w:type="dxa"/>
            <w:vAlign w:val="bottom"/>
            <w:tcBorders>
              <w:right w:val="single" w:sz="8" w:color="3F000B"/>
            </w:tcBorders>
            <w:shd w:val="clear" w:color="auto" w:fill="3F000B"/>
          </w:tcPr>
          <w:p>
            <w:pPr>
              <w:jc w:val="right"/>
              <w:ind w:right="610"/>
              <w:spacing w:after="0"/>
              <w:rPr>
                <w:sz w:val="20"/>
                <w:szCs w:val="20"/>
                <w:color w:val="auto"/>
              </w:rPr>
            </w:pPr>
            <w:r>
              <w:rPr>
                <w:rFonts w:ascii="Arial" w:cs="Arial" w:eastAsia="Arial" w:hAnsi="Arial"/>
                <w:sz w:val="18"/>
                <w:szCs w:val="18"/>
                <w:b w:val="1"/>
                <w:bCs w:val="1"/>
                <w:color w:val="FFFFFF"/>
              </w:rPr>
              <w:t>Plan Name</w:t>
            </w:r>
          </w:p>
        </w:tc>
        <w:tc>
          <w:tcPr>
            <w:tcW w:w="2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22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224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r>
      <w:tr>
        <w:trPr>
          <w:trHeight w:val="34"/>
        </w:trPr>
        <w:tc>
          <w:tcPr>
            <w:tcW w:w="2240" w:type="dxa"/>
            <w:vAlign w:val="bottom"/>
            <w:tcBorders>
              <w:left w:val="single" w:sz="8" w:color="542121"/>
              <w:right w:val="single" w:sz="8" w:color="DADADA"/>
            </w:tcBorders>
            <w:shd w:val="clear" w:color="auto" w:fill="3F000B"/>
          </w:tcPr>
          <w:p>
            <w:pPr>
              <w:spacing w:after="0"/>
              <w:rPr>
                <w:sz w:val="2"/>
                <w:szCs w:val="2"/>
                <w:color w:val="auto"/>
              </w:rPr>
            </w:pPr>
          </w:p>
        </w:tc>
        <w:tc>
          <w:tcPr>
            <w:tcW w:w="2220" w:type="dxa"/>
            <w:vAlign w:val="bottom"/>
            <w:tcBorders>
              <w:right w:val="single" w:sz="8" w:color="3F000B"/>
            </w:tcBorders>
            <w:shd w:val="clear" w:color="auto" w:fill="3F000B"/>
          </w:tcPr>
          <w:p>
            <w:pPr>
              <w:spacing w:after="0"/>
              <w:rPr>
                <w:sz w:val="2"/>
                <w:szCs w:val="2"/>
                <w:color w:val="auto"/>
              </w:rPr>
            </w:pPr>
          </w:p>
        </w:tc>
        <w:tc>
          <w:tcPr>
            <w:tcW w:w="2260" w:type="dxa"/>
            <w:vAlign w:val="bottom"/>
            <w:tcBorders>
              <w:right w:val="single" w:sz="8" w:color="DADADA"/>
            </w:tcBorders>
            <w:shd w:val="clear" w:color="auto" w:fill="3F000B"/>
          </w:tcPr>
          <w:p>
            <w:pPr>
              <w:spacing w:after="0"/>
              <w:rPr>
                <w:sz w:val="2"/>
                <w:szCs w:val="2"/>
                <w:color w:val="auto"/>
              </w:rPr>
            </w:pPr>
          </w:p>
        </w:tc>
        <w:tc>
          <w:tcPr>
            <w:tcW w:w="2240" w:type="dxa"/>
            <w:vAlign w:val="bottom"/>
            <w:tcBorders>
              <w:right w:val="single" w:sz="8" w:color="DADADA"/>
            </w:tcBorders>
            <w:shd w:val="clear" w:color="auto" w:fill="3F000B"/>
          </w:tcPr>
          <w:p>
            <w:pPr>
              <w:spacing w:after="0"/>
              <w:rPr>
                <w:sz w:val="2"/>
                <w:szCs w:val="2"/>
                <w:color w:val="auto"/>
              </w:rPr>
            </w:pPr>
          </w:p>
        </w:tc>
        <w:tc>
          <w:tcPr>
            <w:tcW w:w="2240" w:type="dxa"/>
            <w:vAlign w:val="bottom"/>
            <w:tcBorders>
              <w:right w:val="single" w:sz="8" w:color="542121"/>
            </w:tcBorders>
            <w:shd w:val="clear" w:color="auto" w:fill="3F000B"/>
          </w:tcPr>
          <w:p>
            <w:pPr>
              <w:spacing w:after="0"/>
              <w:rPr>
                <w:sz w:val="2"/>
                <w:szCs w:val="2"/>
                <w:color w:val="auto"/>
              </w:rPr>
            </w:pPr>
          </w:p>
        </w:tc>
      </w:tr>
      <w:tr>
        <w:trPr>
          <w:trHeight w:val="304"/>
        </w:trPr>
        <w:tc>
          <w:tcPr>
            <w:tcW w:w="2240" w:type="dxa"/>
            <w:vAlign w:val="bottom"/>
            <w:tcBorders>
              <w:left w:val="single" w:sz="8" w:color="542121"/>
              <w:right w:val="single" w:sz="8" w:color="DADADA"/>
            </w:tcBorders>
            <w:shd w:val="clear" w:color="auto" w:fill="3F000B"/>
          </w:tcPr>
          <w:p>
            <w:pPr>
              <w:ind w:left="1020"/>
              <w:spacing w:after="0"/>
              <w:rPr>
                <w:sz w:val="20"/>
                <w:szCs w:val="20"/>
                <w:color w:val="auto"/>
              </w:rPr>
            </w:pPr>
            <w:r>
              <w:rPr>
                <w:rFonts w:ascii="Arial" w:cs="Arial" w:eastAsia="Arial" w:hAnsi="Arial"/>
                <w:sz w:val="18"/>
                <w:szCs w:val="18"/>
                <w:b w:val="1"/>
                <w:bCs w:val="1"/>
                <w:color w:val="FFFFFF"/>
              </w:rPr>
              <w:t>(a)</w:t>
            </w:r>
          </w:p>
        </w:tc>
        <w:tc>
          <w:tcPr>
            <w:tcW w:w="2220" w:type="dxa"/>
            <w:vAlign w:val="bottom"/>
            <w:tcBorders>
              <w:right w:val="single" w:sz="8" w:color="3F000B"/>
            </w:tcBorders>
            <w:shd w:val="clear" w:color="auto" w:fill="3F000B"/>
          </w:tcPr>
          <w:p>
            <w:pPr>
              <w:jc w:val="right"/>
              <w:ind w:right="890"/>
              <w:spacing w:after="0"/>
              <w:rPr>
                <w:sz w:val="20"/>
                <w:szCs w:val="20"/>
                <w:color w:val="auto"/>
              </w:rPr>
            </w:pPr>
            <w:r>
              <w:rPr>
                <w:rFonts w:ascii="Arial" w:cs="Arial" w:eastAsia="Arial" w:hAnsi="Arial"/>
                <w:sz w:val="18"/>
                <w:szCs w:val="18"/>
                <w:b w:val="1"/>
                <w:bCs w:val="1"/>
                <w:color w:val="FFFFFF"/>
              </w:rPr>
              <w:t>(b)</w:t>
            </w:r>
          </w:p>
        </w:tc>
        <w:tc>
          <w:tcPr>
            <w:tcW w:w="2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(c)</w:t>
            </w:r>
          </w:p>
        </w:tc>
        <w:tc>
          <w:tcPr>
            <w:tcW w:w="22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(d)</w:t>
            </w:r>
          </w:p>
        </w:tc>
        <w:tc>
          <w:tcPr>
            <w:tcW w:w="224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(e)</w:t>
            </w:r>
          </w:p>
        </w:tc>
      </w:tr>
      <w:tr>
        <w:trPr>
          <w:trHeight w:val="81"/>
        </w:trPr>
        <w:tc>
          <w:tcPr>
            <w:tcW w:w="2240" w:type="dxa"/>
            <w:vAlign w:val="bottom"/>
            <w:tcBorders>
              <w:left w:val="single" w:sz="8" w:color="542121"/>
              <w:bottom w:val="single" w:sz="8" w:color="DADADA"/>
              <w:right w:val="single" w:sz="8" w:color="DADADA"/>
            </w:tcBorders>
            <w:shd w:val="clear" w:color="auto" w:fill="3F000B"/>
          </w:tcPr>
          <w:p>
            <w:pPr>
              <w:spacing w:after="0"/>
              <w:rPr>
                <w:sz w:val="7"/>
                <w:szCs w:val="7"/>
                <w:color w:val="auto"/>
              </w:rPr>
            </w:pPr>
          </w:p>
        </w:tc>
        <w:tc>
          <w:tcPr>
            <w:tcW w:w="2220" w:type="dxa"/>
            <w:vAlign w:val="bottom"/>
            <w:tcBorders>
              <w:bottom w:val="single" w:sz="8" w:color="DADADA"/>
              <w:right w:val="single" w:sz="8" w:color="3F000B"/>
            </w:tcBorders>
            <w:shd w:val="clear" w:color="auto" w:fill="3F000B"/>
          </w:tcPr>
          <w:p>
            <w:pPr>
              <w:spacing w:after="0"/>
              <w:rPr>
                <w:sz w:val="7"/>
                <w:szCs w:val="7"/>
                <w:color w:val="auto"/>
              </w:rPr>
            </w:pPr>
          </w:p>
        </w:tc>
        <w:tc>
          <w:tcPr>
            <w:tcW w:w="2260" w:type="dxa"/>
            <w:vAlign w:val="bottom"/>
            <w:tcBorders>
              <w:bottom w:val="single" w:sz="8" w:color="DADADA"/>
              <w:right w:val="single" w:sz="8" w:color="DADADA"/>
            </w:tcBorders>
            <w:shd w:val="clear" w:color="auto" w:fill="3F000B"/>
          </w:tcPr>
          <w:p>
            <w:pPr>
              <w:spacing w:after="0"/>
              <w:rPr>
                <w:sz w:val="7"/>
                <w:szCs w:val="7"/>
                <w:color w:val="auto"/>
              </w:rPr>
            </w:pPr>
          </w:p>
        </w:tc>
        <w:tc>
          <w:tcPr>
            <w:tcW w:w="2240" w:type="dxa"/>
            <w:vAlign w:val="bottom"/>
            <w:tcBorders>
              <w:right w:val="single" w:sz="8" w:color="DADADA"/>
            </w:tcBorders>
            <w:shd w:val="clear" w:color="auto" w:fill="3F000B"/>
          </w:tcPr>
          <w:p>
            <w:pPr>
              <w:spacing w:after="0"/>
              <w:rPr>
                <w:sz w:val="7"/>
                <w:szCs w:val="7"/>
                <w:color w:val="auto"/>
              </w:rPr>
            </w:pPr>
          </w:p>
        </w:tc>
        <w:tc>
          <w:tcPr>
            <w:tcW w:w="2240" w:type="dxa"/>
            <w:vAlign w:val="bottom"/>
            <w:tcBorders>
              <w:right w:val="single" w:sz="8" w:color="542121"/>
            </w:tcBorders>
            <w:shd w:val="clear" w:color="auto" w:fill="3F000B"/>
          </w:tcPr>
          <w:p>
            <w:pPr>
              <w:spacing w:after="0"/>
              <w:rPr>
                <w:sz w:val="7"/>
                <w:szCs w:val="7"/>
                <w:color w:val="auto"/>
              </w:rPr>
            </w:pPr>
          </w:p>
        </w:tc>
      </w:tr>
      <w:tr>
        <w:trPr>
          <w:trHeight w:val="237"/>
        </w:trPr>
        <w:tc>
          <w:tcPr>
            <w:tcW w:w="2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22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Pension Plan</w:t>
            </w:r>
          </w:p>
        </w:tc>
        <w:tc>
          <w:tcPr>
            <w:tcW w:w="22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16</w:t>
            </w:r>
          </w:p>
        </w:tc>
        <w:tc>
          <w:tcPr>
            <w:tcW w:w="22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235,980</w:t>
            </w:r>
          </w:p>
        </w:tc>
        <w:tc>
          <w:tcPr>
            <w:tcW w:w="2240" w:type="dxa"/>
            <w:vAlign w:val="bottom"/>
            <w:tcBorders>
              <w:right w:val="single" w:sz="8" w:color="3F000B"/>
            </w:tcBorders>
          </w:tcPr>
          <w:p>
            <w:pPr>
              <w:ind w:left="2020"/>
              <w:spacing w:after="0"/>
              <w:rPr>
                <w:sz w:val="20"/>
                <w:szCs w:val="20"/>
                <w:color w:val="auto"/>
              </w:rPr>
            </w:pPr>
            <w:r>
              <w:rPr>
                <w:rFonts w:ascii="Arial" w:cs="Arial" w:eastAsia="Arial" w:hAnsi="Arial"/>
                <w:sz w:val="18"/>
                <w:szCs w:val="18"/>
                <w:color w:val="auto"/>
                <w:w w:val="99"/>
              </w:rPr>
              <w:t>—</w:t>
            </w:r>
          </w:p>
        </w:tc>
      </w:tr>
      <w:tr>
        <w:trPr>
          <w:trHeight w:val="270"/>
        </w:trPr>
        <w:tc>
          <w:tcPr>
            <w:tcW w:w="2240" w:type="dxa"/>
            <w:vAlign w:val="bottom"/>
            <w:tcBorders>
              <w:left w:val="single" w:sz="8" w:color="3F000B"/>
              <w:right w:val="single" w:sz="8" w:color="3F000B"/>
            </w:tcBorders>
          </w:tcPr>
          <w:p>
            <w:pPr>
              <w:spacing w:after="0"/>
              <w:rPr>
                <w:sz w:val="23"/>
                <w:szCs w:val="23"/>
                <w:color w:val="auto"/>
              </w:rPr>
            </w:pPr>
          </w:p>
        </w:tc>
        <w:tc>
          <w:tcPr>
            <w:tcW w:w="22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DB SERP</w:t>
            </w:r>
          </w:p>
        </w:tc>
        <w:tc>
          <w:tcPr>
            <w:tcW w:w="22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16</w:t>
            </w:r>
          </w:p>
        </w:tc>
        <w:tc>
          <w:tcPr>
            <w:tcW w:w="22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25,387,886</w:t>
            </w:r>
          </w:p>
        </w:tc>
        <w:tc>
          <w:tcPr>
            <w:tcW w:w="2240" w:type="dxa"/>
            <w:vAlign w:val="bottom"/>
            <w:tcBorders>
              <w:right w:val="single" w:sz="8" w:color="3F000B"/>
            </w:tcBorders>
          </w:tcPr>
          <w:p>
            <w:pPr>
              <w:ind w:left="2020"/>
              <w:spacing w:after="0"/>
              <w:rPr>
                <w:sz w:val="20"/>
                <w:szCs w:val="20"/>
                <w:color w:val="auto"/>
              </w:rPr>
            </w:pPr>
            <w:r>
              <w:rPr>
                <w:rFonts w:ascii="Arial" w:cs="Arial" w:eastAsia="Arial" w:hAnsi="Arial"/>
                <w:sz w:val="18"/>
                <w:szCs w:val="18"/>
                <w:color w:val="auto"/>
                <w:w w:val="99"/>
              </w:rPr>
              <w:t>—</w:t>
            </w:r>
          </w:p>
        </w:tc>
      </w:tr>
      <w:tr>
        <w:trPr>
          <w:trHeight w:val="27"/>
        </w:trPr>
        <w:tc>
          <w:tcPr>
            <w:tcW w:w="2240" w:type="dxa"/>
            <w:vAlign w:val="bottom"/>
            <w:tcBorders>
              <w:left w:val="single" w:sz="8" w:color="3F000B"/>
              <w:right w:val="single" w:sz="8" w:color="3F000B"/>
            </w:tcBorders>
          </w:tcPr>
          <w:p>
            <w:pPr>
              <w:spacing w:after="0"/>
              <w:rPr>
                <w:sz w:val="2"/>
                <w:szCs w:val="2"/>
                <w:color w:val="auto"/>
              </w:rPr>
            </w:pPr>
          </w:p>
        </w:tc>
        <w:tc>
          <w:tcPr>
            <w:tcW w:w="2220" w:type="dxa"/>
            <w:vAlign w:val="bottom"/>
            <w:tcBorders>
              <w:right w:val="single" w:sz="8" w:color="3F000B"/>
            </w:tcBorders>
          </w:tcPr>
          <w:p>
            <w:pPr>
              <w:spacing w:after="0"/>
              <w:rPr>
                <w:sz w:val="2"/>
                <w:szCs w:val="2"/>
                <w:color w:val="auto"/>
              </w:rPr>
            </w:pPr>
          </w:p>
        </w:tc>
        <w:tc>
          <w:tcPr>
            <w:tcW w:w="2260" w:type="dxa"/>
            <w:vAlign w:val="bottom"/>
            <w:tcBorders>
              <w:right w:val="single" w:sz="8" w:color="3F000B"/>
            </w:tcBorders>
          </w:tcPr>
          <w:p>
            <w:pPr>
              <w:spacing w:after="0"/>
              <w:rPr>
                <w:sz w:val="2"/>
                <w:szCs w:val="2"/>
                <w:color w:val="auto"/>
              </w:rPr>
            </w:pPr>
          </w:p>
        </w:tc>
        <w:tc>
          <w:tcPr>
            <w:tcW w:w="2240" w:type="dxa"/>
            <w:vAlign w:val="bottom"/>
            <w:tcBorders>
              <w:right w:val="single" w:sz="8" w:color="3F000B"/>
            </w:tcBorders>
          </w:tcPr>
          <w:p>
            <w:pPr>
              <w:spacing w:after="0"/>
              <w:rPr>
                <w:sz w:val="2"/>
                <w:szCs w:val="2"/>
                <w:color w:val="auto"/>
              </w:rPr>
            </w:pPr>
          </w:p>
        </w:tc>
        <w:tc>
          <w:tcPr>
            <w:tcW w:w="2240" w:type="dxa"/>
            <w:vAlign w:val="bottom"/>
            <w:tcBorders>
              <w:right w:val="single" w:sz="8" w:color="3F000B"/>
            </w:tcBorders>
          </w:tcPr>
          <w:p>
            <w:pPr>
              <w:spacing w:after="0"/>
              <w:rPr>
                <w:sz w:val="2"/>
                <w:szCs w:val="2"/>
                <w:color w:val="auto"/>
              </w:rPr>
            </w:pPr>
          </w:p>
        </w:tc>
      </w:tr>
      <w:tr>
        <w:trPr>
          <w:trHeight w:val="250"/>
        </w:trPr>
        <w:tc>
          <w:tcPr>
            <w:tcW w:w="22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22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DADADA"/>
              <w:right w:val="single" w:sz="8" w:color="3F000B"/>
            </w:tcBorders>
            <w:shd w:val="clear" w:color="auto" w:fill="DADADA"/>
          </w:tcPr>
          <w:p>
            <w:pPr>
              <w:ind w:left="2020"/>
              <w:spacing w:after="0"/>
              <w:rPr>
                <w:sz w:val="20"/>
                <w:szCs w:val="20"/>
                <w:color w:val="auto"/>
              </w:rPr>
            </w:pPr>
            <w:r>
              <w:rPr>
                <w:rFonts w:ascii="Arial" w:cs="Arial" w:eastAsia="Arial" w:hAnsi="Arial"/>
                <w:sz w:val="18"/>
                <w:szCs w:val="18"/>
                <w:color w:val="auto"/>
                <w:w w:val="99"/>
              </w:rPr>
              <w:t>—</w:t>
            </w:r>
          </w:p>
        </w:tc>
      </w:tr>
      <w:tr>
        <w:trPr>
          <w:trHeight w:val="243"/>
        </w:trPr>
        <w:tc>
          <w:tcPr>
            <w:tcW w:w="2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22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3F000B"/>
            </w:tcBorders>
          </w:tcPr>
          <w:p>
            <w:pPr>
              <w:ind w:left="2020"/>
              <w:spacing w:after="0"/>
              <w:rPr>
                <w:sz w:val="20"/>
                <w:szCs w:val="20"/>
                <w:color w:val="auto"/>
              </w:rPr>
            </w:pPr>
            <w:r>
              <w:rPr>
                <w:rFonts w:ascii="Arial" w:cs="Arial" w:eastAsia="Arial" w:hAnsi="Arial"/>
                <w:sz w:val="18"/>
                <w:szCs w:val="18"/>
                <w:color w:val="auto"/>
                <w:w w:val="99"/>
              </w:rPr>
              <w:t>—</w:t>
            </w:r>
          </w:p>
        </w:tc>
      </w:tr>
      <w:tr>
        <w:trPr>
          <w:trHeight w:val="27"/>
        </w:trPr>
        <w:tc>
          <w:tcPr>
            <w:tcW w:w="2240" w:type="dxa"/>
            <w:vAlign w:val="bottom"/>
            <w:tcBorders>
              <w:left w:val="single" w:sz="8" w:color="3F000B"/>
              <w:right w:val="single" w:sz="8" w:color="3F000B"/>
            </w:tcBorders>
          </w:tcPr>
          <w:p>
            <w:pPr>
              <w:spacing w:after="0"/>
              <w:rPr>
                <w:sz w:val="2"/>
                <w:szCs w:val="2"/>
                <w:color w:val="auto"/>
              </w:rPr>
            </w:pPr>
          </w:p>
        </w:tc>
        <w:tc>
          <w:tcPr>
            <w:tcW w:w="2220" w:type="dxa"/>
            <w:vAlign w:val="bottom"/>
            <w:tcBorders>
              <w:right w:val="single" w:sz="8" w:color="3F000B"/>
            </w:tcBorders>
          </w:tcPr>
          <w:p>
            <w:pPr>
              <w:spacing w:after="0"/>
              <w:rPr>
                <w:sz w:val="2"/>
                <w:szCs w:val="2"/>
                <w:color w:val="auto"/>
              </w:rPr>
            </w:pPr>
          </w:p>
        </w:tc>
        <w:tc>
          <w:tcPr>
            <w:tcW w:w="2260" w:type="dxa"/>
            <w:vAlign w:val="bottom"/>
            <w:tcBorders>
              <w:right w:val="single" w:sz="8" w:color="3F000B"/>
            </w:tcBorders>
          </w:tcPr>
          <w:p>
            <w:pPr>
              <w:spacing w:after="0"/>
              <w:rPr>
                <w:sz w:val="2"/>
                <w:szCs w:val="2"/>
                <w:color w:val="auto"/>
              </w:rPr>
            </w:pPr>
          </w:p>
        </w:tc>
        <w:tc>
          <w:tcPr>
            <w:tcW w:w="2240" w:type="dxa"/>
            <w:vAlign w:val="bottom"/>
            <w:tcBorders>
              <w:right w:val="single" w:sz="8" w:color="3F000B"/>
            </w:tcBorders>
          </w:tcPr>
          <w:p>
            <w:pPr>
              <w:spacing w:after="0"/>
              <w:rPr>
                <w:sz w:val="2"/>
                <w:szCs w:val="2"/>
                <w:color w:val="auto"/>
              </w:rPr>
            </w:pPr>
          </w:p>
        </w:tc>
        <w:tc>
          <w:tcPr>
            <w:tcW w:w="2240" w:type="dxa"/>
            <w:vAlign w:val="bottom"/>
            <w:tcBorders>
              <w:right w:val="single" w:sz="8" w:color="3F000B"/>
            </w:tcBorders>
          </w:tcPr>
          <w:p>
            <w:pPr>
              <w:spacing w:after="0"/>
              <w:rPr>
                <w:sz w:val="2"/>
                <w:szCs w:val="2"/>
                <w:color w:val="auto"/>
              </w:rPr>
            </w:pPr>
          </w:p>
        </w:tc>
      </w:tr>
      <w:tr>
        <w:trPr>
          <w:trHeight w:val="243"/>
        </w:trPr>
        <w:tc>
          <w:tcPr>
            <w:tcW w:w="2240" w:type="dxa"/>
            <w:vAlign w:val="bottom"/>
            <w:tcBorders>
              <w:left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222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Pension Plan</w:t>
            </w:r>
          </w:p>
        </w:tc>
        <w:tc>
          <w:tcPr>
            <w:tcW w:w="226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25</w:t>
            </w:r>
          </w:p>
        </w:tc>
        <w:tc>
          <w:tcPr>
            <w:tcW w:w="2240" w:type="dxa"/>
            <w:vAlign w:val="bottom"/>
            <w:tcBorders>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566,120</w:t>
            </w:r>
          </w:p>
        </w:tc>
        <w:tc>
          <w:tcPr>
            <w:tcW w:w="2240" w:type="dxa"/>
            <w:vAlign w:val="bottom"/>
            <w:tcBorders>
              <w:right w:val="single" w:sz="8" w:color="3F000B"/>
            </w:tcBorders>
            <w:shd w:val="clear" w:color="auto" w:fill="DADADA"/>
          </w:tcPr>
          <w:p>
            <w:pPr>
              <w:spacing w:after="0"/>
              <w:rPr>
                <w:sz w:val="21"/>
                <w:szCs w:val="21"/>
                <w:color w:val="auto"/>
              </w:rPr>
            </w:pPr>
          </w:p>
        </w:tc>
      </w:tr>
      <w:tr>
        <w:trPr>
          <w:trHeight w:val="277"/>
        </w:trPr>
        <w:tc>
          <w:tcPr>
            <w:tcW w:w="2240" w:type="dxa"/>
            <w:vAlign w:val="bottom"/>
            <w:tcBorders>
              <w:left w:val="single" w:sz="8" w:color="3F000B"/>
              <w:bottom w:val="single" w:sz="8" w:color="DADADA"/>
              <w:right w:val="single" w:sz="8" w:color="3F000B"/>
            </w:tcBorders>
            <w:shd w:val="clear" w:color="auto" w:fill="DADADA"/>
          </w:tcPr>
          <w:p>
            <w:pPr>
              <w:spacing w:after="0"/>
              <w:rPr>
                <w:sz w:val="24"/>
                <w:szCs w:val="24"/>
                <w:color w:val="auto"/>
              </w:rPr>
            </w:pPr>
          </w:p>
        </w:tc>
        <w:tc>
          <w:tcPr>
            <w:tcW w:w="22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CLRP</w:t>
            </w:r>
          </w:p>
        </w:tc>
        <w:tc>
          <w:tcPr>
            <w:tcW w:w="22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25</w:t>
            </w:r>
          </w:p>
        </w:tc>
        <w:tc>
          <w:tcPr>
            <w:tcW w:w="22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100,253</w:t>
            </w:r>
          </w:p>
        </w:tc>
        <w:tc>
          <w:tcPr>
            <w:tcW w:w="2240" w:type="dxa"/>
            <w:vAlign w:val="bottom"/>
            <w:tcBorders>
              <w:bottom w:val="single" w:sz="8" w:color="DADADA"/>
              <w:right w:val="single" w:sz="8" w:color="3F000B"/>
            </w:tcBorders>
            <w:shd w:val="clear" w:color="auto" w:fill="DADADA"/>
          </w:tcPr>
          <w:p>
            <w:pPr>
              <w:spacing w:after="0"/>
              <w:rPr>
                <w:sz w:val="24"/>
                <w:szCs w:val="24"/>
                <w:color w:val="auto"/>
              </w:rPr>
            </w:pPr>
          </w:p>
        </w:tc>
      </w:tr>
      <w:tr>
        <w:trPr>
          <w:trHeight w:val="243"/>
        </w:trPr>
        <w:tc>
          <w:tcPr>
            <w:tcW w:w="2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22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3F000B"/>
            </w:tcBorders>
          </w:tcPr>
          <w:p>
            <w:pPr>
              <w:ind w:left="2020"/>
              <w:spacing w:after="0"/>
              <w:rPr>
                <w:sz w:val="20"/>
                <w:szCs w:val="20"/>
                <w:color w:val="auto"/>
              </w:rPr>
            </w:pPr>
            <w:r>
              <w:rPr>
                <w:rFonts w:ascii="Arial" w:cs="Arial" w:eastAsia="Arial" w:hAnsi="Arial"/>
                <w:sz w:val="18"/>
                <w:szCs w:val="18"/>
                <w:color w:val="auto"/>
                <w:w w:val="99"/>
              </w:rPr>
              <w:t>—</w:t>
            </w:r>
          </w:p>
        </w:tc>
      </w:tr>
      <w:tr>
        <w:trPr>
          <w:trHeight w:val="27"/>
        </w:trPr>
        <w:tc>
          <w:tcPr>
            <w:tcW w:w="2240" w:type="dxa"/>
            <w:vAlign w:val="bottom"/>
            <w:tcBorders>
              <w:left w:val="single" w:sz="8" w:color="3F000B"/>
              <w:right w:val="single" w:sz="8" w:color="3F000B"/>
            </w:tcBorders>
          </w:tcPr>
          <w:p>
            <w:pPr>
              <w:spacing w:after="0"/>
              <w:rPr>
                <w:sz w:val="2"/>
                <w:szCs w:val="2"/>
                <w:color w:val="auto"/>
              </w:rPr>
            </w:pPr>
          </w:p>
        </w:tc>
        <w:tc>
          <w:tcPr>
            <w:tcW w:w="2220" w:type="dxa"/>
            <w:vAlign w:val="bottom"/>
            <w:tcBorders>
              <w:right w:val="single" w:sz="8" w:color="3F000B"/>
            </w:tcBorders>
          </w:tcPr>
          <w:p>
            <w:pPr>
              <w:spacing w:after="0"/>
              <w:rPr>
                <w:sz w:val="2"/>
                <w:szCs w:val="2"/>
                <w:color w:val="auto"/>
              </w:rPr>
            </w:pPr>
          </w:p>
        </w:tc>
        <w:tc>
          <w:tcPr>
            <w:tcW w:w="2260" w:type="dxa"/>
            <w:vAlign w:val="bottom"/>
            <w:tcBorders>
              <w:right w:val="single" w:sz="8" w:color="3F000B"/>
            </w:tcBorders>
          </w:tcPr>
          <w:p>
            <w:pPr>
              <w:spacing w:after="0"/>
              <w:rPr>
                <w:sz w:val="2"/>
                <w:szCs w:val="2"/>
                <w:color w:val="auto"/>
              </w:rPr>
            </w:pPr>
          </w:p>
        </w:tc>
        <w:tc>
          <w:tcPr>
            <w:tcW w:w="2240" w:type="dxa"/>
            <w:vAlign w:val="bottom"/>
            <w:tcBorders>
              <w:right w:val="single" w:sz="8" w:color="3F000B"/>
            </w:tcBorders>
          </w:tcPr>
          <w:p>
            <w:pPr>
              <w:spacing w:after="0"/>
              <w:rPr>
                <w:sz w:val="2"/>
                <w:szCs w:val="2"/>
                <w:color w:val="auto"/>
              </w:rPr>
            </w:pPr>
          </w:p>
        </w:tc>
        <w:tc>
          <w:tcPr>
            <w:tcW w:w="2240" w:type="dxa"/>
            <w:vAlign w:val="bottom"/>
            <w:tcBorders>
              <w:right w:val="single" w:sz="8" w:color="3F000B"/>
            </w:tcBorders>
          </w:tcPr>
          <w:p>
            <w:pPr>
              <w:spacing w:after="0"/>
              <w:rPr>
                <w:sz w:val="2"/>
                <w:szCs w:val="2"/>
                <w:color w:val="auto"/>
              </w:rPr>
            </w:pPr>
          </w:p>
        </w:tc>
      </w:tr>
      <w:tr>
        <w:trPr>
          <w:trHeight w:val="250"/>
        </w:trPr>
        <w:tc>
          <w:tcPr>
            <w:tcW w:w="224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Walling</w:t>
            </w:r>
          </w:p>
        </w:tc>
        <w:tc>
          <w:tcPr>
            <w:tcW w:w="22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DADADA"/>
              <w:right w:val="single" w:sz="8" w:color="3F000B"/>
            </w:tcBorders>
            <w:shd w:val="clear" w:color="auto" w:fill="DADADA"/>
          </w:tcPr>
          <w:p>
            <w:pPr>
              <w:ind w:left="2020"/>
              <w:spacing w:after="0"/>
              <w:rPr>
                <w:sz w:val="20"/>
                <w:szCs w:val="20"/>
                <w:color w:val="auto"/>
              </w:rPr>
            </w:pPr>
            <w:r>
              <w:rPr>
                <w:rFonts w:ascii="Arial" w:cs="Arial" w:eastAsia="Arial" w:hAnsi="Arial"/>
                <w:sz w:val="18"/>
                <w:szCs w:val="18"/>
                <w:color w:val="auto"/>
                <w:w w:val="99"/>
              </w:rPr>
              <w:t>—</w:t>
            </w:r>
          </w:p>
        </w:tc>
      </w:tr>
      <w:tr>
        <w:trPr>
          <w:trHeight w:val="243"/>
        </w:trPr>
        <w:tc>
          <w:tcPr>
            <w:tcW w:w="22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West</w:t>
            </w:r>
          </w:p>
        </w:tc>
        <w:tc>
          <w:tcPr>
            <w:tcW w:w="22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3F000B"/>
            </w:tcBorders>
          </w:tcPr>
          <w:p>
            <w:pPr>
              <w:ind w:left="2020"/>
              <w:spacing w:after="0"/>
              <w:rPr>
                <w:sz w:val="20"/>
                <w:szCs w:val="20"/>
                <w:color w:val="auto"/>
              </w:rPr>
            </w:pPr>
            <w:r>
              <w:rPr>
                <w:rFonts w:ascii="Arial" w:cs="Arial" w:eastAsia="Arial" w:hAnsi="Arial"/>
                <w:sz w:val="18"/>
                <w:szCs w:val="18"/>
                <w:color w:val="auto"/>
                <w:w w:val="99"/>
              </w:rPr>
              <w:t>—</w:t>
            </w:r>
          </w:p>
        </w:tc>
      </w:tr>
      <w:tr>
        <w:trPr>
          <w:trHeight w:val="27"/>
        </w:trPr>
        <w:tc>
          <w:tcPr>
            <w:tcW w:w="2240" w:type="dxa"/>
            <w:vAlign w:val="bottom"/>
            <w:tcBorders>
              <w:left w:val="single" w:sz="8" w:color="3F000B"/>
              <w:bottom w:val="single" w:sz="8" w:color="3F000B"/>
              <w:right w:val="single" w:sz="8" w:color="3F000B"/>
            </w:tcBorders>
          </w:tcPr>
          <w:p>
            <w:pPr>
              <w:spacing w:after="0"/>
              <w:rPr>
                <w:sz w:val="2"/>
                <w:szCs w:val="2"/>
                <w:color w:val="auto"/>
              </w:rPr>
            </w:pPr>
          </w:p>
        </w:tc>
        <w:tc>
          <w:tcPr>
            <w:tcW w:w="2220" w:type="dxa"/>
            <w:vAlign w:val="bottom"/>
            <w:tcBorders>
              <w:bottom w:val="single" w:sz="8" w:color="3F000B"/>
              <w:right w:val="single" w:sz="8" w:color="3F000B"/>
            </w:tcBorders>
          </w:tcPr>
          <w:p>
            <w:pPr>
              <w:spacing w:after="0"/>
              <w:rPr>
                <w:sz w:val="2"/>
                <w:szCs w:val="2"/>
                <w:color w:val="auto"/>
              </w:rPr>
            </w:pPr>
          </w:p>
        </w:tc>
        <w:tc>
          <w:tcPr>
            <w:tcW w:w="2260" w:type="dxa"/>
            <w:vAlign w:val="bottom"/>
            <w:tcBorders>
              <w:bottom w:val="single" w:sz="8" w:color="3F000B"/>
              <w:right w:val="single" w:sz="8" w:color="3F000B"/>
            </w:tcBorders>
          </w:tcPr>
          <w:p>
            <w:pPr>
              <w:spacing w:after="0"/>
              <w:rPr>
                <w:sz w:val="2"/>
                <w:szCs w:val="2"/>
                <w:color w:val="auto"/>
              </w:rPr>
            </w:pPr>
          </w:p>
        </w:tc>
        <w:tc>
          <w:tcPr>
            <w:tcW w:w="2240" w:type="dxa"/>
            <w:vAlign w:val="bottom"/>
            <w:tcBorders>
              <w:bottom w:val="single" w:sz="8" w:color="3F000B"/>
              <w:right w:val="single" w:sz="8" w:color="3F000B"/>
            </w:tcBorders>
          </w:tcPr>
          <w:p>
            <w:pPr>
              <w:spacing w:after="0"/>
              <w:rPr>
                <w:sz w:val="2"/>
                <w:szCs w:val="2"/>
                <w:color w:val="auto"/>
              </w:rPr>
            </w:pPr>
          </w:p>
        </w:tc>
        <w:tc>
          <w:tcPr>
            <w:tcW w:w="2240" w:type="dxa"/>
            <w:vAlign w:val="bottom"/>
            <w:tcBorders>
              <w:bottom w:val="single" w:sz="8" w:color="3F000B"/>
              <w:right w:val="single" w:sz="8" w:color="3F000B"/>
            </w:tcBorders>
          </w:tcPr>
          <w:p>
            <w:pPr>
              <w:spacing w:after="0"/>
              <w:rPr>
                <w:sz w:val="2"/>
                <w:szCs w:val="2"/>
                <w:color w:val="auto"/>
              </w:rPr>
            </w:pPr>
          </w:p>
        </w:tc>
      </w:tr>
    </w:tbl>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jc w:val="both"/>
        <w:ind w:left="340" w:hanging="332"/>
        <w:spacing w:after="0" w:line="252" w:lineRule="auto"/>
        <w:tabs>
          <w:tab w:leader="none" w:pos="332"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These amounts have been calculated using discount rate, mortality and other assumptions consistent with those used for financial reporting purposes as set forth in Note 11 to the Company’s Consolidated Financial Statements included in our 2020 Annual Report on Form 10-K which accompanies this Proxy Statement. The actual payments would differ due to plan assumptions. The estimated vested DB SERP benefit, as of December 31, 2020, for Ms. Buck was $25,347,981 The amount is based on Ms. Buck’s final average compensation under the terms of the DB SERP, as of December 31, 2020, as shown below:</w:t>
      </w:r>
    </w:p>
    <w:p>
      <w:pPr>
        <w:spacing w:after="0" w:line="160" w:lineRule="exact"/>
        <w:rPr>
          <w:sz w:val="20"/>
          <w:szCs w:val="20"/>
          <w:color w:val="auto"/>
        </w:rPr>
      </w:pPr>
    </w:p>
    <w:tbl>
      <w:tblPr>
        <w:tblLayout w:type="fixed"/>
        <w:tblInd w:w="350" w:type="dxa"/>
        <w:tblCellMar>
          <w:top w:w="0" w:type="dxa"/>
          <w:left w:w="0" w:type="dxa"/>
          <w:bottom w:w="0" w:type="dxa"/>
          <w:right w:w="0" w:type="dxa"/>
        </w:tblCellMar>
      </w:tblPr>
      <w:tr>
        <w:trPr>
          <w:trHeight w:val="234"/>
        </w:trPr>
        <w:tc>
          <w:tcPr>
            <w:tcW w:w="7620" w:type="dxa"/>
            <w:vAlign w:val="bottom"/>
            <w:tcBorders>
              <w:top w:val="single" w:sz="8" w:color="3F000B"/>
              <w:left w:val="single" w:sz="8" w:color="3F000B"/>
              <w:right w:val="single" w:sz="8" w:color="DADADA"/>
            </w:tcBorders>
            <w:vMerge w:val="restart"/>
            <w:shd w:val="clear" w:color="auto" w:fill="3F000B"/>
          </w:tcPr>
          <w:p>
            <w:pPr>
              <w:ind w:left="3620"/>
              <w:spacing w:after="0"/>
              <w:rPr>
                <w:sz w:val="20"/>
                <w:szCs w:val="20"/>
                <w:color w:val="auto"/>
              </w:rPr>
            </w:pPr>
            <w:r>
              <w:rPr>
                <w:rFonts w:ascii="Arial" w:cs="Arial" w:eastAsia="Arial" w:hAnsi="Arial"/>
                <w:sz w:val="14"/>
                <w:szCs w:val="14"/>
                <w:b w:val="1"/>
                <w:bCs w:val="1"/>
                <w:color w:val="FFFFFF"/>
              </w:rPr>
              <w:t>Name</w:t>
            </w:r>
          </w:p>
        </w:tc>
        <w:tc>
          <w:tcPr>
            <w:tcW w:w="2800" w:type="dxa"/>
            <w:vAlign w:val="bottom"/>
            <w:tcBorders>
              <w:top w:val="single" w:sz="8" w:color="3F000B"/>
              <w:right w:val="single" w:sz="8" w:color="3F000B"/>
            </w:tcBorders>
            <w:shd w:val="clear" w:color="auto" w:fill="3F000B"/>
          </w:tcPr>
          <w:p>
            <w:pPr>
              <w:jc w:val="right"/>
              <w:ind w:right="468"/>
              <w:spacing w:after="0"/>
              <w:rPr>
                <w:sz w:val="20"/>
                <w:szCs w:val="20"/>
                <w:color w:val="auto"/>
              </w:rPr>
            </w:pPr>
            <w:r>
              <w:rPr>
                <w:rFonts w:ascii="Arial" w:cs="Arial" w:eastAsia="Arial" w:hAnsi="Arial"/>
                <w:sz w:val="14"/>
                <w:szCs w:val="14"/>
                <w:b w:val="1"/>
                <w:bCs w:val="1"/>
                <w:color w:val="FFFFFF"/>
              </w:rPr>
              <w:t>Final Average Compensation</w:t>
            </w:r>
          </w:p>
        </w:tc>
        <w:tc>
          <w:tcPr>
            <w:tcW w:w="0" w:type="dxa"/>
            <w:vAlign w:val="bottom"/>
          </w:tcPr>
          <w:p>
            <w:pPr>
              <w:spacing w:after="0"/>
              <w:rPr>
                <w:sz w:val="1"/>
                <w:szCs w:val="1"/>
                <w:color w:val="auto"/>
              </w:rPr>
            </w:pPr>
          </w:p>
        </w:tc>
      </w:tr>
      <w:tr>
        <w:trPr>
          <w:trHeight w:val="205"/>
        </w:trPr>
        <w:tc>
          <w:tcPr>
            <w:tcW w:w="7620" w:type="dxa"/>
            <w:vAlign w:val="bottom"/>
            <w:tcBorders>
              <w:left w:val="single" w:sz="8" w:color="3F000B"/>
              <w:bottom w:val="single" w:sz="8" w:color="3F000B"/>
              <w:right w:val="single" w:sz="8" w:color="DADADA"/>
            </w:tcBorders>
            <w:vMerge w:val="continue"/>
            <w:shd w:val="clear" w:color="auto" w:fill="3F000B"/>
          </w:tcPr>
          <w:p>
            <w:pPr>
              <w:spacing w:after="0"/>
              <w:rPr>
                <w:sz w:val="17"/>
                <w:szCs w:val="17"/>
                <w:color w:val="auto"/>
              </w:rPr>
            </w:pPr>
          </w:p>
        </w:tc>
        <w:tc>
          <w:tcPr>
            <w:tcW w:w="2800" w:type="dxa"/>
            <w:vAlign w:val="bottom"/>
            <w:tcBorders>
              <w:bottom w:val="single" w:sz="8" w:color="3F000B"/>
              <w:right w:val="single" w:sz="8" w:color="3F000B"/>
            </w:tcBorders>
            <w:shd w:val="clear" w:color="auto" w:fill="3F000B"/>
          </w:tcPr>
          <w:p>
            <w:pPr>
              <w:jc w:val="right"/>
              <w:ind w:right="12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0"/>
        </w:trPr>
        <w:tc>
          <w:tcPr>
            <w:tcW w:w="762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Ms. Buck</w:t>
            </w:r>
          </w:p>
        </w:tc>
        <w:tc>
          <w:tcPr>
            <w:tcW w:w="28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3,087,641</w:t>
            </w:r>
          </w:p>
        </w:tc>
        <w:tc>
          <w:tcPr>
            <w:tcW w:w="0" w:type="dxa"/>
            <w:vAlign w:val="bottom"/>
          </w:tcPr>
          <w:p>
            <w:pPr>
              <w:spacing w:after="0"/>
              <w:rPr>
                <w:sz w:val="1"/>
                <w:szCs w:val="1"/>
                <w:color w:val="auto"/>
              </w:rPr>
            </w:pPr>
          </w:p>
        </w:tc>
      </w:tr>
      <w:tr>
        <w:trPr>
          <w:trHeight w:val="25"/>
        </w:trPr>
        <w:tc>
          <w:tcPr>
            <w:tcW w:w="7620" w:type="dxa"/>
            <w:vAlign w:val="bottom"/>
            <w:tcBorders>
              <w:left w:val="single" w:sz="8" w:color="3F000B"/>
              <w:right w:val="single" w:sz="8" w:color="3F000B"/>
            </w:tcBorders>
          </w:tcPr>
          <w:p>
            <w:pPr>
              <w:spacing w:after="0"/>
              <w:rPr>
                <w:sz w:val="2"/>
                <w:szCs w:val="2"/>
                <w:color w:val="auto"/>
              </w:rPr>
            </w:pPr>
          </w:p>
        </w:tc>
        <w:tc>
          <w:tcPr>
            <w:tcW w:w="280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Mr. Voskuil</w:t>
            </w:r>
          </w:p>
        </w:tc>
        <w:tc>
          <w:tcPr>
            <w:tcW w:w="28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2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Mr. Raup</w:t>
            </w:r>
          </w:p>
        </w:tc>
        <w:tc>
          <w:tcPr>
            <w:tcW w:w="28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7620" w:type="dxa"/>
            <w:vAlign w:val="bottom"/>
            <w:tcBorders>
              <w:left w:val="single" w:sz="8" w:color="3F000B"/>
              <w:right w:val="single" w:sz="8" w:color="3F000B"/>
            </w:tcBorders>
          </w:tcPr>
          <w:p>
            <w:pPr>
              <w:spacing w:after="0"/>
              <w:rPr>
                <w:sz w:val="2"/>
                <w:szCs w:val="2"/>
                <w:color w:val="auto"/>
              </w:rPr>
            </w:pPr>
          </w:p>
        </w:tc>
        <w:tc>
          <w:tcPr>
            <w:tcW w:w="280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Mr. Reiman</w:t>
            </w:r>
          </w:p>
        </w:tc>
        <w:tc>
          <w:tcPr>
            <w:tcW w:w="28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62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Mr. Atkins</w:t>
            </w:r>
          </w:p>
        </w:tc>
        <w:tc>
          <w:tcPr>
            <w:tcW w:w="28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7620" w:type="dxa"/>
            <w:vAlign w:val="bottom"/>
            <w:tcBorders>
              <w:left w:val="single" w:sz="8" w:color="3F000B"/>
              <w:right w:val="single" w:sz="8" w:color="3F000B"/>
            </w:tcBorders>
          </w:tcPr>
          <w:p>
            <w:pPr>
              <w:spacing w:after="0"/>
              <w:rPr>
                <w:sz w:val="2"/>
                <w:szCs w:val="2"/>
                <w:color w:val="auto"/>
              </w:rPr>
            </w:pPr>
          </w:p>
        </w:tc>
        <w:tc>
          <w:tcPr>
            <w:tcW w:w="280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tcBorders>
              <w:left w:val="single" w:sz="8" w:color="3F000B"/>
              <w:bottom w:val="single" w:sz="8" w:color="DADADA"/>
              <w:right w:val="single" w:sz="8" w:color="3F000B"/>
            </w:tcBorders>
            <w:shd w:val="clear" w:color="auto" w:fill="DADADA"/>
          </w:tcPr>
          <w:p>
            <w:pPr>
              <w:ind w:left="20"/>
              <w:spacing w:after="0"/>
              <w:rPr>
                <w:sz w:val="20"/>
                <w:szCs w:val="20"/>
                <w:color w:val="auto"/>
              </w:rPr>
            </w:pPr>
            <w:r>
              <w:rPr>
                <w:rFonts w:ascii="Arial" w:cs="Arial" w:eastAsia="Arial" w:hAnsi="Arial"/>
                <w:sz w:val="14"/>
                <w:szCs w:val="14"/>
                <w:color w:val="auto"/>
              </w:rPr>
              <w:t>Mr. Walling</w:t>
            </w:r>
          </w:p>
        </w:tc>
        <w:tc>
          <w:tcPr>
            <w:tcW w:w="2800" w:type="dxa"/>
            <w:vAlign w:val="bottom"/>
            <w:tcBorders>
              <w:bottom w:val="single" w:sz="8" w:color="DADADA"/>
              <w:right w:val="single" w:sz="8" w:color="3F000B"/>
            </w:tcBorders>
            <w:shd w:val="clear" w:color="auto" w:fill="DADADA"/>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620" w:type="dxa"/>
            <w:vAlign w:val="bottom"/>
            <w:tcBorders>
              <w:left w:val="single" w:sz="8" w:color="3F000B"/>
              <w:right w:val="single" w:sz="8" w:color="3F000B"/>
            </w:tcBorders>
          </w:tcPr>
          <w:p>
            <w:pPr>
              <w:ind w:left="20"/>
              <w:spacing w:after="0"/>
              <w:rPr>
                <w:sz w:val="20"/>
                <w:szCs w:val="20"/>
                <w:color w:val="auto"/>
              </w:rPr>
            </w:pPr>
            <w:r>
              <w:rPr>
                <w:rFonts w:ascii="Arial" w:cs="Arial" w:eastAsia="Arial" w:hAnsi="Arial"/>
                <w:sz w:val="14"/>
                <w:szCs w:val="14"/>
                <w:color w:val="auto"/>
              </w:rPr>
              <w:t>Ms. West</w:t>
            </w:r>
          </w:p>
        </w:tc>
        <w:tc>
          <w:tcPr>
            <w:tcW w:w="2800" w:type="dxa"/>
            <w:vAlign w:val="bottom"/>
            <w:tcBorders>
              <w:right w:val="single" w:sz="8" w:color="3F000B"/>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7620" w:type="dxa"/>
            <w:vAlign w:val="bottom"/>
            <w:tcBorders>
              <w:left w:val="single" w:sz="8" w:color="3F000B"/>
              <w:bottom w:val="single" w:sz="8" w:color="3F000B"/>
              <w:right w:val="single" w:sz="8" w:color="3F000B"/>
            </w:tcBorders>
          </w:tcPr>
          <w:p>
            <w:pPr>
              <w:spacing w:after="0"/>
              <w:rPr>
                <w:sz w:val="2"/>
                <w:szCs w:val="2"/>
                <w:color w:val="auto"/>
              </w:rPr>
            </w:pPr>
          </w:p>
        </w:tc>
        <w:tc>
          <w:tcPr>
            <w:tcW w:w="280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2020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9014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01440" cy="8255"/>
                    </a:xfrm>
                    <a:prstGeom prst="rect">
                      <a:avLst/>
                    </a:prstGeom>
                    <a:noFill/>
                  </pic:spPr>
                </pic:pic>
              </a:graphicData>
            </a:graphic>
          </wp:anchor>
        </w:drawing>
      </w:r>
    </w:p>
    <w:p>
      <w:pPr>
        <w:spacing w:after="0" w:line="14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NEOs are eligible to participate in the Company’s Deferred Compensation Plan. The Deferred Compensation Plan is a non-qualified, non-funded plan that permits participants to defer compensation that would otherwise be paid to them currently. The Deferred Compensation Plan is intended to secure the goodwill and loyalty of participants by enabling them to defer compensation when the participants deem it beneficial to do so and by providing a vehicle for the Company to make, on a non-qualified basis, contributions that could not be made on the participants’ behalf to the 401(k) plan. The Company credits the Deferred Compensation Plan with a specified percentage of compensation for NEOs participating in the non-qualified DC SERP.</w:t>
      </w:r>
    </w:p>
    <w:p>
      <w:pPr>
        <w:spacing w:after="0" w:line="10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NEOs may elect to defer payments to be received from the OHIP, PSU and RSU awards, but not stock options or base salary. Amounts deferred under the DB SERP, DC SERP, CLRP, OHIP, PSU and RSU awards are fully vested and are credited to the individual’s account under the Deferred Compensation Plan. Participants elect to receive payment at termination of employment or some other future date. DB SERP and CLRP payments designated for deferral into the Deferred Compensation Plan are not credited as earned but are credited in full upon the participant’s retirement.</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20"/>
          </w:cols>
          <w:pgMar w:left="320" w:top="1057" w:right="359" w:bottom="1440" w:gutter="0" w:footer="0" w:header="0"/>
          <w:type w:val="continuous"/>
        </w:sectPr>
      </w:pPr>
    </w:p>
    <w:bookmarkStart w:id="77" w:name="page78"/>
    <w:bookmarkEnd w:id="77"/>
    <w:p>
      <w:pPr>
        <w:jc w:val="both"/>
        <w:ind w:right="80"/>
        <w:spacing w:after="0" w:line="263" w:lineRule="auto"/>
        <w:rPr>
          <w:sz w:val="20"/>
          <w:szCs w:val="20"/>
          <w:color w:val="auto"/>
        </w:rPr>
      </w:pPr>
      <w:r>
        <w:rPr>
          <w:rFonts w:ascii="Arial" w:cs="Arial" w:eastAsia="Arial" w:hAnsi="Arial"/>
          <w:sz w:val="18"/>
          <w:szCs w:val="18"/>
          <w:color w:val="auto"/>
        </w:rPr>
        <w:t>Payments are distributed in a lump sum or in annual installments for up to 15 years. All amounts are payable in a lump sum following a Change in Control (as such terms is defined in the EICP). All elections and payments under the Deferred Compensation Plan are subject to compliance with Section 409A of the IRC, which may limit elections and require a delay in payment of benefits in certain circumstances.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deferred, amounts are credited with notional earnings as if they were invested by the participant in one or more investment options offered by the Deferred Compensation Plan. The investment options under the Deferred Compensation Plan consist of investment in a deferred common stock unit account that we value according to the performance of our Common Stock (for awards paid in stock) or in mutual funds or other investments available to participants in our 401(k) plan (for awards paid in cash). The participants’ accounts under the Deferred Compensation Plan fluctuate daily, depending upon performance of the investment options elected.</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January 1, 2007, we began crediting the deferred compensation accounts of all employees, including the NEOs, with the amount of employer matching contributions that exceed the limits established by the IRS for contribution to the 401(k) plan. These amounts are credited in the first quarter of the year after they are earned. As shown in the footnotes to the 2020 Summary Compensation Table, these amounts are designated as “Supplemental 401(k) Match” and are included as “All Other Compensation” in the year earned. These amounts also are included in Column (c) of the 2020 Non-Qualified Deferred Compensation Table in the year earned. All of our NEOs, except Mr. Walling and Ms. West, are eligible for a Supplemental 401(k) Match credit for 2020. With the exception of Mr. Voskuil, all of the NEOs are fully vested in the Supplemental 401(k) Match credits presented and will be paid at a future date or at termination of employment, as elected by the executive subject to the provisions of Section 409A of the IRC. Mr. Voskuil will vest in this benefit upon completion of two years of employment. If vested, he will receive payment for this benefit at termination of employment subject to the provisions of Section 409A of the IRC. Mr. Walling and Ms. West were fully vested in this benefit upon their respective retirements.</w:t>
      </w:r>
    </w:p>
    <w:p>
      <w:pPr>
        <w:spacing w:after="0" w:line="1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Effective January 1, 2007, we began crediting the deferred compensation accounts of all employees hired on or after January 1, 2007, including eligible NEOs, with the amount of Core Retirement Contributions that exceed the limits established by the IRS for contribution to the 401(k) plan. These amounts are credited in the first quarter of the year after they are earned. As shown in the footnotes to the 2020 Summary Compensation Table, these amounts are designated as “Supplemental Core Retirement Contribution” and are included as “All Other Compensation” in the year earned. These amounts also are included in Column (c) of the 2020 Non-Qualified Deferred Compensation Table in the year earned. Messrs. Atkins, Raup and Voskuil are eligible for a Supplemental CRC credit for 2020. Messrs. Atkins and Raup are fully vested in this benefit and will receive payment at termination of employment subject to the provisions of Section 409A of the IRC. Mr. Voskuil will vest in this benefit upon completion of two years of employment. If vested, he will receive payment for this benefit at termination of employment subject to the provisions of Section 409A of the IRC. Mr. Walling and Ms. West were fully vested in this benefit upon their respective retirements.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Messrs. Atkins, Raup, Reiman and Voskuil are also eligible to participate in our DC SERP, a part of the Deferred Compensation Plan. The DC SERP provides annual allocations to the Deferred Compensation Plan equal to a percentage of compensation determined by the Compensation Committee in its sole discretion. In order to receive the annual DC SERP allocation, an executive must (i) defer into the 401(k) plan the maximum amount allowed by the Company or the IRS and (ii) be employed on the last day of the plan year, unless the executive terminates employment after age 55 and completion of five years of continuous employment preceding termination, dies or becomes disabled. After completing five years of service with the Company, an executive is vested in 10% increments based on his or her age. An executive age 46 with five years of service is 10% vested and an executive age 55 with five years of service is 100% vested. The annual DC SERP allocation for Messrs. Atkins, Raup, Reiman and Voskuil is equal to 12.5% of base salary and OHIP award for the calendar year, whether paid or deferred. Mr. Raup and Mr. Reiman are 80% and 40% vested, respectively, in their respective DC SERP benefits, while Messrs. Atkins and Voskuil are 0% vested because they have not yet completed five years of continuous employment with the Company. Mr. Walling and Ms. West were eligible to participate in our DC SERP benefit prior to their respective retirements. Mr. Walling was 90% vested upon his retirement so he received the vested balance. Ms. West was 0% vested upon her retirement so her balance was forfeited.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057" w:right="359" w:bottom="1440" w:gutter="0" w:footer="0" w:header="0"/>
        </w:sectPr>
      </w:pPr>
    </w:p>
    <w:bookmarkStart w:id="78" w:name="page79"/>
    <w:bookmarkEnd w:id="78"/>
    <w:p>
      <w:pPr>
        <w:ind w:right="60"/>
        <w:spacing w:after="0" w:line="277" w:lineRule="auto"/>
        <w:rPr>
          <w:sz w:val="20"/>
          <w:szCs w:val="20"/>
          <w:color w:val="auto"/>
        </w:rPr>
      </w:pPr>
      <w:r>
        <w:rPr>
          <w:rFonts w:ascii="Arial" w:cs="Arial" w:eastAsia="Arial" w:hAnsi="Arial"/>
          <w:sz w:val="18"/>
          <w:szCs w:val="18"/>
          <w:color w:val="auto"/>
        </w:rPr>
        <w:t>The following table and explanatory footnotes provide information relating to the activity in the Deferred Compensation Plan accounts of the NEOs during 2020 and the aggregate balance of the accounts as of December 31, 2020:</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1860" w:type="dxa"/>
            <w:vAlign w:val="bottom"/>
            <w:tcBorders>
              <w:top w:val="single" w:sz="8" w:color="3F000B"/>
              <w:left w:val="single" w:sz="8" w:color="3F000B"/>
              <w:right w:val="single" w:sz="8" w:color="DADADA"/>
            </w:tcBorders>
            <w:shd w:val="clear" w:color="auto" w:fill="3F000B"/>
          </w:tcPr>
          <w:p>
            <w:pPr>
              <w:spacing w:after="0"/>
              <w:rPr>
                <w:sz w:val="24"/>
                <w:szCs w:val="24"/>
                <w:color w:val="auto"/>
              </w:rPr>
            </w:pPr>
          </w:p>
        </w:tc>
        <w:tc>
          <w:tcPr>
            <w:tcW w:w="186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Executive</w:t>
            </w:r>
          </w:p>
        </w:tc>
        <w:tc>
          <w:tcPr>
            <w:tcW w:w="186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Registrant</w:t>
            </w:r>
          </w:p>
        </w:tc>
        <w:tc>
          <w:tcPr>
            <w:tcW w:w="184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Aggregate</w:t>
            </w:r>
          </w:p>
        </w:tc>
        <w:tc>
          <w:tcPr>
            <w:tcW w:w="1860" w:type="dxa"/>
            <w:vAlign w:val="bottom"/>
            <w:tcBorders>
              <w:top w:val="single" w:sz="8" w:color="3F000B"/>
              <w:right w:val="single" w:sz="8" w:color="DADADA"/>
            </w:tcBorders>
            <w:shd w:val="clear" w:color="auto" w:fill="3F000B"/>
          </w:tcPr>
          <w:p>
            <w:pPr>
              <w:spacing w:after="0"/>
              <w:rPr>
                <w:sz w:val="24"/>
                <w:szCs w:val="24"/>
                <w:color w:val="auto"/>
              </w:rPr>
            </w:pPr>
          </w:p>
        </w:tc>
        <w:tc>
          <w:tcPr>
            <w:tcW w:w="1880" w:type="dxa"/>
            <w:vAlign w:val="bottom"/>
            <w:tcBorders>
              <w:top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Aggregate</w:t>
            </w:r>
          </w:p>
        </w:tc>
      </w:tr>
      <w:tr>
        <w:trPr>
          <w:trHeight w:val="216"/>
        </w:trPr>
        <w:tc>
          <w:tcPr>
            <w:tcW w:w="1860" w:type="dxa"/>
            <w:vAlign w:val="bottom"/>
            <w:tcBorders>
              <w:left w:val="single" w:sz="8" w:color="3F000B"/>
              <w:right w:val="single" w:sz="8" w:color="DADADA"/>
            </w:tcBorders>
            <w:shd w:val="clear" w:color="auto" w:fill="3F000B"/>
          </w:tcPr>
          <w:p>
            <w:pPr>
              <w:spacing w:after="0"/>
              <w:rPr>
                <w:sz w:val="18"/>
                <w:szCs w:val="18"/>
                <w:color w:val="auto"/>
              </w:rPr>
            </w:pPr>
          </w:p>
        </w:tc>
        <w:tc>
          <w:tcPr>
            <w:tcW w:w="18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Contributions in</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Contributions in</w:t>
            </w:r>
          </w:p>
        </w:tc>
        <w:tc>
          <w:tcPr>
            <w:tcW w:w="18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Earnings in</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Aggregate</w:t>
            </w:r>
          </w:p>
        </w:tc>
        <w:tc>
          <w:tcPr>
            <w:tcW w:w="18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Balance at</w:t>
            </w:r>
          </w:p>
        </w:tc>
      </w:tr>
      <w:tr>
        <w:trPr>
          <w:trHeight w:val="216"/>
        </w:trPr>
        <w:tc>
          <w:tcPr>
            <w:tcW w:w="1860" w:type="dxa"/>
            <w:vAlign w:val="bottom"/>
            <w:tcBorders>
              <w:left w:val="single" w:sz="8" w:color="3F000B"/>
              <w:right w:val="single" w:sz="8" w:color="DADADA"/>
            </w:tcBorders>
            <w:shd w:val="clear" w:color="auto" w:fill="3F000B"/>
          </w:tcPr>
          <w:p>
            <w:pPr>
              <w:spacing w:after="0"/>
              <w:rPr>
                <w:sz w:val="18"/>
                <w:szCs w:val="18"/>
                <w:color w:val="auto"/>
              </w:rPr>
            </w:pPr>
          </w:p>
        </w:tc>
        <w:tc>
          <w:tcPr>
            <w:tcW w:w="18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Last Fiscal</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Last Fiscal</w:t>
            </w:r>
          </w:p>
        </w:tc>
        <w:tc>
          <w:tcPr>
            <w:tcW w:w="18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Last Fiscal</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3"/>
              </w:rPr>
              <w:t>Withdrawals/</w:t>
            </w:r>
          </w:p>
        </w:tc>
        <w:tc>
          <w:tcPr>
            <w:tcW w:w="18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Last Fiscal</w:t>
            </w:r>
          </w:p>
        </w:tc>
      </w:tr>
      <w:tr>
        <w:trPr>
          <w:trHeight w:val="216"/>
        </w:trPr>
        <w:tc>
          <w:tcPr>
            <w:tcW w:w="1860" w:type="dxa"/>
            <w:vAlign w:val="bottom"/>
            <w:tcBorders>
              <w:left w:val="single" w:sz="8" w:color="3F000B"/>
              <w:right w:val="single" w:sz="8" w:color="DADADA"/>
            </w:tcBorders>
            <w:shd w:val="clear" w:color="auto" w:fill="3F000B"/>
          </w:tcPr>
          <w:p>
            <w:pPr>
              <w:spacing w:after="0"/>
              <w:rPr>
                <w:sz w:val="18"/>
                <w:szCs w:val="18"/>
                <w:color w:val="auto"/>
              </w:rPr>
            </w:pPr>
          </w:p>
        </w:tc>
        <w:tc>
          <w:tcPr>
            <w:tcW w:w="18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7"/>
              </w:rPr>
              <w:t>Year</w:t>
            </w:r>
            <w:r>
              <w:rPr>
                <w:rFonts w:ascii="Arial" w:cs="Arial" w:eastAsia="Arial" w:hAnsi="Arial"/>
                <w:sz w:val="10"/>
                <w:szCs w:val="10"/>
                <w:b w:val="1"/>
                <w:bCs w:val="1"/>
                <w:color w:val="FFFFFF"/>
                <w:w w:val="97"/>
              </w:rPr>
              <w:t>(1)</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3"/>
              </w:rPr>
              <w:t>Year</w:t>
            </w:r>
            <w:r>
              <w:rPr>
                <w:rFonts w:ascii="Arial" w:cs="Arial" w:eastAsia="Arial" w:hAnsi="Arial"/>
                <w:sz w:val="10"/>
                <w:szCs w:val="10"/>
                <w:b w:val="1"/>
                <w:bCs w:val="1"/>
                <w:color w:val="FFFFFF"/>
                <w:w w:val="93"/>
              </w:rPr>
              <w:t>(2)</w:t>
            </w:r>
          </w:p>
        </w:tc>
        <w:tc>
          <w:tcPr>
            <w:tcW w:w="18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3"/>
              </w:rPr>
              <w:t>Year</w:t>
            </w:r>
            <w:r>
              <w:rPr>
                <w:rFonts w:ascii="Arial" w:cs="Arial" w:eastAsia="Arial" w:hAnsi="Arial"/>
                <w:sz w:val="10"/>
                <w:szCs w:val="10"/>
                <w:b w:val="1"/>
                <w:bCs w:val="1"/>
                <w:color w:val="FFFFFF"/>
                <w:w w:val="93"/>
              </w:rPr>
              <w:t>(3)</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Distributions</w:t>
            </w:r>
            <w:r>
              <w:rPr>
                <w:rFonts w:ascii="Arial" w:cs="Arial" w:eastAsia="Arial" w:hAnsi="Arial"/>
                <w:sz w:val="10"/>
                <w:szCs w:val="10"/>
                <w:b w:val="1"/>
                <w:bCs w:val="1"/>
                <w:color w:val="FFFFFF"/>
                <w:w w:val="92"/>
              </w:rPr>
              <w:t>(4)</w:t>
            </w:r>
          </w:p>
        </w:tc>
        <w:tc>
          <w:tcPr>
            <w:tcW w:w="18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4"/>
              </w:rPr>
              <w:t>Year-End</w:t>
            </w:r>
            <w:r>
              <w:rPr>
                <w:rFonts w:ascii="Arial" w:cs="Arial" w:eastAsia="Arial" w:hAnsi="Arial"/>
                <w:sz w:val="10"/>
                <w:szCs w:val="10"/>
                <w:b w:val="1"/>
                <w:bCs w:val="1"/>
                <w:color w:val="FFFFFF"/>
                <w:w w:val="94"/>
              </w:rPr>
              <w:t>(5)</w:t>
            </w:r>
          </w:p>
        </w:tc>
      </w:tr>
      <w:tr>
        <w:trPr>
          <w:trHeight w:val="261"/>
        </w:trPr>
        <w:tc>
          <w:tcPr>
            <w:tcW w:w="1860" w:type="dxa"/>
            <w:vAlign w:val="bottom"/>
            <w:tcBorders>
              <w:left w:val="single" w:sz="8" w:color="3F000B"/>
              <w:right w:val="single" w:sz="8" w:color="DADADA"/>
            </w:tcBorders>
            <w:shd w:val="clear" w:color="auto" w:fill="3F000B"/>
          </w:tcPr>
          <w:p>
            <w:pPr>
              <w:ind w:left="700"/>
              <w:spacing w:after="0"/>
              <w:rPr>
                <w:sz w:val="20"/>
                <w:szCs w:val="20"/>
                <w:color w:val="auto"/>
              </w:rPr>
            </w:pPr>
            <w:r>
              <w:rPr>
                <w:rFonts w:ascii="Arial" w:cs="Arial" w:eastAsia="Arial" w:hAnsi="Arial"/>
                <w:sz w:val="18"/>
                <w:szCs w:val="18"/>
                <w:b w:val="1"/>
                <w:bCs w:val="1"/>
                <w:color w:val="FFFFFF"/>
              </w:rPr>
              <w:t>Name</w:t>
            </w:r>
          </w:p>
        </w:tc>
        <w:tc>
          <w:tcPr>
            <w:tcW w:w="18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18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8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r>
      <w:tr>
        <w:trPr>
          <w:trHeight w:val="47"/>
        </w:trPr>
        <w:tc>
          <w:tcPr>
            <w:tcW w:w="1860" w:type="dxa"/>
            <w:vAlign w:val="bottom"/>
            <w:tcBorders>
              <w:left w:val="single" w:sz="8" w:color="3F000B"/>
              <w:right w:val="single" w:sz="8" w:color="DADADA"/>
            </w:tcBorders>
            <w:shd w:val="clear" w:color="auto" w:fill="3F000B"/>
          </w:tcPr>
          <w:p>
            <w:pPr>
              <w:spacing w:after="0"/>
              <w:rPr>
                <w:sz w:val="4"/>
                <w:szCs w:val="4"/>
                <w:color w:val="auto"/>
              </w:rPr>
            </w:pPr>
          </w:p>
        </w:tc>
        <w:tc>
          <w:tcPr>
            <w:tcW w:w="1860" w:type="dxa"/>
            <w:vAlign w:val="bottom"/>
            <w:tcBorders>
              <w:right w:val="single" w:sz="8" w:color="3F000B"/>
            </w:tcBorders>
            <w:shd w:val="clear" w:color="auto" w:fill="3F000B"/>
          </w:tcPr>
          <w:p>
            <w:pPr>
              <w:spacing w:after="0"/>
              <w:rPr>
                <w:sz w:val="4"/>
                <w:szCs w:val="4"/>
                <w:color w:val="auto"/>
              </w:rPr>
            </w:pPr>
          </w:p>
        </w:tc>
        <w:tc>
          <w:tcPr>
            <w:tcW w:w="1860" w:type="dxa"/>
            <w:vAlign w:val="bottom"/>
            <w:tcBorders>
              <w:right w:val="single" w:sz="8" w:color="DADADA"/>
            </w:tcBorders>
            <w:shd w:val="clear" w:color="auto" w:fill="3F000B"/>
          </w:tcPr>
          <w:p>
            <w:pPr>
              <w:spacing w:after="0"/>
              <w:rPr>
                <w:sz w:val="4"/>
                <w:szCs w:val="4"/>
                <w:color w:val="auto"/>
              </w:rPr>
            </w:pPr>
          </w:p>
        </w:tc>
        <w:tc>
          <w:tcPr>
            <w:tcW w:w="1840" w:type="dxa"/>
            <w:vAlign w:val="bottom"/>
            <w:tcBorders>
              <w:right w:val="single" w:sz="8" w:color="DADADA"/>
            </w:tcBorders>
            <w:shd w:val="clear" w:color="auto" w:fill="3F000B"/>
          </w:tcPr>
          <w:p>
            <w:pPr>
              <w:spacing w:after="0"/>
              <w:rPr>
                <w:sz w:val="4"/>
                <w:szCs w:val="4"/>
                <w:color w:val="auto"/>
              </w:rPr>
            </w:pPr>
          </w:p>
        </w:tc>
        <w:tc>
          <w:tcPr>
            <w:tcW w:w="1860" w:type="dxa"/>
            <w:vAlign w:val="bottom"/>
            <w:tcBorders>
              <w:right w:val="single" w:sz="8" w:color="DADADA"/>
            </w:tcBorders>
            <w:shd w:val="clear" w:color="auto" w:fill="3F000B"/>
          </w:tcPr>
          <w:p>
            <w:pPr>
              <w:spacing w:after="0"/>
              <w:rPr>
                <w:sz w:val="4"/>
                <w:szCs w:val="4"/>
                <w:color w:val="auto"/>
              </w:rPr>
            </w:pPr>
          </w:p>
        </w:tc>
        <w:tc>
          <w:tcPr>
            <w:tcW w:w="1880" w:type="dxa"/>
            <w:vAlign w:val="bottom"/>
            <w:tcBorders>
              <w:right w:val="single" w:sz="8" w:color="3F000B"/>
            </w:tcBorders>
            <w:shd w:val="clear" w:color="auto" w:fill="3F000B"/>
          </w:tcPr>
          <w:p>
            <w:pPr>
              <w:spacing w:after="0"/>
              <w:rPr>
                <w:sz w:val="4"/>
                <w:szCs w:val="4"/>
                <w:color w:val="auto"/>
              </w:rPr>
            </w:pPr>
          </w:p>
        </w:tc>
      </w:tr>
      <w:tr>
        <w:trPr>
          <w:trHeight w:val="304"/>
        </w:trPr>
        <w:tc>
          <w:tcPr>
            <w:tcW w:w="1860" w:type="dxa"/>
            <w:vAlign w:val="bottom"/>
            <w:tcBorders>
              <w:left w:val="single" w:sz="8" w:color="3F000B"/>
              <w:right w:val="single" w:sz="8" w:color="DADADA"/>
            </w:tcBorders>
            <w:shd w:val="clear" w:color="auto" w:fill="3F000B"/>
          </w:tcPr>
          <w:p>
            <w:pPr>
              <w:ind w:left="820"/>
              <w:spacing w:after="0"/>
              <w:rPr>
                <w:sz w:val="20"/>
                <w:szCs w:val="20"/>
                <w:color w:val="auto"/>
              </w:rPr>
            </w:pPr>
            <w:r>
              <w:rPr>
                <w:rFonts w:ascii="Arial" w:cs="Arial" w:eastAsia="Arial" w:hAnsi="Arial"/>
                <w:sz w:val="18"/>
                <w:szCs w:val="18"/>
                <w:b w:val="1"/>
                <w:bCs w:val="1"/>
                <w:color w:val="FFFFFF"/>
              </w:rPr>
              <w:t>(a)</w:t>
            </w:r>
          </w:p>
        </w:tc>
        <w:tc>
          <w:tcPr>
            <w:tcW w:w="186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(b)</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(c)</w:t>
            </w:r>
          </w:p>
        </w:tc>
        <w:tc>
          <w:tcPr>
            <w:tcW w:w="18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(d)</w:t>
            </w:r>
          </w:p>
        </w:tc>
        <w:tc>
          <w:tcPr>
            <w:tcW w:w="18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(e)</w:t>
            </w:r>
          </w:p>
        </w:tc>
        <w:tc>
          <w:tcPr>
            <w:tcW w:w="18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(f)</w:t>
            </w:r>
          </w:p>
        </w:tc>
      </w:tr>
      <w:tr>
        <w:trPr>
          <w:trHeight w:val="94"/>
        </w:trPr>
        <w:tc>
          <w:tcPr>
            <w:tcW w:w="1860" w:type="dxa"/>
            <w:vAlign w:val="bottom"/>
            <w:tcBorders>
              <w:left w:val="single" w:sz="8" w:color="3F000B"/>
              <w:right w:val="single" w:sz="8" w:color="DADADA"/>
            </w:tcBorders>
            <w:shd w:val="clear" w:color="auto" w:fill="3F000B"/>
          </w:tcPr>
          <w:p>
            <w:pPr>
              <w:spacing w:after="0"/>
              <w:rPr>
                <w:sz w:val="8"/>
                <w:szCs w:val="8"/>
                <w:color w:val="auto"/>
              </w:rPr>
            </w:pPr>
          </w:p>
        </w:tc>
        <w:tc>
          <w:tcPr>
            <w:tcW w:w="1860" w:type="dxa"/>
            <w:vAlign w:val="bottom"/>
            <w:tcBorders>
              <w:right w:val="single" w:sz="8" w:color="3F000B"/>
            </w:tcBorders>
            <w:shd w:val="clear" w:color="auto" w:fill="3F000B"/>
          </w:tcPr>
          <w:p>
            <w:pPr>
              <w:spacing w:after="0"/>
              <w:rPr>
                <w:sz w:val="8"/>
                <w:szCs w:val="8"/>
                <w:color w:val="auto"/>
              </w:rPr>
            </w:pPr>
          </w:p>
        </w:tc>
        <w:tc>
          <w:tcPr>
            <w:tcW w:w="1860" w:type="dxa"/>
            <w:vAlign w:val="bottom"/>
            <w:tcBorders>
              <w:right w:val="single" w:sz="8" w:color="DADADA"/>
            </w:tcBorders>
            <w:shd w:val="clear" w:color="auto" w:fill="3F000B"/>
          </w:tcPr>
          <w:p>
            <w:pPr>
              <w:spacing w:after="0"/>
              <w:rPr>
                <w:sz w:val="8"/>
                <w:szCs w:val="8"/>
                <w:color w:val="auto"/>
              </w:rPr>
            </w:pPr>
          </w:p>
        </w:tc>
        <w:tc>
          <w:tcPr>
            <w:tcW w:w="1840" w:type="dxa"/>
            <w:vAlign w:val="bottom"/>
            <w:tcBorders>
              <w:right w:val="single" w:sz="8" w:color="DADADA"/>
            </w:tcBorders>
            <w:shd w:val="clear" w:color="auto" w:fill="3F000B"/>
          </w:tcPr>
          <w:p>
            <w:pPr>
              <w:spacing w:after="0"/>
              <w:rPr>
                <w:sz w:val="8"/>
                <w:szCs w:val="8"/>
                <w:color w:val="auto"/>
              </w:rPr>
            </w:pPr>
          </w:p>
        </w:tc>
        <w:tc>
          <w:tcPr>
            <w:tcW w:w="1860" w:type="dxa"/>
            <w:vAlign w:val="bottom"/>
            <w:tcBorders>
              <w:right w:val="single" w:sz="8" w:color="DADADA"/>
            </w:tcBorders>
            <w:shd w:val="clear" w:color="auto" w:fill="3F000B"/>
          </w:tcPr>
          <w:p>
            <w:pPr>
              <w:spacing w:after="0"/>
              <w:rPr>
                <w:sz w:val="8"/>
                <w:szCs w:val="8"/>
                <w:color w:val="auto"/>
              </w:rPr>
            </w:pPr>
          </w:p>
        </w:tc>
        <w:tc>
          <w:tcPr>
            <w:tcW w:w="1880" w:type="dxa"/>
            <w:vAlign w:val="bottom"/>
            <w:tcBorders>
              <w:right w:val="single" w:sz="8" w:color="3F000B"/>
            </w:tcBorders>
            <w:shd w:val="clear" w:color="auto" w:fill="3F000B"/>
          </w:tcPr>
          <w:p>
            <w:pPr>
              <w:spacing w:after="0"/>
              <w:rPr>
                <w:sz w:val="8"/>
                <w:szCs w:val="8"/>
                <w:color w:val="auto"/>
              </w:rPr>
            </w:pPr>
          </w:p>
        </w:tc>
      </w:tr>
      <w:tr>
        <w:trPr>
          <w:trHeight w:val="243"/>
        </w:trPr>
        <w:tc>
          <w:tcPr>
            <w:tcW w:w="18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165,030</w:t>
            </w:r>
          </w:p>
        </w:tc>
        <w:tc>
          <w:tcPr>
            <w:tcW w:w="18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711,554</w:t>
            </w:r>
          </w:p>
        </w:tc>
        <w:tc>
          <w:tcPr>
            <w:tcW w:w="18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14,482,547</w:t>
            </w:r>
          </w:p>
        </w:tc>
      </w:tr>
      <w:tr>
        <w:trPr>
          <w:trHeight w:val="27"/>
        </w:trPr>
        <w:tc>
          <w:tcPr>
            <w:tcW w:w="1860" w:type="dxa"/>
            <w:vAlign w:val="bottom"/>
            <w:tcBorders>
              <w:left w:val="single" w:sz="8" w:color="3F000B"/>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40" w:type="dxa"/>
            <w:vAlign w:val="bottom"/>
            <w:tcBorders>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r>
      <w:tr>
        <w:trPr>
          <w:trHeight w:val="250"/>
        </w:trPr>
        <w:tc>
          <w:tcPr>
            <w:tcW w:w="186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18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213,115</w:t>
            </w:r>
          </w:p>
        </w:tc>
        <w:tc>
          <w:tcPr>
            <w:tcW w:w="18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14,468</w:t>
            </w:r>
          </w:p>
        </w:tc>
        <w:tc>
          <w:tcPr>
            <w:tcW w:w="18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283,506</w:t>
            </w:r>
          </w:p>
        </w:tc>
      </w:tr>
      <w:tr>
        <w:trPr>
          <w:trHeight w:val="243"/>
        </w:trPr>
        <w:tc>
          <w:tcPr>
            <w:tcW w:w="18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104,012</w:t>
            </w:r>
          </w:p>
        </w:tc>
        <w:tc>
          <w:tcPr>
            <w:tcW w:w="18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13,247</w:t>
            </w:r>
          </w:p>
        </w:tc>
        <w:tc>
          <w:tcPr>
            <w:tcW w:w="18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199,618</w:t>
            </w:r>
          </w:p>
        </w:tc>
      </w:tr>
      <w:tr>
        <w:trPr>
          <w:trHeight w:val="27"/>
        </w:trPr>
        <w:tc>
          <w:tcPr>
            <w:tcW w:w="1860" w:type="dxa"/>
            <w:vAlign w:val="bottom"/>
            <w:tcBorders>
              <w:left w:val="single" w:sz="8" w:color="3F000B"/>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40" w:type="dxa"/>
            <w:vAlign w:val="bottom"/>
            <w:tcBorders>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r>
      <w:tr>
        <w:trPr>
          <w:trHeight w:val="250"/>
        </w:trPr>
        <w:tc>
          <w:tcPr>
            <w:tcW w:w="186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18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86,841</w:t>
            </w:r>
          </w:p>
        </w:tc>
        <w:tc>
          <w:tcPr>
            <w:tcW w:w="18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117,680</w:t>
            </w:r>
          </w:p>
        </w:tc>
        <w:tc>
          <w:tcPr>
            <w:tcW w:w="18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28,070</w:t>
            </w:r>
          </w:p>
        </w:tc>
        <w:tc>
          <w:tcPr>
            <w:tcW w:w="18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455,506</w:t>
            </w:r>
          </w:p>
        </w:tc>
      </w:tr>
      <w:tr>
        <w:trPr>
          <w:trHeight w:val="243"/>
        </w:trPr>
        <w:tc>
          <w:tcPr>
            <w:tcW w:w="18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205,514</w:t>
            </w:r>
          </w:p>
        </w:tc>
        <w:tc>
          <w:tcPr>
            <w:tcW w:w="18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34,825</w:t>
            </w:r>
          </w:p>
        </w:tc>
        <w:tc>
          <w:tcPr>
            <w:tcW w:w="18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386,368</w:t>
            </w:r>
          </w:p>
        </w:tc>
      </w:tr>
      <w:tr>
        <w:trPr>
          <w:trHeight w:val="27"/>
        </w:trPr>
        <w:tc>
          <w:tcPr>
            <w:tcW w:w="1860" w:type="dxa"/>
            <w:vAlign w:val="bottom"/>
            <w:tcBorders>
              <w:left w:val="single" w:sz="8" w:color="3F000B"/>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40" w:type="dxa"/>
            <w:vAlign w:val="bottom"/>
            <w:tcBorders>
              <w:right w:val="single" w:sz="8" w:color="3F000B"/>
            </w:tcBorders>
          </w:tcPr>
          <w:p>
            <w:pPr>
              <w:spacing w:after="0"/>
              <w:rPr>
                <w:sz w:val="2"/>
                <w:szCs w:val="2"/>
                <w:color w:val="auto"/>
              </w:rPr>
            </w:pPr>
          </w:p>
        </w:tc>
        <w:tc>
          <w:tcPr>
            <w:tcW w:w="1860" w:type="dxa"/>
            <w:vAlign w:val="bottom"/>
            <w:tcBorders>
              <w:right w:val="single" w:sz="8" w:color="3F000B"/>
            </w:tcBorders>
          </w:tcPr>
          <w:p>
            <w:pPr>
              <w:spacing w:after="0"/>
              <w:rPr>
                <w:sz w:val="2"/>
                <w:szCs w:val="2"/>
                <w:color w:val="auto"/>
              </w:rPr>
            </w:pPr>
          </w:p>
        </w:tc>
        <w:tc>
          <w:tcPr>
            <w:tcW w:w="1880" w:type="dxa"/>
            <w:vAlign w:val="bottom"/>
            <w:tcBorders>
              <w:right w:val="single" w:sz="8" w:color="3F000B"/>
            </w:tcBorders>
          </w:tcPr>
          <w:p>
            <w:pPr>
              <w:spacing w:after="0"/>
              <w:rPr>
                <w:sz w:val="2"/>
                <w:szCs w:val="2"/>
                <w:color w:val="auto"/>
              </w:rPr>
            </w:pPr>
          </w:p>
        </w:tc>
      </w:tr>
      <w:tr>
        <w:trPr>
          <w:trHeight w:val="250"/>
        </w:trPr>
        <w:tc>
          <w:tcPr>
            <w:tcW w:w="186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Walling</w:t>
            </w:r>
          </w:p>
        </w:tc>
        <w:tc>
          <w:tcPr>
            <w:tcW w:w="18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127,947</w:t>
            </w:r>
          </w:p>
        </w:tc>
        <w:tc>
          <w:tcPr>
            <w:tcW w:w="18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209,773</w:t>
            </w:r>
          </w:p>
        </w:tc>
        <w:tc>
          <w:tcPr>
            <w:tcW w:w="18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6,002,678</w:t>
            </w:r>
          </w:p>
        </w:tc>
        <w:tc>
          <w:tcPr>
            <w:tcW w:w="18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West</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(55,203)</w:t>
            </w:r>
          </w:p>
        </w:tc>
        <w:tc>
          <w:tcPr>
            <w:tcW w:w="18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478,639</w:t>
            </w:r>
          </w:p>
        </w:tc>
        <w:tc>
          <w:tcPr>
            <w:tcW w:w="18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60" w:type="dxa"/>
            <w:vAlign w:val="bottom"/>
            <w:tcBorders>
              <w:left w:val="single" w:sz="8" w:color="3F000B"/>
              <w:bottom w:val="single" w:sz="8" w:color="3F000B"/>
              <w:right w:val="single" w:sz="8" w:color="3F000B"/>
            </w:tcBorders>
          </w:tcPr>
          <w:p>
            <w:pPr>
              <w:spacing w:after="0"/>
              <w:rPr>
                <w:sz w:val="2"/>
                <w:szCs w:val="2"/>
                <w:color w:val="auto"/>
              </w:rPr>
            </w:pPr>
          </w:p>
        </w:tc>
        <w:tc>
          <w:tcPr>
            <w:tcW w:w="1860" w:type="dxa"/>
            <w:vAlign w:val="bottom"/>
            <w:tcBorders>
              <w:bottom w:val="single" w:sz="8" w:color="3F000B"/>
              <w:right w:val="single" w:sz="8" w:color="3F000B"/>
            </w:tcBorders>
          </w:tcPr>
          <w:p>
            <w:pPr>
              <w:spacing w:after="0"/>
              <w:rPr>
                <w:sz w:val="2"/>
                <w:szCs w:val="2"/>
                <w:color w:val="auto"/>
              </w:rPr>
            </w:pPr>
          </w:p>
        </w:tc>
        <w:tc>
          <w:tcPr>
            <w:tcW w:w="1860" w:type="dxa"/>
            <w:vAlign w:val="bottom"/>
            <w:tcBorders>
              <w:bottom w:val="single" w:sz="8" w:color="3F000B"/>
              <w:right w:val="single" w:sz="8" w:color="3F000B"/>
            </w:tcBorders>
          </w:tcPr>
          <w:p>
            <w:pPr>
              <w:spacing w:after="0"/>
              <w:rPr>
                <w:sz w:val="2"/>
                <w:szCs w:val="2"/>
                <w:color w:val="auto"/>
              </w:rPr>
            </w:pPr>
          </w:p>
        </w:tc>
        <w:tc>
          <w:tcPr>
            <w:tcW w:w="1840" w:type="dxa"/>
            <w:vAlign w:val="bottom"/>
            <w:tcBorders>
              <w:bottom w:val="single" w:sz="8" w:color="3F000B"/>
              <w:right w:val="single" w:sz="8" w:color="3F000B"/>
            </w:tcBorders>
          </w:tcPr>
          <w:p>
            <w:pPr>
              <w:spacing w:after="0"/>
              <w:rPr>
                <w:sz w:val="2"/>
                <w:szCs w:val="2"/>
                <w:color w:val="auto"/>
              </w:rPr>
            </w:pPr>
          </w:p>
        </w:tc>
        <w:tc>
          <w:tcPr>
            <w:tcW w:w="1860" w:type="dxa"/>
            <w:vAlign w:val="bottom"/>
            <w:tcBorders>
              <w:bottom w:val="single" w:sz="8" w:color="3F000B"/>
              <w:right w:val="single" w:sz="8" w:color="3F000B"/>
            </w:tcBorders>
          </w:tcPr>
          <w:p>
            <w:pPr>
              <w:spacing w:after="0"/>
              <w:rPr>
                <w:sz w:val="2"/>
                <w:szCs w:val="2"/>
                <w:color w:val="auto"/>
              </w:rPr>
            </w:pPr>
          </w:p>
        </w:tc>
        <w:tc>
          <w:tcPr>
            <w:tcW w:w="1880" w:type="dxa"/>
            <w:vAlign w:val="bottom"/>
            <w:tcBorders>
              <w:bottom w:val="single" w:sz="8" w:color="3F000B"/>
              <w:right w:val="single" w:sz="8" w:color="3F000B"/>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right="460" w:hanging="332"/>
        <w:spacing w:after="0" w:line="273" w:lineRule="auto"/>
        <w:tabs>
          <w:tab w:leader="none" w:pos="332"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Column (b) reflects the value of PSU awards that otherwise would have been received by Mr. Reiman during 2020 and OHIP awards that otherwise would have been received by Mr. Walling and had they not been deferred under the Deferred Compensation Plan.</w:t>
      </w:r>
    </w:p>
    <w:p>
      <w:pPr>
        <w:spacing w:after="0" w:line="65" w:lineRule="exact"/>
        <w:rPr>
          <w:rFonts w:ascii="Arial" w:cs="Arial" w:eastAsia="Arial" w:hAnsi="Arial"/>
          <w:sz w:val="14"/>
          <w:szCs w:val="14"/>
          <w:color w:val="auto"/>
        </w:rPr>
      </w:pPr>
    </w:p>
    <w:p>
      <w:pPr>
        <w:ind w:left="340" w:right="120" w:hanging="332"/>
        <w:spacing w:after="0" w:line="252" w:lineRule="auto"/>
        <w:tabs>
          <w:tab w:leader="none" w:pos="332" w:val="left"/>
        </w:tabs>
        <w:numPr>
          <w:ilvl w:val="0"/>
          <w:numId w:val="154"/>
        </w:numPr>
        <w:rPr>
          <w:rFonts w:ascii="Arial" w:cs="Arial" w:eastAsia="Arial" w:hAnsi="Arial"/>
          <w:sz w:val="14"/>
          <w:szCs w:val="14"/>
          <w:color w:val="auto"/>
        </w:rPr>
      </w:pPr>
      <w:r>
        <w:rPr>
          <w:rFonts w:ascii="Arial" w:cs="Arial" w:eastAsia="Arial" w:hAnsi="Arial"/>
          <w:sz w:val="14"/>
          <w:szCs w:val="14"/>
          <w:color w:val="auto"/>
        </w:rPr>
        <w:t>For Ms. Buck, Column (c) reflects the Supplemental 401(k) Match contributions earned for 2020. For Messrs. Atkins, Raup and Voskuil, Column (c) reflects the DC SERP, the Supplemental 401(k) Match contributions and the Supplemental CRC earned for 2020. Mr. Atkins’ 2020 DC SERP contribution was subsequently forfeited upon his separation because he was not vested in the DC SERP. For Mr. Reiman, Column (c) reflects the DC SERP and the Supplemental 401(k) Match contributions earned for 2020. These contributions are included in Column (i) of the 2020 Summary Compensation Table.</w:t>
      </w:r>
    </w:p>
    <w:p>
      <w:pPr>
        <w:spacing w:after="0" w:line="79" w:lineRule="exact"/>
        <w:rPr>
          <w:rFonts w:ascii="Arial" w:cs="Arial" w:eastAsia="Arial" w:hAnsi="Arial"/>
          <w:sz w:val="14"/>
          <w:szCs w:val="14"/>
          <w:color w:val="auto"/>
        </w:rPr>
      </w:pPr>
    </w:p>
    <w:p>
      <w:pPr>
        <w:ind w:left="320" w:hanging="312"/>
        <w:spacing w:after="0"/>
        <w:tabs>
          <w:tab w:leader="none" w:pos="3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Column (d) reflects the adjustment made to each NEO’s account during 2020 to reflect the performance of the investment options chosen by the executive. Amounts reported in Column</w:t>
      </w:r>
    </w:p>
    <w:p>
      <w:pPr>
        <w:spacing w:after="0" w:line="24"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(d) were not required to be reported as compensation in the 2020 Summary Compensation Table.</w:t>
      </w:r>
    </w:p>
    <w:p>
      <w:pPr>
        <w:spacing w:after="0" w:line="97" w:lineRule="exact"/>
        <w:rPr>
          <w:rFonts w:ascii="Arial" w:cs="Arial" w:eastAsia="Arial" w:hAnsi="Arial"/>
          <w:sz w:val="13"/>
          <w:szCs w:val="13"/>
          <w:color w:val="auto"/>
        </w:rPr>
      </w:pPr>
    </w:p>
    <w:p>
      <w:pPr>
        <w:jc w:val="both"/>
        <w:ind w:left="340" w:right="80" w:hanging="332"/>
        <w:spacing w:after="0" w:line="286" w:lineRule="auto"/>
        <w:tabs>
          <w:tab w:leader="none" w:pos="332" w:val="left"/>
        </w:tabs>
        <w:numPr>
          <w:ilvl w:val="0"/>
          <w:numId w:val="154"/>
        </w:numPr>
        <w:rPr>
          <w:rFonts w:ascii="Arial" w:cs="Arial" w:eastAsia="Arial" w:hAnsi="Arial"/>
          <w:sz w:val="13"/>
          <w:szCs w:val="13"/>
          <w:color w:val="auto"/>
        </w:rPr>
      </w:pPr>
      <w:r>
        <w:rPr>
          <w:rFonts w:ascii="Arial" w:cs="Arial" w:eastAsia="Arial" w:hAnsi="Arial"/>
          <w:sz w:val="13"/>
          <w:szCs w:val="13"/>
          <w:color w:val="auto"/>
        </w:rPr>
        <w:t>Column (e) reflects the aggregate value of vested amounts under the Deferred Compensation Plan paid to Mr. Walling and Ms. West in connection with their respective retirements in 2020. In accordance with section 409A of the IRC, these payments were delayed for six months following separation from service. The amount in Column (e) also reflects the aggregate value of unvested amounts under the Deferred Compensation Plan that were forfeited upon Mr. Walling and Ms. West’s respective retirements in 2020.</w:t>
      </w:r>
    </w:p>
    <w:p>
      <w:pPr>
        <w:spacing w:after="0" w:line="59" w:lineRule="exact"/>
        <w:rPr>
          <w:rFonts w:ascii="Arial" w:cs="Arial" w:eastAsia="Arial" w:hAnsi="Arial"/>
          <w:sz w:val="13"/>
          <w:szCs w:val="13"/>
          <w:color w:val="auto"/>
        </w:rPr>
      </w:pPr>
    </w:p>
    <w:p>
      <w:pPr>
        <w:ind w:left="340" w:right="20" w:hanging="332"/>
        <w:spacing w:after="0" w:line="273" w:lineRule="auto"/>
        <w:tabs>
          <w:tab w:leader="none" w:pos="332"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Column (f) reflects the aggregate balance credited to each NEO as of December 31, 2020, including the 2020 amounts reflected in Columns (b), (c) and (d). The following table indicates the portion of the Column (f) balance that reflects amounts disclosed in a Summary Compensation Table included in proxy statements for years prior to 2020:</w:t>
      </w:r>
    </w:p>
    <w:p>
      <w:pPr>
        <w:spacing w:after="0" w:line="206" w:lineRule="exact"/>
        <w:rPr>
          <w:sz w:val="20"/>
          <w:szCs w:val="20"/>
          <w:color w:val="auto"/>
        </w:rPr>
      </w:pPr>
    </w:p>
    <w:tbl>
      <w:tblPr>
        <w:tblLayout w:type="fixed"/>
        <w:tblInd w:w="350" w:type="dxa"/>
        <w:tblCellMar>
          <w:top w:w="0" w:type="dxa"/>
          <w:left w:w="0" w:type="dxa"/>
          <w:bottom w:w="0" w:type="dxa"/>
          <w:right w:w="0" w:type="dxa"/>
        </w:tblCellMar>
      </w:tblPr>
      <w:tr>
        <w:trPr>
          <w:trHeight w:val="271"/>
        </w:trPr>
        <w:tc>
          <w:tcPr>
            <w:tcW w:w="6860" w:type="dxa"/>
            <w:vAlign w:val="bottom"/>
            <w:tcBorders>
              <w:left w:val="single" w:sz="8" w:color="3F000B"/>
              <w:right w:val="single" w:sz="8" w:color="3F000B"/>
            </w:tcBorders>
            <w:shd w:val="clear" w:color="auto" w:fill="3F000B"/>
          </w:tcPr>
          <w:p>
            <w:pPr>
              <w:spacing w:after="0"/>
              <w:rPr>
                <w:sz w:val="23"/>
                <w:szCs w:val="23"/>
                <w:color w:val="auto"/>
              </w:rPr>
            </w:pPr>
          </w:p>
        </w:tc>
        <w:tc>
          <w:tcPr>
            <w:tcW w:w="354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2"/>
              </w:rPr>
              <w:t>Amounts Reported in</w:t>
            </w:r>
          </w:p>
        </w:tc>
        <w:tc>
          <w:tcPr>
            <w:tcW w:w="0" w:type="dxa"/>
            <w:vAlign w:val="bottom"/>
          </w:tcPr>
          <w:p>
            <w:pPr>
              <w:spacing w:after="0"/>
              <w:rPr>
                <w:sz w:val="1"/>
                <w:szCs w:val="1"/>
                <w:color w:val="auto"/>
              </w:rPr>
            </w:pPr>
          </w:p>
        </w:tc>
      </w:tr>
      <w:tr>
        <w:trPr>
          <w:trHeight w:val="165"/>
        </w:trPr>
        <w:tc>
          <w:tcPr>
            <w:tcW w:w="6860" w:type="dxa"/>
            <w:vAlign w:val="bottom"/>
            <w:tcBorders>
              <w:left w:val="single" w:sz="8" w:color="3F000B"/>
              <w:right w:val="single" w:sz="8" w:color="3F000B"/>
            </w:tcBorders>
            <w:vMerge w:val="restart"/>
            <w:shd w:val="clear" w:color="auto" w:fill="3F000B"/>
          </w:tcPr>
          <w:p>
            <w:pPr>
              <w:ind w:left="3240"/>
              <w:spacing w:after="0"/>
              <w:rPr>
                <w:sz w:val="20"/>
                <w:szCs w:val="20"/>
                <w:color w:val="auto"/>
              </w:rPr>
            </w:pPr>
            <w:r>
              <w:rPr>
                <w:rFonts w:ascii="Arial" w:cs="Arial" w:eastAsia="Arial" w:hAnsi="Arial"/>
                <w:sz w:val="14"/>
                <w:szCs w:val="14"/>
                <w:b w:val="1"/>
                <w:bCs w:val="1"/>
                <w:color w:val="FFFFFF"/>
              </w:rPr>
              <w:t>Name</w:t>
            </w:r>
          </w:p>
        </w:tc>
        <w:tc>
          <w:tcPr>
            <w:tcW w:w="3540" w:type="dxa"/>
            <w:vAlign w:val="bottom"/>
            <w:tcBorders>
              <w:right w:val="single" w:sz="8" w:color="3F000B"/>
            </w:tcBorders>
            <w:shd w:val="clear" w:color="auto" w:fill="3F000B"/>
          </w:tcPr>
          <w:p>
            <w:pPr>
              <w:jc w:val="center"/>
              <w:spacing w:after="0" w:line="165" w:lineRule="exact"/>
              <w:rPr>
                <w:sz w:val="20"/>
                <w:szCs w:val="20"/>
                <w:color w:val="auto"/>
              </w:rPr>
            </w:pPr>
            <w:r>
              <w:rPr>
                <w:rFonts w:ascii="Arial" w:cs="Arial" w:eastAsia="Arial" w:hAnsi="Arial"/>
                <w:sz w:val="14"/>
                <w:szCs w:val="14"/>
                <w:b w:val="1"/>
                <w:bCs w:val="1"/>
                <w:color w:val="FFFFFF"/>
                <w:w w:val="88"/>
              </w:rPr>
              <w:t>Previous Years</w:t>
            </w:r>
            <w:r>
              <w:rPr>
                <w:rFonts w:ascii="Arial" w:cs="Arial" w:eastAsia="Arial" w:hAnsi="Arial"/>
                <w:sz w:val="18"/>
                <w:szCs w:val="18"/>
                <w:b w:val="1"/>
                <w:bCs w:val="1"/>
                <w:color w:val="FFFFFF"/>
                <w:w w:val="88"/>
                <w:vertAlign w:val="superscript"/>
              </w:rPr>
              <w:t>(a)</w:t>
            </w:r>
          </w:p>
        </w:tc>
        <w:tc>
          <w:tcPr>
            <w:tcW w:w="0" w:type="dxa"/>
            <w:vAlign w:val="bottom"/>
          </w:tcPr>
          <w:p>
            <w:pPr>
              <w:spacing w:after="0"/>
              <w:rPr>
                <w:sz w:val="1"/>
                <w:szCs w:val="1"/>
                <w:color w:val="auto"/>
              </w:rPr>
            </w:pPr>
          </w:p>
        </w:tc>
      </w:tr>
      <w:tr>
        <w:trPr>
          <w:trHeight w:val="192"/>
        </w:trPr>
        <w:tc>
          <w:tcPr>
            <w:tcW w:w="6860" w:type="dxa"/>
            <w:vAlign w:val="bottom"/>
            <w:tcBorders>
              <w:left w:val="single" w:sz="8" w:color="3F000B"/>
              <w:bottom w:val="single" w:sz="8" w:color="3F000B"/>
              <w:right w:val="single" w:sz="8" w:color="3F000B"/>
            </w:tcBorders>
            <w:vMerge w:val="continue"/>
            <w:shd w:val="clear" w:color="auto" w:fill="3F000B"/>
          </w:tcPr>
          <w:p>
            <w:pPr>
              <w:spacing w:after="0"/>
              <w:rPr>
                <w:sz w:val="16"/>
                <w:szCs w:val="16"/>
                <w:color w:val="auto"/>
              </w:rPr>
            </w:pPr>
          </w:p>
        </w:tc>
        <w:tc>
          <w:tcPr>
            <w:tcW w:w="354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68"/>
        </w:trPr>
        <w:tc>
          <w:tcPr>
            <w:tcW w:w="6860" w:type="dxa"/>
            <w:vAlign w:val="bottom"/>
            <w:tcBorders>
              <w:left w:val="single" w:sz="8" w:color="3F000B"/>
              <w:right w:val="single" w:sz="8" w:color="3F000B"/>
            </w:tcBorders>
          </w:tcPr>
          <w:p>
            <w:pPr>
              <w:ind w:left="140"/>
              <w:spacing w:after="0"/>
              <w:rPr>
                <w:sz w:val="20"/>
                <w:szCs w:val="20"/>
                <w:color w:val="auto"/>
              </w:rPr>
            </w:pPr>
            <w:r>
              <w:rPr>
                <w:rFonts w:ascii="Arial" w:cs="Arial" w:eastAsia="Arial" w:hAnsi="Arial"/>
                <w:sz w:val="13"/>
                <w:szCs w:val="13"/>
                <w:color w:val="auto"/>
              </w:rPr>
              <w:t>Ms. Buck</w:t>
            </w:r>
          </w:p>
        </w:tc>
        <w:tc>
          <w:tcPr>
            <w:tcW w:w="3540" w:type="dxa"/>
            <w:vAlign w:val="bottom"/>
            <w:tcBorders>
              <w:right w:val="single" w:sz="8" w:color="3F000B"/>
            </w:tcBorders>
          </w:tcPr>
          <w:p>
            <w:pPr>
              <w:jc w:val="center"/>
              <w:spacing w:after="0"/>
              <w:rPr>
                <w:sz w:val="20"/>
                <w:szCs w:val="20"/>
                <w:color w:val="auto"/>
              </w:rPr>
            </w:pPr>
            <w:r>
              <w:rPr>
                <w:rFonts w:ascii="Arial" w:cs="Arial" w:eastAsia="Arial" w:hAnsi="Arial"/>
                <w:sz w:val="13"/>
                <w:szCs w:val="13"/>
                <w:color w:val="auto"/>
                <w:w w:val="89"/>
              </w:rPr>
              <w:t>5,564,313</w:t>
            </w:r>
          </w:p>
        </w:tc>
        <w:tc>
          <w:tcPr>
            <w:tcW w:w="0" w:type="dxa"/>
            <w:vAlign w:val="bottom"/>
          </w:tcPr>
          <w:p>
            <w:pPr>
              <w:spacing w:after="0"/>
              <w:rPr>
                <w:sz w:val="1"/>
                <w:szCs w:val="1"/>
                <w:color w:val="auto"/>
              </w:rPr>
            </w:pPr>
          </w:p>
        </w:tc>
      </w:tr>
      <w:tr>
        <w:trPr>
          <w:trHeight w:val="183"/>
        </w:trPr>
        <w:tc>
          <w:tcPr>
            <w:tcW w:w="6860" w:type="dxa"/>
            <w:vAlign w:val="bottom"/>
            <w:tcBorders>
              <w:left w:val="single" w:sz="8" w:color="3F000B"/>
              <w:right w:val="single" w:sz="8" w:color="3F000B"/>
            </w:tcBorders>
            <w:shd w:val="clear" w:color="auto" w:fill="BFBFBF"/>
          </w:tcPr>
          <w:p>
            <w:pPr>
              <w:ind w:left="140"/>
              <w:spacing w:after="0"/>
              <w:rPr>
                <w:sz w:val="20"/>
                <w:szCs w:val="20"/>
                <w:color w:val="auto"/>
              </w:rPr>
            </w:pPr>
            <w:r>
              <w:rPr>
                <w:rFonts w:ascii="Arial" w:cs="Arial" w:eastAsia="Arial" w:hAnsi="Arial"/>
                <w:sz w:val="13"/>
                <w:szCs w:val="13"/>
                <w:color w:val="auto"/>
              </w:rPr>
              <w:t>Mr. Voskuil</w:t>
            </w:r>
          </w:p>
        </w:tc>
        <w:tc>
          <w:tcPr>
            <w:tcW w:w="3540" w:type="dxa"/>
            <w:vAlign w:val="bottom"/>
            <w:tcBorders>
              <w:right w:val="single" w:sz="8" w:color="3F000B"/>
            </w:tcBorders>
            <w:shd w:val="clear" w:color="auto" w:fill="BFBFBF"/>
          </w:tcPr>
          <w:p>
            <w:pPr>
              <w:jc w:val="center"/>
              <w:spacing w:after="0"/>
              <w:rPr>
                <w:sz w:val="20"/>
                <w:szCs w:val="20"/>
                <w:color w:val="auto"/>
              </w:rPr>
            </w:pPr>
            <w:r>
              <w:rPr>
                <w:rFonts w:ascii="Arial" w:cs="Arial" w:eastAsia="Arial" w:hAnsi="Arial"/>
                <w:sz w:val="13"/>
                <w:szCs w:val="13"/>
                <w:color w:val="auto"/>
                <w:w w:val="90"/>
              </w:rPr>
              <w:t>70,391</w:t>
            </w:r>
          </w:p>
        </w:tc>
        <w:tc>
          <w:tcPr>
            <w:tcW w:w="0" w:type="dxa"/>
            <w:vAlign w:val="bottom"/>
          </w:tcPr>
          <w:p>
            <w:pPr>
              <w:spacing w:after="0"/>
              <w:rPr>
                <w:sz w:val="1"/>
                <w:szCs w:val="1"/>
                <w:color w:val="auto"/>
              </w:rPr>
            </w:pPr>
          </w:p>
        </w:tc>
      </w:tr>
      <w:tr>
        <w:trPr>
          <w:trHeight w:val="168"/>
        </w:trPr>
        <w:tc>
          <w:tcPr>
            <w:tcW w:w="6860" w:type="dxa"/>
            <w:vAlign w:val="bottom"/>
            <w:tcBorders>
              <w:left w:val="single" w:sz="8" w:color="3F000B"/>
              <w:right w:val="single" w:sz="8" w:color="3F000B"/>
            </w:tcBorders>
          </w:tcPr>
          <w:p>
            <w:pPr>
              <w:ind w:left="140"/>
              <w:spacing w:after="0"/>
              <w:rPr>
                <w:sz w:val="20"/>
                <w:szCs w:val="20"/>
                <w:color w:val="auto"/>
              </w:rPr>
            </w:pPr>
            <w:r>
              <w:rPr>
                <w:rFonts w:ascii="Arial" w:cs="Arial" w:eastAsia="Arial" w:hAnsi="Arial"/>
                <w:sz w:val="13"/>
                <w:szCs w:val="13"/>
                <w:color w:val="auto"/>
              </w:rPr>
              <w:t>Mr. Raup</w:t>
            </w:r>
          </w:p>
        </w:tc>
        <w:tc>
          <w:tcPr>
            <w:tcW w:w="3540" w:type="dxa"/>
            <w:vAlign w:val="bottom"/>
            <w:tcBorders>
              <w:right w:val="single" w:sz="8" w:color="3F000B"/>
            </w:tcBorders>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3"/>
        </w:trPr>
        <w:tc>
          <w:tcPr>
            <w:tcW w:w="6860" w:type="dxa"/>
            <w:vAlign w:val="bottom"/>
            <w:tcBorders>
              <w:left w:val="single" w:sz="8" w:color="3F000B"/>
              <w:right w:val="single" w:sz="8" w:color="3F000B"/>
            </w:tcBorders>
            <w:shd w:val="clear" w:color="auto" w:fill="BFBFBF"/>
          </w:tcPr>
          <w:p>
            <w:pPr>
              <w:ind w:left="140"/>
              <w:spacing w:after="0"/>
              <w:rPr>
                <w:sz w:val="20"/>
                <w:szCs w:val="20"/>
                <w:color w:val="auto"/>
              </w:rPr>
            </w:pPr>
            <w:r>
              <w:rPr>
                <w:rFonts w:ascii="Arial" w:cs="Arial" w:eastAsia="Arial" w:hAnsi="Arial"/>
                <w:sz w:val="13"/>
                <w:szCs w:val="13"/>
                <w:color w:val="auto"/>
              </w:rPr>
              <w:t>Mr. Reiman</w:t>
            </w:r>
          </w:p>
        </w:tc>
        <w:tc>
          <w:tcPr>
            <w:tcW w:w="3540" w:type="dxa"/>
            <w:vAlign w:val="bottom"/>
            <w:tcBorders>
              <w:right w:val="single" w:sz="8" w:color="3F000B"/>
            </w:tcBorders>
            <w:shd w:val="clear" w:color="auto" w:fill="BFBFB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6860" w:type="dxa"/>
            <w:vAlign w:val="bottom"/>
            <w:tcBorders>
              <w:left w:val="single" w:sz="8" w:color="3F000B"/>
              <w:right w:val="single" w:sz="8" w:color="3F000B"/>
            </w:tcBorders>
          </w:tcPr>
          <w:p>
            <w:pPr>
              <w:ind w:left="140"/>
              <w:spacing w:after="0"/>
              <w:rPr>
                <w:sz w:val="20"/>
                <w:szCs w:val="20"/>
                <w:color w:val="auto"/>
              </w:rPr>
            </w:pPr>
            <w:r>
              <w:rPr>
                <w:rFonts w:ascii="Arial" w:cs="Arial" w:eastAsia="Arial" w:hAnsi="Arial"/>
                <w:sz w:val="13"/>
                <w:szCs w:val="13"/>
                <w:color w:val="auto"/>
              </w:rPr>
              <w:t>Mr. Atkins</w:t>
            </w:r>
          </w:p>
        </w:tc>
        <w:tc>
          <w:tcPr>
            <w:tcW w:w="3540" w:type="dxa"/>
            <w:vAlign w:val="bottom"/>
            <w:tcBorders>
              <w:right w:val="single" w:sz="8" w:color="3F000B"/>
            </w:tcBorders>
          </w:tcPr>
          <w:p>
            <w:pPr>
              <w:jc w:val="center"/>
              <w:spacing w:after="0"/>
              <w:rPr>
                <w:sz w:val="20"/>
                <w:szCs w:val="20"/>
                <w:color w:val="auto"/>
              </w:rPr>
            </w:pPr>
            <w:r>
              <w:rPr>
                <w:rFonts w:ascii="Arial" w:cs="Arial" w:eastAsia="Arial" w:hAnsi="Arial"/>
                <w:sz w:val="13"/>
                <w:szCs w:val="13"/>
                <w:color w:val="auto"/>
                <w:w w:val="85"/>
              </w:rPr>
              <w:t>100,186</w:t>
            </w:r>
          </w:p>
        </w:tc>
        <w:tc>
          <w:tcPr>
            <w:tcW w:w="0" w:type="dxa"/>
            <w:vAlign w:val="bottom"/>
          </w:tcPr>
          <w:p>
            <w:pPr>
              <w:spacing w:after="0"/>
              <w:rPr>
                <w:sz w:val="1"/>
                <w:szCs w:val="1"/>
                <w:color w:val="auto"/>
              </w:rPr>
            </w:pPr>
          </w:p>
        </w:tc>
      </w:tr>
      <w:tr>
        <w:trPr>
          <w:trHeight w:val="183"/>
        </w:trPr>
        <w:tc>
          <w:tcPr>
            <w:tcW w:w="6860" w:type="dxa"/>
            <w:vAlign w:val="bottom"/>
            <w:tcBorders>
              <w:left w:val="single" w:sz="8" w:color="3F000B"/>
              <w:right w:val="single" w:sz="8" w:color="3F000B"/>
            </w:tcBorders>
            <w:shd w:val="clear" w:color="auto" w:fill="BFBFBF"/>
          </w:tcPr>
          <w:p>
            <w:pPr>
              <w:ind w:left="140"/>
              <w:spacing w:after="0"/>
              <w:rPr>
                <w:sz w:val="20"/>
                <w:szCs w:val="20"/>
                <w:color w:val="auto"/>
              </w:rPr>
            </w:pPr>
            <w:r>
              <w:rPr>
                <w:rFonts w:ascii="Arial" w:cs="Arial" w:eastAsia="Arial" w:hAnsi="Arial"/>
                <w:sz w:val="13"/>
                <w:szCs w:val="13"/>
                <w:color w:val="auto"/>
              </w:rPr>
              <w:t>Mr. Walling</w:t>
            </w:r>
          </w:p>
        </w:tc>
        <w:tc>
          <w:tcPr>
            <w:tcW w:w="3540" w:type="dxa"/>
            <w:vAlign w:val="bottom"/>
            <w:tcBorders>
              <w:right w:val="single" w:sz="8" w:color="3F000B"/>
            </w:tcBorders>
            <w:shd w:val="clear" w:color="auto" w:fill="BFBFB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9"/>
        </w:trPr>
        <w:tc>
          <w:tcPr>
            <w:tcW w:w="6860" w:type="dxa"/>
            <w:vAlign w:val="bottom"/>
            <w:tcBorders>
              <w:left w:val="single" w:sz="8" w:color="3F000B"/>
              <w:bottom w:val="single" w:sz="8" w:color="3F000B"/>
              <w:right w:val="single" w:sz="8" w:color="3F000B"/>
            </w:tcBorders>
          </w:tcPr>
          <w:p>
            <w:pPr>
              <w:ind w:left="140"/>
              <w:spacing w:after="0"/>
              <w:rPr>
                <w:sz w:val="20"/>
                <w:szCs w:val="20"/>
                <w:color w:val="auto"/>
              </w:rPr>
            </w:pPr>
            <w:r>
              <w:rPr>
                <w:rFonts w:ascii="Arial" w:cs="Arial" w:eastAsia="Arial" w:hAnsi="Arial"/>
                <w:sz w:val="13"/>
                <w:szCs w:val="13"/>
                <w:color w:val="auto"/>
              </w:rPr>
              <w:t>Ms. West</w:t>
            </w:r>
          </w:p>
        </w:tc>
        <w:tc>
          <w:tcPr>
            <w:tcW w:w="3540" w:type="dxa"/>
            <w:vAlign w:val="bottom"/>
            <w:tcBorders>
              <w:bottom w:val="single" w:sz="8" w:color="3F000B"/>
              <w:right w:val="single" w:sz="8" w:color="3F000B"/>
            </w:tcBorders>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-1199515</wp:posOffset>
            </wp:positionV>
            <wp:extent cx="8890" cy="411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69" w:lineRule="exact"/>
        <w:rPr>
          <w:sz w:val="20"/>
          <w:szCs w:val="20"/>
          <w:color w:val="auto"/>
        </w:rPr>
      </w:pPr>
    </w:p>
    <w:p>
      <w:pPr>
        <w:ind w:left="660" w:hanging="328"/>
        <w:spacing w:after="0" w:line="257" w:lineRule="auto"/>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This amount reflects the fair market value as of December 31, 2020, of vested PSU, RSU and OHIP awards as well as DC SERP, Supplemental 401(k) Match and Supplemental CRC credits. The amounts disclosed in the Summary Compensation Table included in proxy statements for years prior to 2020 reflect the grant date value of such awards, rather than the fair market value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057"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3F000B"/>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4691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69130" cy="8255"/>
                    </a:xfrm>
                    <a:prstGeom prst="rect">
                      <a:avLst/>
                    </a:prstGeom>
                    <a:noFill/>
                  </pic:spPr>
                </pic:pic>
              </a:graphicData>
            </a:graphic>
          </wp:anchor>
        </w:drawing>
      </w:r>
    </w:p>
    <w:p>
      <w:pPr>
        <w:spacing w:after="0" w:line="14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maintain plans covering our NEOs that will require us to provide incremental compensation in the event of termination of employment or a Change in Control (as such term is defined in the applicable governing document), provided certain conditions are met. The following narrative takes each hypothetical termination of employment situation – voluntary resignation, termination for Cause, death, disability, retirement, termination without Cause, and resignation for Good Reason – and a Change in Control of the Company, and describes the additional amounts, if any, that the Company would pay or provide to the NEOs, or their beneficiaries, as a result. This narrative regarding hypothetical termination events does not include information on benefits the Company would pay or provide to Mr. Walling or Ms. West upon the occurrence of such events as they were no longer employees of the Company on December 31, 2020. Instead, the actual payments made to Mr. Walling and Ms. West upon their respective retirements are described below under the section entitled “Separation Payments under Confidential Separation Agreement and General Release.”</w:t>
      </w:r>
    </w:p>
    <w:p>
      <w:pPr>
        <w:spacing w:after="0" w:line="12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narrative below and the amounts shown reflect certain assumptions we have made in accordance with SEC rules. We have assumed that the termination of employment or Change in Control occurred on December 31, 2020, and that the value of a share of our Common Stock on that day was $152.33, the closing price on the NYSE on December 31, 2020, the last trading day of 2020.</w:t>
      </w:r>
    </w:p>
    <w:p>
      <w:pPr>
        <w:spacing w:after="0" w:line="13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in keeping with SEC rules, the following narrative and amounts do not include payments and benefits which are not enhanced by a qualifying termination of employment or Change in Control. These payments and benefits are referred to as “vested benefits” and include:</w:t>
      </w:r>
    </w:p>
    <w:p>
      <w:pPr>
        <w:spacing w:after="0" w:line="38"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Vested benefits accrued under the 401(k) and pension plans;</w:t>
      </w:r>
    </w:p>
    <w:p>
      <w:pPr>
        <w:spacing w:after="0" w:line="63"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Accrued vacation pay, health plan continuation and other similar amounts payable when employment terminates under programs generally applicable to the Company’s salaried employees;</w:t>
      </w:r>
    </w:p>
    <w:p>
      <w:pPr>
        <w:spacing w:after="0" w:line="8"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Vested Supplemental 401(k) Match and Supplemental CRC provided to the NEOs on the same basis as all other employees eligible for Supplemental 401(k) Match and Supplemental CRC;</w:t>
      </w:r>
    </w:p>
    <w:p>
      <w:pPr>
        <w:spacing w:after="0" w:line="8" w:lineRule="exact"/>
        <w:rPr>
          <w:rFonts w:ascii="Arial" w:cs="Arial" w:eastAsia="Arial" w:hAnsi="Arial"/>
          <w:sz w:val="18"/>
          <w:szCs w:val="18"/>
          <w:color w:val="auto"/>
        </w:rPr>
      </w:pPr>
    </w:p>
    <w:p>
      <w:pPr>
        <w:ind w:left="660" w:right="140" w:hanging="328"/>
        <w:spacing w:after="0" w:line="298" w:lineRule="auto"/>
        <w:tabs>
          <w:tab w:leader="none" w:pos="6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Vested benefits accrued under the DB SERP, CLRP and account balances held under the Deferred Compensation Plan as previously described in the sections entitled “2020 Pension Benefits Table” and “2020 Non-Qualified Deferred Compensation Table”; and</w:t>
      </w: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Stock options which have vested and become exercisable prior to termination of employment or Change in Control.</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Voluntary Resignation (other than a Resignation for Good Reason)</w:t>
      </w:r>
    </w:p>
    <w:p>
      <w:pPr>
        <w:spacing w:after="0" w:line="15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not obligated to pay amounts over and above vested benefits to a NEO who voluntarily resigns. Vested stock options may not be exercised after the NEO’s resignation date unless the executive meets retirement eligibility requirements (separation after attainment of age 55 with at least five years of continuous service).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Termination for Cause</w:t>
      </w:r>
    </w:p>
    <w:p>
      <w:pPr>
        <w:spacing w:after="0" w:line="1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terminate a NEO’s employment for Cause, we are not obligated to pay the executive any amounts over and above vested benefits. The NEO’s right to exercise vested stock options expires upon termination for Cause, and amounts otherwise payable under the DB SERP are subject to forfeiture at the Company’s discretion. In general, a termination will be for Cause if the executive has been convicted of a felony or has engaged in gross negligence or willful misconduct in the performance of duties, material dishonesty or a material violation of Company policies, including our Code of Conduct, or bad faith actions in the performance of duties not in the best interests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Death or Disability</w:t>
      </w:r>
    </w:p>
    <w:p>
      <w:pPr>
        <w:spacing w:after="0" w:line="10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If a NEO dies prior to meeting the vesting requirements under the DB SERP, no benefits are paid. As of December 31, 2020, Ms. Buck was fully vested in her DB SERP benefit and her estate would therefore be entitled to a payout of such benefits in the event of her death. If a NEO dies while participating in the CLRP, the value of the account balance at death is paid to the designated beneficiary. Mr. Reiman participates in the CLRP, so his designated beneficiary would be entitled to such payout in the event of his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1111" w:right="379" w:bottom="1440" w:gutter="0" w:footer="0" w:header="0"/>
        </w:sectPr>
      </w:pPr>
    </w:p>
    <w:bookmarkStart w:id="80" w:name="page81"/>
    <w:bookmarkEnd w:id="80"/>
    <w:p>
      <w:pPr>
        <w:spacing w:after="0" w:line="275" w:lineRule="auto"/>
        <w:rPr>
          <w:sz w:val="20"/>
          <w:szCs w:val="20"/>
          <w:color w:val="auto"/>
        </w:rPr>
      </w:pPr>
      <w:r>
        <w:rPr>
          <w:rFonts w:ascii="Arial" w:cs="Arial" w:eastAsia="Arial" w:hAnsi="Arial"/>
          <w:sz w:val="17"/>
          <w:szCs w:val="17"/>
          <w:color w:val="auto"/>
        </w:rPr>
        <w:t>If a NEO dies or becomes disabled prior to meeting the vesting requirements under the 401(k) plan or for the Supplemental 401(k) Match, Supplemental CRC or DC SERP benefits, the accrued amounts under those plans become vested. Messrs. Atkins, Raup and Reiman are not fully vested in their respective DC SERP benefits. In the event of death or disability, Messrs. Atkins, Raup and Reiman would have received $282,988, $12,913 and $80,174 respectively, as a result of vesting. Mr. Voskuil is not fully vested in the Supplemental 401(k) Match, Supplemental CRC or DC SERP benefits. In the event of death or disability, Mr. Voskuil would have received $331,137 as a result of vesting.</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event of termination due to disability, long-term disability (“LTD”) benefits are generally payable until age 65, but may extend longer if disability benefits begin after age 60, and are offset by other benefits such as Social Security. The maximum amount of the monthly LTD payments from all sources, assuming LTD began on December 31, 2020, is set forth in the table below:</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3480" w:type="dxa"/>
            <w:vAlign w:val="bottom"/>
            <w:tcBorders>
              <w:left w:val="single" w:sz="8" w:color="3F000B"/>
              <w:right w:val="single" w:sz="8" w:color="3F000B"/>
            </w:tcBorders>
            <w:shd w:val="clear" w:color="auto" w:fill="3F000B"/>
          </w:tcPr>
          <w:p>
            <w:pPr>
              <w:spacing w:after="0" w:line="20" w:lineRule="exact"/>
              <w:rPr>
                <w:sz w:val="1"/>
                <w:szCs w:val="1"/>
                <w:color w:val="auto"/>
              </w:rPr>
            </w:pPr>
          </w:p>
        </w:tc>
        <w:tc>
          <w:tcPr>
            <w:tcW w:w="1940" w:type="dxa"/>
            <w:vAlign w:val="bottom"/>
            <w:tcBorders>
              <w:right w:val="single" w:sz="8" w:color="3F000B"/>
            </w:tcBorders>
            <w:shd w:val="clear" w:color="auto" w:fill="3F000B"/>
          </w:tcPr>
          <w:p>
            <w:pPr>
              <w:spacing w:after="0" w:line="20" w:lineRule="exact"/>
              <w:rPr>
                <w:sz w:val="1"/>
                <w:szCs w:val="1"/>
                <w:color w:val="auto"/>
              </w:rPr>
            </w:pPr>
          </w:p>
        </w:tc>
        <w:tc>
          <w:tcPr>
            <w:tcW w:w="3860" w:type="dxa"/>
            <w:vAlign w:val="bottom"/>
            <w:tcBorders>
              <w:right w:val="single" w:sz="8" w:color="3F000B"/>
            </w:tcBorders>
            <w:gridSpan w:val="2"/>
            <w:vMerge w:val="restart"/>
            <w:shd w:val="clear" w:color="auto" w:fill="3F000B"/>
          </w:tcPr>
          <w:p>
            <w:pPr>
              <w:jc w:val="right"/>
              <w:ind w:right="730"/>
              <w:spacing w:after="0"/>
              <w:rPr>
                <w:sz w:val="20"/>
                <w:szCs w:val="20"/>
                <w:color w:val="auto"/>
              </w:rPr>
            </w:pPr>
            <w:r>
              <w:rPr>
                <w:rFonts w:ascii="Arial" w:cs="Arial" w:eastAsia="Arial" w:hAnsi="Arial"/>
                <w:sz w:val="18"/>
                <w:szCs w:val="18"/>
                <w:b w:val="1"/>
                <w:bCs w:val="1"/>
                <w:color w:val="FFFFFF"/>
              </w:rPr>
              <w:t>Long-Term Disability Benefit</w:t>
            </w:r>
          </w:p>
        </w:tc>
        <w:tc>
          <w:tcPr>
            <w:tcW w:w="1920" w:type="dxa"/>
            <w:vAlign w:val="bottom"/>
            <w:tcBorders>
              <w:right w:val="single" w:sz="8" w:color="3F000B"/>
            </w:tcBorders>
            <w:shd w:val="clear" w:color="auto" w:fill="3F000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left w:val="single" w:sz="8" w:color="3F000B"/>
              <w:right w:val="single" w:sz="8" w:color="3F000B"/>
            </w:tcBorders>
            <w:shd w:val="clear" w:color="auto" w:fill="3F000B"/>
          </w:tcPr>
          <w:p>
            <w:pPr>
              <w:spacing w:after="0"/>
              <w:rPr>
                <w:sz w:val="20"/>
                <w:szCs w:val="20"/>
                <w:color w:val="auto"/>
              </w:rPr>
            </w:pPr>
          </w:p>
        </w:tc>
        <w:tc>
          <w:tcPr>
            <w:tcW w:w="1940" w:type="dxa"/>
            <w:vAlign w:val="bottom"/>
            <w:tcBorders>
              <w:right w:val="single" w:sz="8" w:color="3F000B"/>
            </w:tcBorders>
            <w:shd w:val="clear" w:color="auto" w:fill="3F000B"/>
          </w:tcPr>
          <w:p>
            <w:pPr>
              <w:spacing w:after="0"/>
              <w:rPr>
                <w:sz w:val="20"/>
                <w:szCs w:val="20"/>
                <w:color w:val="auto"/>
              </w:rPr>
            </w:pPr>
          </w:p>
        </w:tc>
        <w:tc>
          <w:tcPr>
            <w:tcW w:w="3860" w:type="dxa"/>
            <w:vAlign w:val="bottom"/>
            <w:tcBorders>
              <w:right w:val="single" w:sz="8" w:color="3F000B"/>
            </w:tcBorders>
            <w:gridSpan w:val="2"/>
            <w:vMerge w:val="continue"/>
            <w:shd w:val="clear" w:color="auto" w:fill="3F000B"/>
          </w:tcPr>
          <w:p>
            <w:pPr>
              <w:spacing w:after="0"/>
              <w:rPr>
                <w:sz w:val="20"/>
                <w:szCs w:val="20"/>
                <w:color w:val="auto"/>
              </w:rPr>
            </w:pPr>
          </w:p>
        </w:tc>
        <w:tc>
          <w:tcPr>
            <w:tcW w:w="1920" w:type="dxa"/>
            <w:vAlign w:val="bottom"/>
            <w:tcBorders>
              <w:right w:val="single" w:sz="8" w:color="3F000B"/>
            </w:tcBorders>
            <w:shd w:val="clear" w:color="auto" w:fill="3F000B"/>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3480" w:type="dxa"/>
            <w:vAlign w:val="bottom"/>
            <w:tcBorders>
              <w:left w:val="single" w:sz="8" w:color="3F000B"/>
              <w:right w:val="single" w:sz="8" w:color="3F000B"/>
            </w:tcBorders>
            <w:shd w:val="clear" w:color="auto" w:fill="3F000B"/>
          </w:tcPr>
          <w:p>
            <w:pPr>
              <w:spacing w:after="0"/>
              <w:rPr>
                <w:sz w:val="6"/>
                <w:szCs w:val="6"/>
                <w:color w:val="auto"/>
              </w:rPr>
            </w:pPr>
          </w:p>
        </w:tc>
        <w:tc>
          <w:tcPr>
            <w:tcW w:w="1940" w:type="dxa"/>
            <w:vAlign w:val="bottom"/>
            <w:tcBorders>
              <w:right w:val="single" w:sz="8" w:color="3F000B"/>
            </w:tcBorders>
            <w:shd w:val="clear" w:color="auto" w:fill="3F000B"/>
          </w:tcPr>
          <w:p>
            <w:pPr>
              <w:spacing w:after="0"/>
              <w:rPr>
                <w:sz w:val="6"/>
                <w:szCs w:val="6"/>
                <w:color w:val="auto"/>
              </w:rPr>
            </w:pPr>
          </w:p>
        </w:tc>
        <w:tc>
          <w:tcPr>
            <w:tcW w:w="1920" w:type="dxa"/>
            <w:vAlign w:val="bottom"/>
            <w:tcBorders>
              <w:right w:val="single" w:sz="8" w:color="3F000B"/>
            </w:tcBorders>
            <w:shd w:val="clear" w:color="auto" w:fill="3F000B"/>
          </w:tcPr>
          <w:p>
            <w:pPr>
              <w:spacing w:after="0"/>
              <w:rPr>
                <w:sz w:val="6"/>
                <w:szCs w:val="6"/>
                <w:color w:val="auto"/>
              </w:rPr>
            </w:pPr>
          </w:p>
        </w:tc>
        <w:tc>
          <w:tcPr>
            <w:tcW w:w="1940" w:type="dxa"/>
            <w:vAlign w:val="bottom"/>
            <w:tcBorders>
              <w:right w:val="single" w:sz="8" w:color="3F000B"/>
            </w:tcBorders>
            <w:shd w:val="clear" w:color="auto" w:fill="3F000B"/>
          </w:tcPr>
          <w:p>
            <w:pPr>
              <w:spacing w:after="0"/>
              <w:rPr>
                <w:sz w:val="6"/>
                <w:szCs w:val="6"/>
                <w:color w:val="auto"/>
              </w:rPr>
            </w:pPr>
          </w:p>
        </w:tc>
        <w:tc>
          <w:tcPr>
            <w:tcW w:w="1920" w:type="dxa"/>
            <w:vAlign w:val="bottom"/>
            <w:tcBorders>
              <w:right w:val="single" w:sz="8" w:color="3F000B"/>
            </w:tcBorders>
            <w:shd w:val="clear" w:color="auto" w:fill="3F000B"/>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480" w:type="dxa"/>
            <w:vAlign w:val="bottom"/>
            <w:tcBorders>
              <w:left w:val="single" w:sz="8" w:color="3F000B"/>
              <w:right w:val="single" w:sz="8" w:color="3F000B"/>
            </w:tcBorders>
            <w:shd w:val="clear" w:color="auto" w:fill="3F000B"/>
          </w:tcPr>
          <w:p>
            <w:pPr>
              <w:spacing w:after="0"/>
              <w:rPr>
                <w:sz w:val="20"/>
                <w:szCs w:val="20"/>
                <w:color w:val="auto"/>
              </w:rPr>
            </w:pPr>
          </w:p>
        </w:tc>
        <w:tc>
          <w:tcPr>
            <w:tcW w:w="19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6"/>
              </w:rPr>
              <w:t>Maximum</w:t>
            </w:r>
          </w:p>
        </w:tc>
        <w:tc>
          <w:tcPr>
            <w:tcW w:w="192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Years and</w:t>
            </w:r>
          </w:p>
        </w:tc>
        <w:tc>
          <w:tcPr>
            <w:tcW w:w="1940" w:type="dxa"/>
            <w:vAlign w:val="bottom"/>
            <w:tcBorders>
              <w:right w:val="single" w:sz="8" w:color="DADADA"/>
            </w:tcBorders>
            <w:shd w:val="clear" w:color="auto" w:fill="3F000B"/>
          </w:tcPr>
          <w:p>
            <w:pPr>
              <w:spacing w:after="0"/>
              <w:rPr>
                <w:sz w:val="20"/>
                <w:szCs w:val="20"/>
                <w:color w:val="auto"/>
              </w:rPr>
            </w:pPr>
          </w:p>
        </w:tc>
        <w:tc>
          <w:tcPr>
            <w:tcW w:w="1920" w:type="dxa"/>
            <w:vAlign w:val="bottom"/>
            <w:tcBorders>
              <w:right w:val="single" w:sz="8" w:color="3F000B"/>
            </w:tcBorders>
            <w:shd w:val="clear" w:color="auto" w:fill="3F000B"/>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480" w:type="dxa"/>
            <w:vAlign w:val="bottom"/>
            <w:tcBorders>
              <w:left w:val="single" w:sz="8" w:color="3F000B"/>
              <w:right w:val="single" w:sz="8" w:color="3F000B"/>
            </w:tcBorders>
            <w:shd w:val="clear" w:color="auto" w:fill="3F000B"/>
          </w:tcPr>
          <w:p>
            <w:pPr>
              <w:spacing w:after="0"/>
              <w:rPr>
                <w:sz w:val="5"/>
                <w:szCs w:val="5"/>
                <w:color w:val="auto"/>
              </w:rPr>
            </w:pPr>
          </w:p>
        </w:tc>
        <w:tc>
          <w:tcPr>
            <w:tcW w:w="194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Monthly</w:t>
            </w:r>
          </w:p>
        </w:tc>
        <w:tc>
          <w:tcPr>
            <w:tcW w:w="1920" w:type="dxa"/>
            <w:vAlign w:val="bottom"/>
            <w:tcBorders>
              <w:right w:val="single" w:sz="8" w:color="DADADA"/>
            </w:tcBorders>
            <w:vMerge w:val="continue"/>
            <w:shd w:val="clear" w:color="auto" w:fill="3F000B"/>
          </w:tcPr>
          <w:p>
            <w:pPr>
              <w:spacing w:after="0"/>
              <w:rPr>
                <w:sz w:val="5"/>
                <w:szCs w:val="5"/>
                <w:color w:val="auto"/>
              </w:rPr>
            </w:pPr>
          </w:p>
        </w:tc>
        <w:tc>
          <w:tcPr>
            <w:tcW w:w="1940" w:type="dxa"/>
            <w:vAlign w:val="bottom"/>
            <w:tcBorders>
              <w:right w:val="single" w:sz="8" w:color="DADADA"/>
            </w:tcBorders>
            <w:shd w:val="clear" w:color="auto" w:fill="3F000B"/>
          </w:tcPr>
          <w:p>
            <w:pPr>
              <w:spacing w:after="0"/>
              <w:rPr>
                <w:sz w:val="5"/>
                <w:szCs w:val="5"/>
                <w:color w:val="auto"/>
              </w:rPr>
            </w:pPr>
          </w:p>
        </w:tc>
        <w:tc>
          <w:tcPr>
            <w:tcW w:w="192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2"/>
              </w:rPr>
              <w:t>Lump Sum</w:t>
            </w:r>
          </w:p>
        </w:tc>
        <w:tc>
          <w:tcPr>
            <w:tcW w:w="0" w:type="dxa"/>
            <w:vAlign w:val="bottom"/>
          </w:tcPr>
          <w:p>
            <w:pPr>
              <w:spacing w:after="0"/>
              <w:rPr>
                <w:sz w:val="1"/>
                <w:szCs w:val="1"/>
                <w:color w:val="auto"/>
              </w:rPr>
            </w:pPr>
          </w:p>
        </w:tc>
      </w:tr>
      <w:tr>
        <w:trPr>
          <w:trHeight w:val="167"/>
        </w:trPr>
        <w:tc>
          <w:tcPr>
            <w:tcW w:w="3480" w:type="dxa"/>
            <w:vAlign w:val="bottom"/>
            <w:tcBorders>
              <w:left w:val="single" w:sz="8" w:color="3F000B"/>
              <w:right w:val="single" w:sz="8" w:color="3F000B"/>
            </w:tcBorders>
            <w:shd w:val="clear" w:color="auto" w:fill="3F000B"/>
          </w:tcPr>
          <w:p>
            <w:pPr>
              <w:spacing w:after="0"/>
              <w:rPr>
                <w:sz w:val="14"/>
                <w:szCs w:val="14"/>
                <w:color w:val="auto"/>
              </w:rPr>
            </w:pPr>
          </w:p>
        </w:tc>
        <w:tc>
          <w:tcPr>
            <w:tcW w:w="1940" w:type="dxa"/>
            <w:vAlign w:val="bottom"/>
            <w:tcBorders>
              <w:right w:val="single" w:sz="8" w:color="DADADA"/>
            </w:tcBorders>
            <w:vMerge w:val="continue"/>
            <w:shd w:val="clear" w:color="auto" w:fill="3F000B"/>
          </w:tcPr>
          <w:p>
            <w:pPr>
              <w:spacing w:after="0"/>
              <w:rPr>
                <w:sz w:val="14"/>
                <w:szCs w:val="14"/>
                <w:color w:val="auto"/>
              </w:rPr>
            </w:pPr>
          </w:p>
        </w:tc>
        <w:tc>
          <w:tcPr>
            <w:tcW w:w="192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3"/>
              </w:rPr>
              <w:t>Months Until End</w:t>
            </w:r>
          </w:p>
        </w:tc>
        <w:tc>
          <w:tcPr>
            <w:tcW w:w="1940" w:type="dxa"/>
            <w:vAlign w:val="bottom"/>
            <w:tcBorders>
              <w:right w:val="single" w:sz="8" w:color="DADADA"/>
            </w:tcBorders>
            <w:shd w:val="clear" w:color="auto" w:fill="3F000B"/>
          </w:tcPr>
          <w:p>
            <w:pPr>
              <w:spacing w:after="0"/>
              <w:rPr>
                <w:sz w:val="14"/>
                <w:szCs w:val="14"/>
                <w:color w:val="auto"/>
              </w:rPr>
            </w:pPr>
          </w:p>
        </w:tc>
        <w:tc>
          <w:tcPr>
            <w:tcW w:w="1920" w:type="dxa"/>
            <w:vAlign w:val="bottom"/>
            <w:tcBorders>
              <w:right w:val="single" w:sz="8" w:color="3F000B"/>
            </w:tcBorders>
            <w:vMerge w:val="continue"/>
            <w:shd w:val="clear" w:color="auto" w:fill="3F000B"/>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480" w:type="dxa"/>
            <w:vAlign w:val="bottom"/>
            <w:tcBorders>
              <w:left w:val="single" w:sz="8" w:color="3F000B"/>
              <w:right w:val="single" w:sz="8" w:color="3F000B"/>
            </w:tcBorders>
            <w:shd w:val="clear" w:color="auto" w:fill="3F000B"/>
          </w:tcPr>
          <w:p>
            <w:pPr>
              <w:spacing w:after="0"/>
              <w:rPr>
                <w:sz w:val="4"/>
                <w:szCs w:val="4"/>
                <w:color w:val="auto"/>
              </w:rPr>
            </w:pPr>
          </w:p>
        </w:tc>
        <w:tc>
          <w:tcPr>
            <w:tcW w:w="194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4"/>
              </w:rPr>
              <w:t>Amount</w:t>
            </w:r>
          </w:p>
        </w:tc>
        <w:tc>
          <w:tcPr>
            <w:tcW w:w="1920" w:type="dxa"/>
            <w:vAlign w:val="bottom"/>
            <w:tcBorders>
              <w:right w:val="single" w:sz="8" w:color="DADADA"/>
            </w:tcBorders>
            <w:vMerge w:val="continue"/>
            <w:shd w:val="clear" w:color="auto" w:fill="3F000B"/>
          </w:tcPr>
          <w:p>
            <w:pPr>
              <w:spacing w:after="0"/>
              <w:rPr>
                <w:sz w:val="4"/>
                <w:szCs w:val="4"/>
                <w:color w:val="auto"/>
              </w:rPr>
            </w:pPr>
          </w:p>
        </w:tc>
        <w:tc>
          <w:tcPr>
            <w:tcW w:w="1940" w:type="dxa"/>
            <w:vAlign w:val="bottom"/>
            <w:tcBorders>
              <w:right w:val="single" w:sz="8" w:color="DADADA"/>
            </w:tcBorders>
            <w:vMerge w:val="restart"/>
            <w:shd w:val="clear" w:color="auto" w:fill="3F000B"/>
          </w:tcPr>
          <w:p>
            <w:pPr>
              <w:jc w:val="right"/>
              <w:ind w:right="210"/>
              <w:spacing w:after="0"/>
              <w:rPr>
                <w:sz w:val="20"/>
                <w:szCs w:val="20"/>
                <w:color w:val="auto"/>
              </w:rPr>
            </w:pPr>
            <w:r>
              <w:rPr>
                <w:rFonts w:ascii="Arial" w:cs="Arial" w:eastAsia="Arial" w:hAnsi="Arial"/>
                <w:sz w:val="18"/>
                <w:szCs w:val="18"/>
                <w:b w:val="1"/>
                <w:bCs w:val="1"/>
                <w:color w:val="FFFFFF"/>
              </w:rPr>
              <w:t>Total of Payments</w:t>
            </w:r>
          </w:p>
        </w:tc>
        <w:tc>
          <w:tcPr>
            <w:tcW w:w="1920" w:type="dxa"/>
            <w:vAlign w:val="bottom"/>
            <w:tcBorders>
              <w:right w:val="single" w:sz="8" w:color="3F000B"/>
            </w:tcBorders>
            <w:vMerge w:val="restart"/>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Benefit</w:t>
            </w:r>
            <w:r>
              <w:rPr>
                <w:rFonts w:ascii="Arial" w:cs="Arial" w:eastAsia="Arial" w:hAnsi="Arial"/>
                <w:sz w:val="10"/>
                <w:szCs w:val="10"/>
                <w:b w:val="1"/>
                <w:bCs w:val="1"/>
                <w:color w:val="FFFFFF"/>
                <w:w w:val="90"/>
              </w:rPr>
              <w:t>(1)</w:t>
            </w:r>
          </w:p>
        </w:tc>
        <w:tc>
          <w:tcPr>
            <w:tcW w:w="0" w:type="dxa"/>
            <w:vAlign w:val="bottom"/>
          </w:tcPr>
          <w:p>
            <w:pPr>
              <w:spacing w:after="0"/>
              <w:rPr>
                <w:sz w:val="1"/>
                <w:szCs w:val="1"/>
                <w:color w:val="auto"/>
              </w:rPr>
            </w:pPr>
          </w:p>
        </w:tc>
      </w:tr>
      <w:tr>
        <w:trPr>
          <w:trHeight w:val="216"/>
        </w:trPr>
        <w:tc>
          <w:tcPr>
            <w:tcW w:w="3480" w:type="dxa"/>
            <w:vAlign w:val="bottom"/>
            <w:tcBorders>
              <w:left w:val="single" w:sz="8" w:color="3F000B"/>
              <w:right w:val="single" w:sz="8" w:color="3F000B"/>
            </w:tcBorders>
            <w:shd w:val="clear" w:color="auto" w:fill="3F000B"/>
          </w:tcPr>
          <w:p>
            <w:pPr>
              <w:spacing w:after="0"/>
              <w:rPr>
                <w:sz w:val="18"/>
                <w:szCs w:val="18"/>
                <w:color w:val="auto"/>
              </w:rPr>
            </w:pPr>
          </w:p>
        </w:tc>
        <w:tc>
          <w:tcPr>
            <w:tcW w:w="1940" w:type="dxa"/>
            <w:vAlign w:val="bottom"/>
            <w:tcBorders>
              <w:right w:val="single" w:sz="8" w:color="DADADA"/>
            </w:tcBorders>
            <w:vMerge w:val="continue"/>
            <w:shd w:val="clear" w:color="auto" w:fill="3F000B"/>
          </w:tcPr>
          <w:p>
            <w:pPr>
              <w:spacing w:after="0"/>
              <w:rPr>
                <w:sz w:val="18"/>
                <w:szCs w:val="18"/>
                <w:color w:val="auto"/>
              </w:rPr>
            </w:pPr>
          </w:p>
        </w:tc>
        <w:tc>
          <w:tcPr>
            <w:tcW w:w="19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of LTD Benefits</w:t>
            </w:r>
          </w:p>
        </w:tc>
        <w:tc>
          <w:tcPr>
            <w:tcW w:w="1940" w:type="dxa"/>
            <w:vAlign w:val="bottom"/>
            <w:tcBorders>
              <w:right w:val="single" w:sz="8" w:color="DADADA"/>
            </w:tcBorders>
            <w:vMerge w:val="continue"/>
            <w:shd w:val="clear" w:color="auto" w:fill="3F000B"/>
          </w:tcPr>
          <w:p>
            <w:pPr>
              <w:spacing w:after="0"/>
              <w:rPr>
                <w:sz w:val="18"/>
                <w:szCs w:val="18"/>
                <w:color w:val="auto"/>
              </w:rPr>
            </w:pPr>
          </w:p>
        </w:tc>
        <w:tc>
          <w:tcPr>
            <w:tcW w:w="1920" w:type="dxa"/>
            <w:vAlign w:val="bottom"/>
            <w:tcBorders>
              <w:right w:val="single" w:sz="8" w:color="3F000B"/>
            </w:tcBorders>
            <w:vMerge w:val="continue"/>
            <w:shd w:val="clear" w:color="auto" w:fill="3F000B"/>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Borders>
              <w:left w:val="single" w:sz="8" w:color="3F000B"/>
              <w:right w:val="single" w:sz="8" w:color="3F000B"/>
            </w:tcBorders>
            <w:shd w:val="clear" w:color="auto" w:fill="3F000B"/>
          </w:tcPr>
          <w:p>
            <w:pPr>
              <w:ind w:left="1520"/>
              <w:spacing w:after="0"/>
              <w:rPr>
                <w:sz w:val="20"/>
                <w:szCs w:val="20"/>
                <w:color w:val="auto"/>
              </w:rPr>
            </w:pPr>
            <w:r>
              <w:rPr>
                <w:rFonts w:ascii="Arial" w:cs="Arial" w:eastAsia="Arial" w:hAnsi="Arial"/>
                <w:sz w:val="18"/>
                <w:szCs w:val="18"/>
                <w:b w:val="1"/>
                <w:bCs w:val="1"/>
                <w:color w:val="FFFFFF"/>
              </w:rPr>
              <w:t>Name</w:t>
            </w:r>
          </w:p>
        </w:tc>
        <w:tc>
          <w:tcPr>
            <w:tcW w:w="194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19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940" w:type="dxa"/>
            <w:vAlign w:val="bottom"/>
            <w:tcBorders>
              <w:right w:val="single" w:sz="8" w:color="DADADA"/>
            </w:tcBorders>
            <w:shd w:val="clear" w:color="auto" w:fill="3F000B"/>
          </w:tcPr>
          <w:p>
            <w:pPr>
              <w:jc w:val="right"/>
              <w:ind w:right="790"/>
              <w:spacing w:after="0"/>
              <w:rPr>
                <w:sz w:val="20"/>
                <w:szCs w:val="20"/>
                <w:color w:val="auto"/>
              </w:rPr>
            </w:pPr>
            <w:r>
              <w:rPr>
                <w:rFonts w:ascii="Arial" w:cs="Arial" w:eastAsia="Arial" w:hAnsi="Arial"/>
                <w:sz w:val="18"/>
                <w:szCs w:val="18"/>
                <w:b w:val="1"/>
                <w:bCs w:val="1"/>
                <w:color w:val="FFFFFF"/>
              </w:rPr>
              <w:t>($)</w:t>
            </w:r>
          </w:p>
        </w:tc>
        <w:tc>
          <w:tcPr>
            <w:tcW w:w="192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67"/>
        </w:trPr>
        <w:tc>
          <w:tcPr>
            <w:tcW w:w="3480" w:type="dxa"/>
            <w:vAlign w:val="bottom"/>
            <w:tcBorders>
              <w:left w:val="single" w:sz="8" w:color="3F000B"/>
              <w:bottom w:val="single" w:sz="8" w:color="3F000B"/>
              <w:right w:val="single" w:sz="8" w:color="3F000B"/>
            </w:tcBorders>
            <w:shd w:val="clear" w:color="auto" w:fill="3F000B"/>
          </w:tcPr>
          <w:p>
            <w:pPr>
              <w:spacing w:after="0"/>
              <w:rPr>
                <w:sz w:val="5"/>
                <w:szCs w:val="5"/>
                <w:color w:val="auto"/>
              </w:rPr>
            </w:pPr>
          </w:p>
        </w:tc>
        <w:tc>
          <w:tcPr>
            <w:tcW w:w="1940" w:type="dxa"/>
            <w:vAlign w:val="bottom"/>
            <w:tcBorders>
              <w:bottom w:val="single" w:sz="8" w:color="3F000B"/>
              <w:right w:val="single" w:sz="8" w:color="DADADA"/>
            </w:tcBorders>
            <w:shd w:val="clear" w:color="auto" w:fill="3F000B"/>
          </w:tcPr>
          <w:p>
            <w:pPr>
              <w:spacing w:after="0"/>
              <w:rPr>
                <w:sz w:val="5"/>
                <w:szCs w:val="5"/>
                <w:color w:val="auto"/>
              </w:rPr>
            </w:pPr>
          </w:p>
        </w:tc>
        <w:tc>
          <w:tcPr>
            <w:tcW w:w="1920" w:type="dxa"/>
            <w:vAlign w:val="bottom"/>
            <w:tcBorders>
              <w:bottom w:val="single" w:sz="8" w:color="3F000B"/>
              <w:right w:val="single" w:sz="8" w:color="DADADA"/>
            </w:tcBorders>
            <w:shd w:val="clear" w:color="auto" w:fill="3F000B"/>
          </w:tcPr>
          <w:p>
            <w:pPr>
              <w:spacing w:after="0"/>
              <w:rPr>
                <w:sz w:val="5"/>
                <w:szCs w:val="5"/>
                <w:color w:val="auto"/>
              </w:rPr>
            </w:pPr>
          </w:p>
        </w:tc>
        <w:tc>
          <w:tcPr>
            <w:tcW w:w="1940" w:type="dxa"/>
            <w:vAlign w:val="bottom"/>
            <w:tcBorders>
              <w:bottom w:val="single" w:sz="8" w:color="3F000B"/>
              <w:right w:val="single" w:sz="8" w:color="DADADA"/>
            </w:tcBorders>
            <w:shd w:val="clear" w:color="auto" w:fill="3F000B"/>
          </w:tcPr>
          <w:p>
            <w:pPr>
              <w:spacing w:after="0"/>
              <w:rPr>
                <w:sz w:val="5"/>
                <w:szCs w:val="5"/>
                <w:color w:val="auto"/>
              </w:rPr>
            </w:pPr>
          </w:p>
        </w:tc>
        <w:tc>
          <w:tcPr>
            <w:tcW w:w="1920" w:type="dxa"/>
            <w:vAlign w:val="bottom"/>
            <w:tcBorders>
              <w:bottom w:val="single" w:sz="8" w:color="3F000B"/>
              <w:right w:val="single" w:sz="8" w:color="3F000B"/>
            </w:tcBorders>
            <w:shd w:val="clear" w:color="auto" w:fill="3F000B"/>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19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35,000</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5 years 9 months</w:t>
            </w:r>
          </w:p>
        </w:tc>
        <w:tc>
          <w:tcPr>
            <w:tcW w:w="19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2,415,000</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49,693</w:t>
            </w:r>
          </w:p>
        </w:tc>
        <w:tc>
          <w:tcPr>
            <w:tcW w:w="0" w:type="dxa"/>
            <w:vAlign w:val="bottom"/>
          </w:tcPr>
          <w:p>
            <w:pPr>
              <w:spacing w:after="0"/>
              <w:rPr>
                <w:sz w:val="1"/>
                <w:szCs w:val="1"/>
                <w:color w:val="auto"/>
              </w:rPr>
            </w:pPr>
          </w:p>
        </w:tc>
      </w:tr>
      <w:tr>
        <w:trPr>
          <w:trHeight w:val="27"/>
        </w:trPr>
        <w:tc>
          <w:tcPr>
            <w:tcW w:w="3480" w:type="dxa"/>
            <w:vAlign w:val="bottom"/>
            <w:tcBorders>
              <w:left w:val="single" w:sz="8" w:color="3F000B"/>
              <w:right w:val="single" w:sz="8" w:color="3F000B"/>
            </w:tcBorders>
          </w:tcPr>
          <w:p>
            <w:pPr>
              <w:spacing w:after="0"/>
              <w:rPr>
                <w:sz w:val="2"/>
                <w:szCs w:val="2"/>
                <w:color w:val="auto"/>
              </w:rPr>
            </w:pPr>
          </w:p>
        </w:tc>
        <w:tc>
          <w:tcPr>
            <w:tcW w:w="1940" w:type="dxa"/>
            <w:vAlign w:val="bottom"/>
            <w:tcBorders>
              <w:right w:val="single" w:sz="8" w:color="3F000B"/>
            </w:tcBorders>
          </w:tcPr>
          <w:p>
            <w:pPr>
              <w:spacing w:after="0"/>
              <w:rPr>
                <w:sz w:val="2"/>
                <w:szCs w:val="2"/>
                <w:color w:val="auto"/>
              </w:rPr>
            </w:pPr>
          </w:p>
        </w:tc>
        <w:tc>
          <w:tcPr>
            <w:tcW w:w="1920" w:type="dxa"/>
            <w:vAlign w:val="bottom"/>
            <w:tcBorders>
              <w:right w:val="single" w:sz="8" w:color="3F000B"/>
            </w:tcBorders>
          </w:tcPr>
          <w:p>
            <w:pPr>
              <w:spacing w:after="0"/>
              <w:rPr>
                <w:sz w:val="2"/>
                <w:szCs w:val="2"/>
                <w:color w:val="auto"/>
              </w:rPr>
            </w:pPr>
          </w:p>
        </w:tc>
        <w:tc>
          <w:tcPr>
            <w:tcW w:w="1940" w:type="dxa"/>
            <w:vAlign w:val="bottom"/>
            <w:tcBorders>
              <w:right w:val="single" w:sz="8" w:color="3F000B"/>
            </w:tcBorders>
          </w:tcPr>
          <w:p>
            <w:pPr>
              <w:spacing w:after="0"/>
              <w:rPr>
                <w:sz w:val="2"/>
                <w:szCs w:val="2"/>
                <w:color w:val="auto"/>
              </w:rPr>
            </w:pPr>
          </w:p>
        </w:tc>
        <w:tc>
          <w:tcPr>
            <w:tcW w:w="192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194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25,000</w:t>
            </w:r>
          </w:p>
        </w:tc>
        <w:tc>
          <w:tcPr>
            <w:tcW w:w="19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12 years 9 months</w:t>
            </w:r>
          </w:p>
        </w:tc>
        <w:tc>
          <w:tcPr>
            <w:tcW w:w="194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3,825,000</w:t>
            </w:r>
          </w:p>
        </w:tc>
        <w:tc>
          <w:tcPr>
            <w:tcW w:w="19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686,966</w:t>
            </w:r>
          </w:p>
        </w:tc>
        <w:tc>
          <w:tcPr>
            <w:tcW w:w="0" w:type="dxa"/>
            <w:vAlign w:val="bottom"/>
          </w:tcPr>
          <w:p>
            <w:pPr>
              <w:spacing w:after="0"/>
              <w:rPr>
                <w:sz w:val="1"/>
                <w:szCs w:val="1"/>
                <w:color w:val="auto"/>
              </w:rPr>
            </w:pPr>
          </w:p>
        </w:tc>
      </w:tr>
      <w:tr>
        <w:trPr>
          <w:trHeight w:val="270"/>
        </w:trPr>
        <w:tc>
          <w:tcPr>
            <w:tcW w:w="34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19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25,000</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11 years 7 months</w:t>
            </w:r>
          </w:p>
        </w:tc>
        <w:tc>
          <w:tcPr>
            <w:tcW w:w="19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3,475,000</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259,178</w:t>
            </w:r>
          </w:p>
        </w:tc>
        <w:tc>
          <w:tcPr>
            <w:tcW w:w="0" w:type="dxa"/>
            <w:vAlign w:val="bottom"/>
          </w:tcPr>
          <w:p>
            <w:pPr>
              <w:spacing w:after="0"/>
              <w:rPr>
                <w:sz w:val="1"/>
                <w:szCs w:val="1"/>
                <w:color w:val="auto"/>
              </w:rPr>
            </w:pPr>
          </w:p>
        </w:tc>
      </w:tr>
      <w:tr>
        <w:trPr>
          <w:trHeight w:val="250"/>
        </w:trPr>
        <w:tc>
          <w:tcPr>
            <w:tcW w:w="34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194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25,000</w:t>
            </w:r>
          </w:p>
        </w:tc>
        <w:tc>
          <w:tcPr>
            <w:tcW w:w="19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15 years 7 months</w:t>
            </w:r>
          </w:p>
        </w:tc>
        <w:tc>
          <w:tcPr>
            <w:tcW w:w="194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4,675,000</w:t>
            </w:r>
          </w:p>
        </w:tc>
        <w:tc>
          <w:tcPr>
            <w:tcW w:w="19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417,736</w:t>
            </w:r>
          </w:p>
        </w:tc>
        <w:tc>
          <w:tcPr>
            <w:tcW w:w="0" w:type="dxa"/>
            <w:vAlign w:val="bottom"/>
          </w:tcPr>
          <w:p>
            <w:pPr>
              <w:spacing w:after="0"/>
              <w:rPr>
                <w:sz w:val="1"/>
                <w:szCs w:val="1"/>
                <w:color w:val="auto"/>
              </w:rPr>
            </w:pPr>
          </w:p>
        </w:tc>
      </w:tr>
      <w:tr>
        <w:trPr>
          <w:trHeight w:val="243"/>
        </w:trPr>
        <w:tc>
          <w:tcPr>
            <w:tcW w:w="34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19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25,000</w:t>
            </w:r>
          </w:p>
        </w:tc>
        <w:tc>
          <w:tcPr>
            <w:tcW w:w="1920" w:type="dxa"/>
            <w:vAlign w:val="bottom"/>
            <w:tcBorders>
              <w:right w:val="single" w:sz="8" w:color="3F000B"/>
            </w:tcBorders>
          </w:tcPr>
          <w:p>
            <w:pPr>
              <w:jc w:val="right"/>
              <w:ind w:right="350"/>
              <w:spacing w:after="0"/>
              <w:rPr>
                <w:sz w:val="20"/>
                <w:szCs w:val="20"/>
                <w:color w:val="auto"/>
              </w:rPr>
            </w:pPr>
            <w:r>
              <w:rPr>
                <w:rFonts w:ascii="Arial" w:cs="Arial" w:eastAsia="Arial" w:hAnsi="Arial"/>
                <w:sz w:val="18"/>
                <w:szCs w:val="18"/>
                <w:color w:val="auto"/>
                <w:w w:val="98"/>
              </w:rPr>
              <w:t>14 years 4 months</w:t>
            </w:r>
          </w:p>
        </w:tc>
        <w:tc>
          <w:tcPr>
            <w:tcW w:w="194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4,300,000</w:t>
            </w:r>
          </w:p>
        </w:tc>
        <w:tc>
          <w:tcPr>
            <w:tcW w:w="19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627,741</w:t>
            </w:r>
          </w:p>
        </w:tc>
        <w:tc>
          <w:tcPr>
            <w:tcW w:w="0" w:type="dxa"/>
            <w:vAlign w:val="bottom"/>
          </w:tcPr>
          <w:p>
            <w:pPr>
              <w:spacing w:after="0"/>
              <w:rPr>
                <w:sz w:val="1"/>
                <w:szCs w:val="1"/>
                <w:color w:val="auto"/>
              </w:rPr>
            </w:pPr>
          </w:p>
        </w:tc>
      </w:tr>
      <w:tr>
        <w:trPr>
          <w:trHeight w:val="27"/>
        </w:trPr>
        <w:tc>
          <w:tcPr>
            <w:tcW w:w="3480" w:type="dxa"/>
            <w:vAlign w:val="bottom"/>
            <w:tcBorders>
              <w:left w:val="single" w:sz="8" w:color="3F000B"/>
              <w:bottom w:val="single" w:sz="8" w:color="3F000B"/>
              <w:right w:val="single" w:sz="8" w:color="3F000B"/>
            </w:tcBorders>
          </w:tcPr>
          <w:p>
            <w:pPr>
              <w:spacing w:after="0"/>
              <w:rPr>
                <w:sz w:val="2"/>
                <w:szCs w:val="2"/>
                <w:color w:val="auto"/>
              </w:rPr>
            </w:pPr>
          </w:p>
        </w:tc>
        <w:tc>
          <w:tcPr>
            <w:tcW w:w="1940" w:type="dxa"/>
            <w:vAlign w:val="bottom"/>
            <w:tcBorders>
              <w:bottom w:val="single" w:sz="8" w:color="3F000B"/>
              <w:right w:val="single" w:sz="8" w:color="3F000B"/>
            </w:tcBorders>
          </w:tcPr>
          <w:p>
            <w:pPr>
              <w:spacing w:after="0"/>
              <w:rPr>
                <w:sz w:val="2"/>
                <w:szCs w:val="2"/>
                <w:color w:val="auto"/>
              </w:rPr>
            </w:pPr>
          </w:p>
        </w:tc>
        <w:tc>
          <w:tcPr>
            <w:tcW w:w="1920" w:type="dxa"/>
            <w:vAlign w:val="bottom"/>
            <w:tcBorders>
              <w:bottom w:val="single" w:sz="8" w:color="3F000B"/>
              <w:right w:val="single" w:sz="8" w:color="3F000B"/>
            </w:tcBorders>
          </w:tcPr>
          <w:p>
            <w:pPr>
              <w:spacing w:after="0"/>
              <w:rPr>
                <w:sz w:val="2"/>
                <w:szCs w:val="2"/>
                <w:color w:val="auto"/>
              </w:rPr>
            </w:pPr>
          </w:p>
        </w:tc>
        <w:tc>
          <w:tcPr>
            <w:tcW w:w="1940" w:type="dxa"/>
            <w:vAlign w:val="bottom"/>
            <w:tcBorders>
              <w:bottom w:val="single" w:sz="8" w:color="3F000B"/>
              <w:right w:val="single" w:sz="8" w:color="3F000B"/>
            </w:tcBorders>
          </w:tcPr>
          <w:p>
            <w:pPr>
              <w:spacing w:after="0"/>
              <w:rPr>
                <w:sz w:val="2"/>
                <w:szCs w:val="2"/>
                <w:color w:val="auto"/>
              </w:rPr>
            </w:pPr>
          </w:p>
        </w:tc>
        <w:tc>
          <w:tcPr>
            <w:tcW w:w="192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hanging="332"/>
        <w:spacing w:after="0" w:line="273" w:lineRule="auto"/>
        <w:tabs>
          <w:tab w:leader="none" w:pos="332" w:val="left"/>
        </w:tabs>
        <w:numPr>
          <w:ilvl w:val="0"/>
          <w:numId w:val="157"/>
        </w:numPr>
        <w:rPr>
          <w:rFonts w:ascii="Arial" w:cs="Arial" w:eastAsia="Arial" w:hAnsi="Arial"/>
          <w:sz w:val="13"/>
          <w:szCs w:val="13"/>
          <w:color w:val="auto"/>
        </w:rPr>
      </w:pPr>
      <w:r>
        <w:rPr>
          <w:rFonts w:ascii="Arial" w:cs="Arial" w:eastAsia="Arial" w:hAnsi="Arial"/>
          <w:sz w:val="13"/>
          <w:szCs w:val="13"/>
          <w:color w:val="auto"/>
        </w:rPr>
        <w:t>For Ms. Buck and Mr. Reiman, the amounts reflect pension plan benefits payable at age 65 that are attributable to benefit service credited during the disability period, along with additional SRC contributions through the year prior to which they reach age 65. For the DB SERP, Ms. Buck has reached the service limit and would receive no incremental benefits in the event of her disability. For Mr. Reiman, amounts also reflect an additional two years of CLRP and DC SERP credits and vesting in his DC SERP upon disability. For Messrs. Atkins and Raup, amounts reflect an additional two years of CRC, Supplemental CRC and DC SERP credits and vesting in their respective DC SERP upon disability. For Mr. Voskuil, amounts reflect an additional two years of CRC, Supplemental CRC and DC SERP credits and vesting in his 401(k) Match, CRC, Supplemental 401(k) Match, Supplemental CRC and DC SERP upon disability.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Treatment of Stock Options upon Retirement, Death or Disability</w:t>
      </w:r>
    </w:p>
    <w:p>
      <w:pPr>
        <w:spacing w:after="0" w:line="15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event of retirement, death or disability, vested stock options remain exercisable for a period of three or five years, not to exceed the option expiration date. The exercise period is based upon the terms and conditions of the individual grant. Retirement is defined as separation after attainment of age 55 with at least five years of continuous service.</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Options that are not vested at the time of retirement, death or disability will generally vest in full (subject to the exception described in the following sentence) and the options will remain exercisable for three or five years following termination, depending on the terms and conditions of the grant. Options granted in the year of retirement are prorated based upon the number of full calendar months worked in that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057" w:right="359" w:bottom="1440" w:gutter="0" w:footer="0" w:header="0"/>
        </w:sectPr>
      </w:pPr>
    </w:p>
    <w:bookmarkStart w:id="81" w:name="page82"/>
    <w:bookmarkEnd w:id="81"/>
    <w:p>
      <w:pPr>
        <w:spacing w:after="0" w:line="292" w:lineRule="auto"/>
        <w:rPr>
          <w:sz w:val="20"/>
          <w:szCs w:val="20"/>
          <w:color w:val="auto"/>
        </w:rPr>
      </w:pPr>
      <w:r>
        <w:rPr>
          <w:rFonts w:ascii="Arial" w:cs="Arial" w:eastAsia="Arial" w:hAnsi="Arial"/>
          <w:sz w:val="16"/>
          <w:szCs w:val="16"/>
          <w:color w:val="auto"/>
        </w:rPr>
        <w:t>The following table provides the number of unvested stock options that would have become vested and remained exercisable during the three-year or five-year periods following death or disability, or retirement if applicable, on December 31, 2020, and the value of those options based on the excess of the fair market value of our Common Stock on December 31, 2020, the last trading day of 2020, over the applicable option exercise price. As of December 31, 2020, Ms. Buck was considered retirement eligible based on the provisions of all outstanding option awards. Because Messrs. Atkins, Raup and Reiman were not considered retirement eligible as of December 31, 2020, they would have forfeited 6,113 stock options, 2,847 stock options and 2,435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options, respectively, upon voluntary separation. Mr. Voskuil does not have any outstanding stock options.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380" w:type="dxa"/>
            <w:vAlign w:val="bottom"/>
            <w:tcBorders>
              <w:top w:val="single" w:sz="8" w:color="3F000B"/>
              <w:left w:val="single" w:sz="8" w:color="3F000B"/>
              <w:right w:val="single" w:sz="8" w:color="DADADA"/>
            </w:tcBorders>
            <w:shd w:val="clear" w:color="auto" w:fill="3F000B"/>
          </w:tcPr>
          <w:p>
            <w:pPr>
              <w:spacing w:after="0"/>
              <w:rPr>
                <w:sz w:val="22"/>
                <w:szCs w:val="22"/>
                <w:color w:val="auto"/>
              </w:rPr>
            </w:pPr>
          </w:p>
        </w:tc>
        <w:tc>
          <w:tcPr>
            <w:tcW w:w="2420" w:type="dxa"/>
            <w:vAlign w:val="bottom"/>
            <w:tcBorders>
              <w:top w:val="single" w:sz="8" w:color="3F000B"/>
            </w:tcBorders>
            <w:gridSpan w:val="2"/>
            <w:shd w:val="clear" w:color="auto" w:fill="3F000B"/>
          </w:tcPr>
          <w:p>
            <w:pPr>
              <w:ind w:left="1280"/>
              <w:spacing w:after="0"/>
              <w:rPr>
                <w:sz w:val="20"/>
                <w:szCs w:val="20"/>
                <w:color w:val="auto"/>
              </w:rPr>
            </w:pPr>
            <w:r>
              <w:rPr>
                <w:rFonts w:ascii="Arial" w:cs="Arial" w:eastAsia="Arial" w:hAnsi="Arial"/>
                <w:sz w:val="18"/>
                <w:szCs w:val="18"/>
                <w:b w:val="1"/>
                <w:bCs w:val="1"/>
                <w:color w:val="FFFFFF"/>
                <w:w w:val="91"/>
              </w:rPr>
              <w:t>Stock Options</w:t>
            </w:r>
          </w:p>
        </w:tc>
        <w:tc>
          <w:tcPr>
            <w:tcW w:w="1260" w:type="dxa"/>
            <w:vAlign w:val="bottom"/>
            <w:tcBorders>
              <w:top w:val="single" w:sz="8" w:color="3F000B"/>
              <w:right w:val="single" w:sz="8" w:color="3F000B"/>
            </w:tcBorders>
            <w:shd w:val="clear" w:color="auto" w:fill="3F000B"/>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7380" w:type="dxa"/>
            <w:vAlign w:val="bottom"/>
            <w:tcBorders>
              <w:left w:val="single" w:sz="8" w:color="3F000B"/>
              <w:right w:val="single" w:sz="8" w:color="DADADA"/>
            </w:tcBorders>
            <w:shd w:val="clear" w:color="auto" w:fill="3F000B"/>
          </w:tcPr>
          <w:p>
            <w:pPr>
              <w:spacing w:after="0"/>
              <w:rPr>
                <w:sz w:val="6"/>
                <w:szCs w:val="6"/>
                <w:color w:val="auto"/>
              </w:rPr>
            </w:pPr>
          </w:p>
        </w:tc>
        <w:tc>
          <w:tcPr>
            <w:tcW w:w="2420" w:type="dxa"/>
            <w:vAlign w:val="bottom"/>
            <w:gridSpan w:val="2"/>
            <w:shd w:val="clear" w:color="auto" w:fill="3F000B"/>
          </w:tcPr>
          <w:p>
            <w:pPr>
              <w:spacing w:after="0"/>
              <w:rPr>
                <w:sz w:val="6"/>
                <w:szCs w:val="6"/>
                <w:color w:val="auto"/>
              </w:rPr>
            </w:pPr>
          </w:p>
        </w:tc>
        <w:tc>
          <w:tcPr>
            <w:tcW w:w="1260" w:type="dxa"/>
            <w:vAlign w:val="bottom"/>
            <w:tcBorders>
              <w:right w:val="single" w:sz="8" w:color="3F000B"/>
            </w:tcBorders>
            <w:shd w:val="clear" w:color="auto" w:fill="3F000B"/>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7380" w:type="dxa"/>
            <w:vAlign w:val="bottom"/>
            <w:tcBorders>
              <w:left w:val="single" w:sz="8" w:color="3F000B"/>
              <w:right w:val="single" w:sz="8" w:color="DADADA"/>
            </w:tcBorders>
            <w:vMerge w:val="restart"/>
            <w:shd w:val="clear" w:color="auto" w:fill="3F000B"/>
          </w:tcPr>
          <w:p>
            <w:pPr>
              <w:ind w:left="3460"/>
              <w:spacing w:after="0"/>
              <w:rPr>
                <w:sz w:val="20"/>
                <w:szCs w:val="20"/>
                <w:color w:val="auto"/>
              </w:rPr>
            </w:pPr>
            <w:r>
              <w:rPr>
                <w:rFonts w:ascii="Arial" w:cs="Arial" w:eastAsia="Arial" w:hAnsi="Arial"/>
                <w:sz w:val="18"/>
                <w:szCs w:val="18"/>
                <w:b w:val="1"/>
                <w:bCs w:val="1"/>
                <w:color w:val="FFFFFF"/>
              </w:rPr>
              <w:t>Name</w:t>
            </w:r>
          </w:p>
        </w:tc>
        <w:tc>
          <w:tcPr>
            <w:tcW w:w="1820" w:type="dxa"/>
            <w:vAlign w:val="bottom"/>
            <w:tcBorders>
              <w:right w:val="single" w:sz="8" w:color="DADADA"/>
            </w:tcBorders>
            <w:shd w:val="clear" w:color="auto" w:fill="3F000B"/>
          </w:tcPr>
          <w:p>
            <w:pPr>
              <w:jc w:val="right"/>
              <w:ind w:right="450"/>
              <w:spacing w:after="0"/>
              <w:rPr>
                <w:sz w:val="20"/>
                <w:szCs w:val="20"/>
                <w:color w:val="auto"/>
              </w:rPr>
            </w:pPr>
            <w:r>
              <w:rPr>
                <w:rFonts w:ascii="Arial" w:cs="Arial" w:eastAsia="Arial" w:hAnsi="Arial"/>
                <w:sz w:val="18"/>
                <w:szCs w:val="18"/>
                <w:b w:val="1"/>
                <w:bCs w:val="1"/>
                <w:color w:val="FFFFFF"/>
              </w:rPr>
              <w:t>Number</w:t>
            </w:r>
            <w:r>
              <w:rPr>
                <w:rFonts w:ascii="Arial" w:cs="Arial" w:eastAsia="Arial" w:hAnsi="Arial"/>
                <w:sz w:val="21"/>
                <w:szCs w:val="21"/>
                <w:b w:val="1"/>
                <w:bCs w:val="1"/>
                <w:color w:val="FFFFFF"/>
                <w:vertAlign w:val="superscript"/>
              </w:rPr>
              <w:t>(1)</w:t>
            </w:r>
          </w:p>
        </w:tc>
        <w:tc>
          <w:tcPr>
            <w:tcW w:w="600" w:type="dxa"/>
            <w:vAlign w:val="bottom"/>
            <w:shd w:val="clear" w:color="auto" w:fill="3F000B"/>
          </w:tcPr>
          <w:p>
            <w:pPr>
              <w:spacing w:after="0"/>
              <w:rPr>
                <w:sz w:val="24"/>
                <w:szCs w:val="24"/>
                <w:color w:val="auto"/>
              </w:rPr>
            </w:pPr>
          </w:p>
        </w:tc>
        <w:tc>
          <w:tcPr>
            <w:tcW w:w="1260" w:type="dxa"/>
            <w:vAlign w:val="bottom"/>
            <w:tcBorders>
              <w:right w:val="single" w:sz="8" w:color="3F000B"/>
            </w:tcBorders>
            <w:shd w:val="clear" w:color="auto" w:fill="3F000B"/>
          </w:tcPr>
          <w:p>
            <w:pPr>
              <w:jc w:val="right"/>
              <w:ind w:right="570"/>
              <w:spacing w:after="0"/>
              <w:rPr>
                <w:sz w:val="20"/>
                <w:szCs w:val="20"/>
                <w:color w:val="auto"/>
              </w:rPr>
            </w:pPr>
            <w:r>
              <w:rPr>
                <w:rFonts w:ascii="Arial" w:cs="Arial" w:eastAsia="Arial" w:hAnsi="Arial"/>
                <w:sz w:val="18"/>
                <w:szCs w:val="18"/>
                <w:b w:val="1"/>
                <w:bCs w:val="1"/>
                <w:color w:val="FFFFFF"/>
                <w:w w:val="88"/>
              </w:rPr>
              <w:t>Value</w:t>
            </w:r>
            <w:r>
              <w:rPr>
                <w:rFonts w:ascii="Arial" w:cs="Arial" w:eastAsia="Arial" w:hAnsi="Arial"/>
                <w:sz w:val="21"/>
                <w:szCs w:val="21"/>
                <w:b w:val="1"/>
                <w:bCs w:val="1"/>
                <w:color w:val="FFFFFF"/>
                <w:w w:val="88"/>
                <w:vertAlign w:val="superscript"/>
              </w:rPr>
              <w:t>(2)</w:t>
            </w:r>
          </w:p>
        </w:tc>
        <w:tc>
          <w:tcPr>
            <w:tcW w:w="0" w:type="dxa"/>
            <w:vAlign w:val="bottom"/>
          </w:tcPr>
          <w:p>
            <w:pPr>
              <w:spacing w:after="0"/>
              <w:rPr>
                <w:sz w:val="1"/>
                <w:szCs w:val="1"/>
                <w:color w:val="auto"/>
              </w:rPr>
            </w:pPr>
          </w:p>
        </w:tc>
      </w:tr>
      <w:tr>
        <w:trPr>
          <w:trHeight w:val="261"/>
        </w:trPr>
        <w:tc>
          <w:tcPr>
            <w:tcW w:w="7380" w:type="dxa"/>
            <w:vAlign w:val="bottom"/>
            <w:tcBorders>
              <w:left w:val="single" w:sz="8" w:color="3F000B"/>
              <w:bottom w:val="single" w:sz="8" w:color="3F000B"/>
              <w:right w:val="single" w:sz="8" w:color="DADADA"/>
            </w:tcBorders>
            <w:vMerge w:val="continue"/>
            <w:shd w:val="clear" w:color="auto" w:fill="3F000B"/>
          </w:tcPr>
          <w:p>
            <w:pPr>
              <w:spacing w:after="0"/>
              <w:rPr>
                <w:sz w:val="22"/>
                <w:szCs w:val="22"/>
                <w:color w:val="auto"/>
              </w:rPr>
            </w:pPr>
          </w:p>
        </w:tc>
        <w:tc>
          <w:tcPr>
            <w:tcW w:w="1820" w:type="dxa"/>
            <w:vAlign w:val="bottom"/>
            <w:tcBorders>
              <w:bottom w:val="single" w:sz="8" w:color="3F000B"/>
              <w:right w:val="single" w:sz="8" w:color="DADADA"/>
            </w:tcBorders>
            <w:shd w:val="clear" w:color="auto" w:fill="3F000B"/>
          </w:tcPr>
          <w:p>
            <w:pPr>
              <w:jc w:val="right"/>
              <w:ind w:right="730"/>
              <w:spacing w:after="0"/>
              <w:rPr>
                <w:sz w:val="20"/>
                <w:szCs w:val="20"/>
                <w:color w:val="auto"/>
              </w:rPr>
            </w:pPr>
            <w:r>
              <w:rPr>
                <w:rFonts w:ascii="Arial" w:cs="Arial" w:eastAsia="Arial" w:hAnsi="Arial"/>
                <w:sz w:val="18"/>
                <w:szCs w:val="18"/>
                <w:b w:val="1"/>
                <w:bCs w:val="1"/>
                <w:color w:val="FFFFFF"/>
              </w:rPr>
              <w:t>(#)</w:t>
            </w:r>
          </w:p>
        </w:tc>
        <w:tc>
          <w:tcPr>
            <w:tcW w:w="600" w:type="dxa"/>
            <w:vAlign w:val="bottom"/>
            <w:tcBorders>
              <w:bottom w:val="single" w:sz="8" w:color="3F000B"/>
            </w:tcBorders>
            <w:shd w:val="clear" w:color="auto" w:fill="3F000B"/>
          </w:tcPr>
          <w:p>
            <w:pPr>
              <w:spacing w:after="0"/>
              <w:rPr>
                <w:sz w:val="22"/>
                <w:szCs w:val="22"/>
                <w:color w:val="auto"/>
              </w:rPr>
            </w:pPr>
          </w:p>
        </w:tc>
        <w:tc>
          <w:tcPr>
            <w:tcW w:w="1260" w:type="dxa"/>
            <w:vAlign w:val="bottom"/>
            <w:tcBorders>
              <w:bottom w:val="single" w:sz="8" w:color="3F000B"/>
              <w:right w:val="single" w:sz="8" w:color="3F000B"/>
            </w:tcBorders>
            <w:shd w:val="clear" w:color="auto" w:fill="3F000B"/>
          </w:tcPr>
          <w:p>
            <w:pPr>
              <w:jc w:val="right"/>
              <w:ind w:right="75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37"/>
        </w:trPr>
        <w:tc>
          <w:tcPr>
            <w:tcW w:w="7380" w:type="dxa"/>
            <w:vAlign w:val="bottom"/>
            <w:tcBorders>
              <w:top w:val="single" w:sz="8" w:color="3F000B"/>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1820" w:type="dxa"/>
            <w:vAlign w:val="bottom"/>
            <w:tcBorders>
              <w:top w:val="single" w:sz="8" w:color="3F000B"/>
              <w:right w:val="single" w:sz="8" w:color="3F000B"/>
            </w:tcBorders>
          </w:tcPr>
          <w:p>
            <w:pPr>
              <w:jc w:val="right"/>
              <w:spacing w:after="0"/>
              <w:rPr>
                <w:sz w:val="20"/>
                <w:szCs w:val="20"/>
                <w:color w:val="auto"/>
              </w:rPr>
            </w:pPr>
            <w:r>
              <w:rPr>
                <w:rFonts w:ascii="Arial" w:cs="Arial" w:eastAsia="Arial" w:hAnsi="Arial"/>
                <w:sz w:val="18"/>
                <w:szCs w:val="18"/>
                <w:color w:val="auto"/>
              </w:rPr>
              <w:t>64,743</w:t>
            </w:r>
          </w:p>
        </w:tc>
        <w:tc>
          <w:tcPr>
            <w:tcW w:w="600" w:type="dxa"/>
            <w:vAlign w:val="bottom"/>
            <w:tcBorders>
              <w:top w:val="single" w:sz="8" w:color="3F000B"/>
            </w:tcBorders>
          </w:tcPr>
          <w:p>
            <w:pPr>
              <w:spacing w:after="0"/>
              <w:rPr>
                <w:sz w:val="20"/>
                <w:szCs w:val="20"/>
                <w:color w:val="auto"/>
              </w:rPr>
            </w:pPr>
          </w:p>
        </w:tc>
        <w:tc>
          <w:tcPr>
            <w:tcW w:w="1260" w:type="dxa"/>
            <w:vAlign w:val="bottom"/>
            <w:tcBorders>
              <w:top w:val="single" w:sz="8" w:color="3F000B"/>
              <w:right w:val="single" w:sz="8" w:color="3F000B"/>
            </w:tcBorders>
          </w:tcPr>
          <w:p>
            <w:pPr>
              <w:jc w:val="right"/>
              <w:ind w:right="10"/>
              <w:spacing w:after="0"/>
              <w:rPr>
                <w:sz w:val="20"/>
                <w:szCs w:val="20"/>
                <w:color w:val="auto"/>
              </w:rPr>
            </w:pPr>
            <w:r>
              <w:rPr>
                <w:rFonts w:ascii="Arial" w:cs="Arial" w:eastAsia="Arial" w:hAnsi="Arial"/>
                <w:sz w:val="18"/>
                <w:szCs w:val="18"/>
                <w:color w:val="auto"/>
              </w:rPr>
              <w:t>3,211,220</w:t>
            </w:r>
          </w:p>
        </w:tc>
        <w:tc>
          <w:tcPr>
            <w:tcW w:w="0" w:type="dxa"/>
            <w:vAlign w:val="bottom"/>
          </w:tcPr>
          <w:p>
            <w:pPr>
              <w:spacing w:after="0"/>
              <w:rPr>
                <w:sz w:val="1"/>
                <w:szCs w:val="1"/>
                <w:color w:val="auto"/>
              </w:rPr>
            </w:pPr>
          </w:p>
        </w:tc>
      </w:tr>
      <w:tr>
        <w:trPr>
          <w:trHeight w:val="27"/>
        </w:trPr>
        <w:tc>
          <w:tcPr>
            <w:tcW w:w="7380" w:type="dxa"/>
            <w:vAlign w:val="bottom"/>
            <w:tcBorders>
              <w:left w:val="single" w:sz="8" w:color="3F000B"/>
              <w:right w:val="single" w:sz="8" w:color="3F000B"/>
            </w:tcBorders>
          </w:tcPr>
          <w:p>
            <w:pPr>
              <w:spacing w:after="0"/>
              <w:rPr>
                <w:sz w:val="2"/>
                <w:szCs w:val="2"/>
                <w:color w:val="auto"/>
              </w:rPr>
            </w:pPr>
          </w:p>
        </w:tc>
        <w:tc>
          <w:tcPr>
            <w:tcW w:w="1820" w:type="dxa"/>
            <w:vAlign w:val="bottom"/>
            <w:tcBorders>
              <w:right w:val="single" w:sz="8" w:color="3F000B"/>
            </w:tcBorders>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18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DADADA"/>
            </w:tcBorders>
            <w:shd w:val="clear" w:color="auto" w:fill="DADADA"/>
          </w:tcPr>
          <w:p>
            <w:pPr>
              <w:spacing w:after="0"/>
              <w:rPr>
                <w:sz w:val="21"/>
                <w:szCs w:val="21"/>
                <w:color w:val="auto"/>
              </w:rPr>
            </w:pPr>
          </w:p>
        </w:tc>
        <w:tc>
          <w:tcPr>
            <w:tcW w:w="12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18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2,847</w:t>
            </w:r>
          </w:p>
        </w:tc>
        <w:tc>
          <w:tcPr>
            <w:tcW w:w="600" w:type="dxa"/>
            <w:vAlign w:val="bottom"/>
          </w:tcPr>
          <w:p>
            <w:pPr>
              <w:spacing w:after="0"/>
              <w:rPr>
                <w:sz w:val="23"/>
                <w:szCs w:val="23"/>
                <w:color w:val="auto"/>
              </w:rPr>
            </w:pP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142,852</w:t>
            </w:r>
          </w:p>
        </w:tc>
        <w:tc>
          <w:tcPr>
            <w:tcW w:w="0" w:type="dxa"/>
            <w:vAlign w:val="bottom"/>
          </w:tcPr>
          <w:p>
            <w:pPr>
              <w:spacing w:after="0"/>
              <w:rPr>
                <w:sz w:val="1"/>
                <w:szCs w:val="1"/>
                <w:color w:val="auto"/>
              </w:rPr>
            </w:pPr>
          </w:p>
        </w:tc>
      </w:tr>
      <w:tr>
        <w:trPr>
          <w:trHeight w:val="250"/>
        </w:trPr>
        <w:tc>
          <w:tcPr>
            <w:tcW w:w="738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18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2,435</w:t>
            </w:r>
          </w:p>
        </w:tc>
        <w:tc>
          <w:tcPr>
            <w:tcW w:w="600" w:type="dxa"/>
            <w:vAlign w:val="bottom"/>
            <w:tcBorders>
              <w:bottom w:val="single" w:sz="8" w:color="DADADA"/>
            </w:tcBorders>
            <w:shd w:val="clear" w:color="auto" w:fill="DADADA"/>
          </w:tcPr>
          <w:p>
            <w:pPr>
              <w:spacing w:after="0"/>
              <w:rPr>
                <w:sz w:val="21"/>
                <w:szCs w:val="21"/>
                <w:color w:val="auto"/>
              </w:rPr>
            </w:pPr>
          </w:p>
        </w:tc>
        <w:tc>
          <w:tcPr>
            <w:tcW w:w="12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122,096</w:t>
            </w:r>
          </w:p>
        </w:tc>
        <w:tc>
          <w:tcPr>
            <w:tcW w:w="0" w:type="dxa"/>
            <w:vAlign w:val="bottom"/>
          </w:tcPr>
          <w:p>
            <w:pPr>
              <w:spacing w:after="0"/>
              <w:rPr>
                <w:sz w:val="1"/>
                <w:szCs w:val="1"/>
                <w:color w:val="auto"/>
              </w:rPr>
            </w:pPr>
          </w:p>
        </w:tc>
      </w:tr>
      <w:tr>
        <w:trPr>
          <w:trHeight w:val="243"/>
        </w:trPr>
        <w:tc>
          <w:tcPr>
            <w:tcW w:w="738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182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6,113</w:t>
            </w:r>
          </w:p>
        </w:tc>
        <w:tc>
          <w:tcPr>
            <w:tcW w:w="600" w:type="dxa"/>
            <w:vAlign w:val="bottom"/>
          </w:tcPr>
          <w:p>
            <w:pPr>
              <w:spacing w:after="0"/>
              <w:rPr>
                <w:sz w:val="21"/>
                <w:szCs w:val="21"/>
                <w:color w:val="auto"/>
              </w:rPr>
            </w:pPr>
          </w:p>
        </w:tc>
        <w:tc>
          <w:tcPr>
            <w:tcW w:w="12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297,031</w:t>
            </w:r>
          </w:p>
        </w:tc>
        <w:tc>
          <w:tcPr>
            <w:tcW w:w="0" w:type="dxa"/>
            <w:vAlign w:val="bottom"/>
          </w:tcPr>
          <w:p>
            <w:pPr>
              <w:spacing w:after="0"/>
              <w:rPr>
                <w:sz w:val="1"/>
                <w:szCs w:val="1"/>
                <w:color w:val="auto"/>
              </w:rPr>
            </w:pPr>
          </w:p>
        </w:tc>
      </w:tr>
      <w:tr>
        <w:trPr>
          <w:trHeight w:val="27"/>
        </w:trPr>
        <w:tc>
          <w:tcPr>
            <w:tcW w:w="7380" w:type="dxa"/>
            <w:vAlign w:val="bottom"/>
            <w:tcBorders>
              <w:left w:val="single" w:sz="8" w:color="3F000B"/>
              <w:bottom w:val="single" w:sz="8" w:color="3F000B"/>
              <w:right w:val="single" w:sz="8" w:color="3F000B"/>
            </w:tcBorders>
          </w:tcPr>
          <w:p>
            <w:pPr>
              <w:spacing w:after="0"/>
              <w:rPr>
                <w:sz w:val="2"/>
                <w:szCs w:val="2"/>
                <w:color w:val="auto"/>
              </w:rPr>
            </w:pPr>
          </w:p>
        </w:tc>
        <w:tc>
          <w:tcPr>
            <w:tcW w:w="1820" w:type="dxa"/>
            <w:vAlign w:val="bottom"/>
            <w:tcBorders>
              <w:bottom w:val="single" w:sz="8" w:color="3F000B"/>
              <w:right w:val="single" w:sz="8" w:color="3F000B"/>
            </w:tcBorders>
          </w:tcPr>
          <w:p>
            <w:pPr>
              <w:spacing w:after="0"/>
              <w:rPr>
                <w:sz w:val="2"/>
                <w:szCs w:val="2"/>
                <w:color w:val="auto"/>
              </w:rPr>
            </w:pPr>
          </w:p>
        </w:tc>
        <w:tc>
          <w:tcPr>
            <w:tcW w:w="600" w:type="dxa"/>
            <w:vAlign w:val="bottom"/>
            <w:tcBorders>
              <w:bottom w:val="single" w:sz="8" w:color="3F000B"/>
            </w:tcBorders>
          </w:tcPr>
          <w:p>
            <w:pPr>
              <w:spacing w:after="0"/>
              <w:rPr>
                <w:sz w:val="2"/>
                <w:szCs w:val="2"/>
                <w:color w:val="auto"/>
              </w:rPr>
            </w:pPr>
          </w:p>
        </w:tc>
        <w:tc>
          <w:tcPr>
            <w:tcW w:w="126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-873760</wp:posOffset>
            </wp:positionV>
            <wp:extent cx="254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-873760</wp:posOffset>
            </wp:positionV>
            <wp:extent cx="254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20" w:hanging="312"/>
        <w:spacing w:after="0"/>
        <w:tabs>
          <w:tab w:leader="none" w:pos="3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Represents the total number of unvested options as of December 31, 2020.</w:t>
      </w:r>
    </w:p>
    <w:p>
      <w:pPr>
        <w:spacing w:after="0" w:line="109" w:lineRule="exact"/>
        <w:rPr>
          <w:rFonts w:ascii="Arial" w:cs="Arial" w:eastAsia="Arial" w:hAnsi="Arial"/>
          <w:sz w:val="14"/>
          <w:szCs w:val="14"/>
          <w:color w:val="auto"/>
        </w:rPr>
      </w:pPr>
    </w:p>
    <w:p>
      <w:pPr>
        <w:ind w:left="340" w:right="40" w:hanging="332"/>
        <w:spacing w:after="0" w:line="273" w:lineRule="auto"/>
        <w:tabs>
          <w:tab w:leader="none" w:pos="332" w:val="left"/>
        </w:tabs>
        <w:numPr>
          <w:ilvl w:val="0"/>
          <w:numId w:val="158"/>
        </w:numPr>
        <w:rPr>
          <w:rFonts w:ascii="Arial" w:cs="Arial" w:eastAsia="Arial" w:hAnsi="Arial"/>
          <w:sz w:val="14"/>
          <w:szCs w:val="14"/>
          <w:color w:val="auto"/>
        </w:rPr>
      </w:pPr>
      <w:r>
        <w:rPr>
          <w:rFonts w:ascii="Arial" w:cs="Arial" w:eastAsia="Arial" w:hAnsi="Arial"/>
          <w:sz w:val="14"/>
          <w:szCs w:val="14"/>
          <w:color w:val="auto"/>
        </w:rPr>
        <w:t>Reflects the difference between $152.33, the closing price for our Common Stock on the NYSE on December 31, 2020, the last trading day of 2020, and the exercise price for each option. Options for which the exercise price exceeds $152.33 are not included in the calculations.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Treatment of RSUs upon Retirement, Death or Disability</w:t>
      </w:r>
    </w:p>
    <w:p>
      <w:pPr>
        <w:spacing w:after="0" w:line="15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the event of retirement, death or disability, RSUs that are not vested will generally vest in full (subject to the exception described in the following sentence). RSUs granted in the year of retirement are prorated based upon the number of full calendar months worked in that year.</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provides the number of unvested RSUs that would have vested on December 31, 2020, if the executive’s employment terminated that day due to death or disability. Messrs. Atkins, Raup, Reiman and Voskuil were not considered retirement eligible as of December 31, 2020 and they would have forfeited 4,703 RSUs, 2,591 RSUs, 2,804 RSUs and 11,722 RSUs, respectively, upon voluntary separation.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220" w:type="dxa"/>
            <w:vAlign w:val="bottom"/>
            <w:tcBorders>
              <w:top w:val="single" w:sz="8" w:color="3F000B"/>
              <w:left w:val="single" w:sz="8" w:color="3F000B"/>
              <w:right w:val="single" w:sz="8" w:color="DADADA"/>
            </w:tcBorders>
            <w:shd w:val="clear" w:color="auto" w:fill="3F000B"/>
          </w:tcPr>
          <w:p>
            <w:pPr>
              <w:spacing w:after="0"/>
              <w:rPr>
                <w:sz w:val="22"/>
                <w:szCs w:val="22"/>
                <w:color w:val="auto"/>
              </w:rPr>
            </w:pPr>
          </w:p>
        </w:tc>
        <w:tc>
          <w:tcPr>
            <w:tcW w:w="3840" w:type="dxa"/>
            <w:vAlign w:val="bottom"/>
            <w:tcBorders>
              <w:top w:val="single" w:sz="8" w:color="3F000B"/>
              <w:right w:val="single" w:sz="8" w:color="3F000B"/>
            </w:tcBorders>
            <w:gridSpan w:val="3"/>
            <w:shd w:val="clear" w:color="auto" w:fill="3F000B"/>
          </w:tcPr>
          <w:p>
            <w:pPr>
              <w:jc w:val="right"/>
              <w:ind w:right="970"/>
              <w:spacing w:after="0"/>
              <w:rPr>
                <w:sz w:val="20"/>
                <w:szCs w:val="20"/>
                <w:color w:val="auto"/>
              </w:rPr>
            </w:pPr>
            <w:r>
              <w:rPr>
                <w:rFonts w:ascii="Arial" w:cs="Arial" w:eastAsia="Arial" w:hAnsi="Arial"/>
                <w:sz w:val="18"/>
                <w:szCs w:val="18"/>
                <w:b w:val="1"/>
                <w:bCs w:val="1"/>
                <w:color w:val="FFFFFF"/>
              </w:rPr>
              <w:t>Restricted Stock Units</w:t>
            </w:r>
          </w:p>
        </w:tc>
      </w:tr>
      <w:tr>
        <w:trPr>
          <w:trHeight w:val="74"/>
        </w:trPr>
        <w:tc>
          <w:tcPr>
            <w:tcW w:w="7220" w:type="dxa"/>
            <w:vAlign w:val="bottom"/>
            <w:tcBorders>
              <w:left w:val="single" w:sz="8" w:color="3F000B"/>
              <w:right w:val="single" w:sz="8" w:color="DADADA"/>
            </w:tcBorders>
            <w:shd w:val="clear" w:color="auto" w:fill="3F000B"/>
          </w:tcPr>
          <w:p>
            <w:pPr>
              <w:spacing w:after="0"/>
              <w:rPr>
                <w:sz w:val="6"/>
                <w:szCs w:val="6"/>
                <w:color w:val="auto"/>
              </w:rPr>
            </w:pPr>
          </w:p>
        </w:tc>
        <w:tc>
          <w:tcPr>
            <w:tcW w:w="1340" w:type="dxa"/>
            <w:vAlign w:val="bottom"/>
            <w:shd w:val="clear" w:color="auto" w:fill="3F000B"/>
          </w:tcPr>
          <w:p>
            <w:pPr>
              <w:spacing w:after="0"/>
              <w:rPr>
                <w:sz w:val="6"/>
                <w:szCs w:val="6"/>
                <w:color w:val="auto"/>
              </w:rPr>
            </w:pPr>
          </w:p>
        </w:tc>
        <w:tc>
          <w:tcPr>
            <w:tcW w:w="580" w:type="dxa"/>
            <w:vAlign w:val="bottom"/>
            <w:tcBorders>
              <w:right w:val="single" w:sz="8" w:color="3F000B"/>
            </w:tcBorders>
            <w:shd w:val="clear" w:color="auto" w:fill="3F000B"/>
          </w:tcPr>
          <w:p>
            <w:pPr>
              <w:spacing w:after="0"/>
              <w:rPr>
                <w:sz w:val="6"/>
                <w:szCs w:val="6"/>
                <w:color w:val="auto"/>
              </w:rPr>
            </w:pPr>
          </w:p>
        </w:tc>
        <w:tc>
          <w:tcPr>
            <w:tcW w:w="1920" w:type="dxa"/>
            <w:vAlign w:val="bottom"/>
            <w:tcBorders>
              <w:right w:val="single" w:sz="8" w:color="3F000B"/>
            </w:tcBorders>
            <w:shd w:val="clear" w:color="auto" w:fill="3F000B"/>
          </w:tcPr>
          <w:p>
            <w:pPr>
              <w:spacing w:after="0"/>
              <w:rPr>
                <w:sz w:val="6"/>
                <w:szCs w:val="6"/>
                <w:color w:val="auto"/>
              </w:rPr>
            </w:pPr>
          </w:p>
        </w:tc>
      </w:tr>
      <w:tr>
        <w:trPr>
          <w:trHeight w:val="326"/>
        </w:trPr>
        <w:tc>
          <w:tcPr>
            <w:tcW w:w="7220" w:type="dxa"/>
            <w:vAlign w:val="bottom"/>
            <w:tcBorders>
              <w:left w:val="single" w:sz="8" w:color="3F000B"/>
              <w:right w:val="single" w:sz="8" w:color="DADADA"/>
            </w:tcBorders>
            <w:shd w:val="clear" w:color="auto" w:fill="3F000B"/>
          </w:tcPr>
          <w:p>
            <w:pPr>
              <w:spacing w:after="0"/>
              <w:rPr>
                <w:sz w:val="24"/>
                <w:szCs w:val="24"/>
                <w:color w:val="auto"/>
              </w:rPr>
            </w:pPr>
          </w:p>
        </w:tc>
        <w:tc>
          <w:tcPr>
            <w:tcW w:w="1340" w:type="dxa"/>
            <w:vAlign w:val="bottom"/>
            <w:shd w:val="clear" w:color="auto" w:fill="3F000B"/>
          </w:tcPr>
          <w:p>
            <w:pPr>
              <w:jc w:val="center"/>
              <w:ind w:left="450"/>
              <w:spacing w:after="0"/>
              <w:rPr>
                <w:sz w:val="20"/>
                <w:szCs w:val="20"/>
                <w:color w:val="auto"/>
              </w:rPr>
            </w:pPr>
            <w:r>
              <w:rPr>
                <w:rFonts w:ascii="Arial" w:cs="Arial" w:eastAsia="Arial" w:hAnsi="Arial"/>
                <w:sz w:val="18"/>
                <w:szCs w:val="18"/>
                <w:b w:val="1"/>
                <w:bCs w:val="1"/>
                <w:color w:val="FFFFFF"/>
                <w:w w:val="94"/>
              </w:rPr>
              <w:t>Number</w:t>
            </w:r>
            <w:r>
              <w:rPr>
                <w:rFonts w:ascii="Arial" w:cs="Arial" w:eastAsia="Arial" w:hAnsi="Arial"/>
                <w:sz w:val="10"/>
                <w:szCs w:val="10"/>
                <w:b w:val="1"/>
                <w:bCs w:val="1"/>
                <w:color w:val="FFFFFF"/>
                <w:w w:val="94"/>
              </w:rPr>
              <w:t>(1)</w:t>
            </w:r>
          </w:p>
        </w:tc>
        <w:tc>
          <w:tcPr>
            <w:tcW w:w="580" w:type="dxa"/>
            <w:vAlign w:val="bottom"/>
            <w:tcBorders>
              <w:right w:val="single" w:sz="8" w:color="DADADA"/>
            </w:tcBorders>
            <w:shd w:val="clear" w:color="auto" w:fill="3F000B"/>
          </w:tcPr>
          <w:p>
            <w:pPr>
              <w:spacing w:after="0"/>
              <w:rPr>
                <w:sz w:val="24"/>
                <w:szCs w:val="24"/>
                <w:color w:val="auto"/>
              </w:rPr>
            </w:pPr>
          </w:p>
        </w:tc>
        <w:tc>
          <w:tcPr>
            <w:tcW w:w="1920" w:type="dxa"/>
            <w:vAlign w:val="bottom"/>
            <w:tcBorders>
              <w:right w:val="single" w:sz="8" w:color="3F000B"/>
            </w:tcBorders>
            <w:shd w:val="clear" w:color="auto" w:fill="3F000B"/>
          </w:tcPr>
          <w:p>
            <w:pPr>
              <w:jc w:val="right"/>
              <w:ind w:right="610"/>
              <w:spacing w:after="0"/>
              <w:rPr>
                <w:sz w:val="20"/>
                <w:szCs w:val="20"/>
                <w:color w:val="auto"/>
              </w:rPr>
            </w:pPr>
            <w:r>
              <w:rPr>
                <w:rFonts w:ascii="Arial" w:cs="Arial" w:eastAsia="Arial" w:hAnsi="Arial"/>
                <w:sz w:val="18"/>
                <w:szCs w:val="18"/>
                <w:b w:val="1"/>
                <w:bCs w:val="1"/>
                <w:color w:val="FFFFFF"/>
              </w:rPr>
              <w:t>Value</w:t>
            </w:r>
            <w:r>
              <w:rPr>
                <w:rFonts w:ascii="Arial" w:cs="Arial" w:eastAsia="Arial" w:hAnsi="Arial"/>
                <w:sz w:val="10"/>
                <w:szCs w:val="10"/>
                <w:b w:val="1"/>
                <w:bCs w:val="1"/>
                <w:color w:val="FFFFFF"/>
              </w:rPr>
              <w:t>(2)</w:t>
            </w:r>
          </w:p>
        </w:tc>
      </w:tr>
      <w:tr>
        <w:trPr>
          <w:trHeight w:val="234"/>
        </w:trPr>
        <w:tc>
          <w:tcPr>
            <w:tcW w:w="7220" w:type="dxa"/>
            <w:vAlign w:val="bottom"/>
            <w:tcBorders>
              <w:left w:val="single" w:sz="8" w:color="3F000B"/>
              <w:right w:val="single" w:sz="8" w:color="DADADA"/>
            </w:tcBorders>
            <w:shd w:val="clear" w:color="auto" w:fill="3F000B"/>
          </w:tcPr>
          <w:p>
            <w:pPr>
              <w:ind w:left="3380"/>
              <w:spacing w:after="0"/>
              <w:rPr>
                <w:sz w:val="20"/>
                <w:szCs w:val="20"/>
                <w:color w:val="auto"/>
              </w:rPr>
            </w:pPr>
            <w:r>
              <w:rPr>
                <w:rFonts w:ascii="Arial" w:cs="Arial" w:eastAsia="Arial" w:hAnsi="Arial"/>
                <w:sz w:val="18"/>
                <w:szCs w:val="18"/>
                <w:b w:val="1"/>
                <w:bCs w:val="1"/>
                <w:color w:val="FFFFFF"/>
              </w:rPr>
              <w:t>Name</w:t>
            </w:r>
          </w:p>
        </w:tc>
        <w:tc>
          <w:tcPr>
            <w:tcW w:w="1340" w:type="dxa"/>
            <w:vAlign w:val="bottom"/>
            <w:shd w:val="clear" w:color="auto" w:fill="3F000B"/>
          </w:tcPr>
          <w:p>
            <w:pPr>
              <w:jc w:val="right"/>
              <w:ind w:right="190"/>
              <w:spacing w:after="0"/>
              <w:rPr>
                <w:sz w:val="20"/>
                <w:szCs w:val="20"/>
                <w:color w:val="auto"/>
              </w:rPr>
            </w:pPr>
            <w:r>
              <w:rPr>
                <w:rFonts w:ascii="Arial" w:cs="Arial" w:eastAsia="Arial" w:hAnsi="Arial"/>
                <w:sz w:val="18"/>
                <w:szCs w:val="18"/>
                <w:b w:val="1"/>
                <w:bCs w:val="1"/>
                <w:color w:val="FFFFFF"/>
              </w:rPr>
              <w:t>(#)</w:t>
            </w:r>
          </w:p>
        </w:tc>
        <w:tc>
          <w:tcPr>
            <w:tcW w:w="580" w:type="dxa"/>
            <w:vAlign w:val="bottom"/>
            <w:tcBorders>
              <w:right w:val="single" w:sz="8" w:color="DADADA"/>
            </w:tcBorders>
            <w:shd w:val="clear" w:color="auto" w:fill="3F000B"/>
          </w:tcPr>
          <w:p>
            <w:pPr>
              <w:spacing w:after="0"/>
              <w:rPr>
                <w:sz w:val="20"/>
                <w:szCs w:val="20"/>
                <w:color w:val="auto"/>
              </w:rPr>
            </w:pPr>
          </w:p>
        </w:tc>
        <w:tc>
          <w:tcPr>
            <w:tcW w:w="1920" w:type="dxa"/>
            <w:vAlign w:val="bottom"/>
            <w:tcBorders>
              <w:right w:val="single" w:sz="8" w:color="3F000B"/>
            </w:tcBorders>
            <w:shd w:val="clear" w:color="auto" w:fill="3F000B"/>
          </w:tcPr>
          <w:p>
            <w:pPr>
              <w:jc w:val="right"/>
              <w:ind w:right="790"/>
              <w:spacing w:after="0"/>
              <w:rPr>
                <w:sz w:val="20"/>
                <w:szCs w:val="20"/>
                <w:color w:val="auto"/>
              </w:rPr>
            </w:pPr>
            <w:r>
              <w:rPr>
                <w:rFonts w:ascii="Arial" w:cs="Arial" w:eastAsia="Arial" w:hAnsi="Arial"/>
                <w:sz w:val="18"/>
                <w:szCs w:val="18"/>
                <w:b w:val="1"/>
                <w:bCs w:val="1"/>
                <w:color w:val="FFFFFF"/>
              </w:rPr>
              <w:t>($)</w:t>
            </w:r>
          </w:p>
        </w:tc>
      </w:tr>
      <w:tr>
        <w:trPr>
          <w:trHeight w:val="67"/>
        </w:trPr>
        <w:tc>
          <w:tcPr>
            <w:tcW w:w="7220" w:type="dxa"/>
            <w:vAlign w:val="bottom"/>
            <w:tcBorders>
              <w:left w:val="single" w:sz="8" w:color="3F000B"/>
              <w:bottom w:val="single" w:sz="8" w:color="3F000B"/>
              <w:right w:val="single" w:sz="8" w:color="DADADA"/>
            </w:tcBorders>
            <w:shd w:val="clear" w:color="auto" w:fill="3F000B"/>
          </w:tcPr>
          <w:p>
            <w:pPr>
              <w:spacing w:after="0"/>
              <w:rPr>
                <w:sz w:val="5"/>
                <w:szCs w:val="5"/>
                <w:color w:val="auto"/>
              </w:rPr>
            </w:pPr>
          </w:p>
        </w:tc>
        <w:tc>
          <w:tcPr>
            <w:tcW w:w="1340" w:type="dxa"/>
            <w:vAlign w:val="bottom"/>
            <w:shd w:val="clear" w:color="auto" w:fill="3F000B"/>
          </w:tcPr>
          <w:p>
            <w:pPr>
              <w:spacing w:after="0"/>
              <w:rPr>
                <w:sz w:val="5"/>
                <w:szCs w:val="5"/>
                <w:color w:val="auto"/>
              </w:rPr>
            </w:pPr>
          </w:p>
        </w:tc>
        <w:tc>
          <w:tcPr>
            <w:tcW w:w="580" w:type="dxa"/>
            <w:vAlign w:val="bottom"/>
            <w:tcBorders>
              <w:right w:val="single" w:sz="8" w:color="DADADA"/>
            </w:tcBorders>
            <w:shd w:val="clear" w:color="auto" w:fill="3F000B"/>
          </w:tcPr>
          <w:p>
            <w:pPr>
              <w:spacing w:after="0"/>
              <w:rPr>
                <w:sz w:val="5"/>
                <w:szCs w:val="5"/>
                <w:color w:val="auto"/>
              </w:rPr>
            </w:pPr>
          </w:p>
        </w:tc>
        <w:tc>
          <w:tcPr>
            <w:tcW w:w="1920" w:type="dxa"/>
            <w:vAlign w:val="bottom"/>
            <w:tcBorders>
              <w:right w:val="single" w:sz="8" w:color="3F000B"/>
            </w:tcBorders>
            <w:shd w:val="clear" w:color="auto" w:fill="3F000B"/>
          </w:tcPr>
          <w:p>
            <w:pPr>
              <w:spacing w:after="0"/>
              <w:rPr>
                <w:sz w:val="5"/>
                <w:szCs w:val="5"/>
                <w:color w:val="auto"/>
              </w:rPr>
            </w:pPr>
          </w:p>
        </w:tc>
      </w:tr>
      <w:tr>
        <w:trPr>
          <w:trHeight w:val="237"/>
        </w:trPr>
        <w:tc>
          <w:tcPr>
            <w:tcW w:w="72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1340" w:type="dxa"/>
            <w:vAlign w:val="bottom"/>
          </w:tcPr>
          <w:p>
            <w:pPr>
              <w:spacing w:after="0"/>
              <w:rPr>
                <w:sz w:val="20"/>
                <w:szCs w:val="20"/>
                <w:color w:val="auto"/>
              </w:rPr>
            </w:pPr>
          </w:p>
        </w:tc>
        <w:tc>
          <w:tcPr>
            <w:tcW w:w="5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w w:val="83"/>
              </w:rPr>
              <w:t>31,745</w:t>
            </w:r>
          </w:p>
        </w:tc>
        <w:tc>
          <w:tcPr>
            <w:tcW w:w="19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4,993,466</w:t>
            </w:r>
          </w:p>
        </w:tc>
      </w:tr>
      <w:tr>
        <w:trPr>
          <w:trHeight w:val="27"/>
        </w:trPr>
        <w:tc>
          <w:tcPr>
            <w:tcW w:w="7220" w:type="dxa"/>
            <w:vAlign w:val="bottom"/>
            <w:tcBorders>
              <w:left w:val="single" w:sz="8" w:color="3F000B"/>
              <w:right w:val="single" w:sz="8" w:color="3F000B"/>
            </w:tcBorders>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Borders>
              <w:right w:val="single" w:sz="8" w:color="3F000B"/>
            </w:tcBorders>
          </w:tcPr>
          <w:p>
            <w:pPr>
              <w:spacing w:after="0"/>
              <w:rPr>
                <w:sz w:val="2"/>
                <w:szCs w:val="2"/>
                <w:color w:val="auto"/>
              </w:rPr>
            </w:pPr>
          </w:p>
        </w:tc>
        <w:tc>
          <w:tcPr>
            <w:tcW w:w="1920" w:type="dxa"/>
            <w:vAlign w:val="bottom"/>
            <w:tcBorders>
              <w:right w:val="single" w:sz="8" w:color="3F000B"/>
            </w:tcBorders>
          </w:tcPr>
          <w:p>
            <w:pPr>
              <w:spacing w:after="0"/>
              <w:rPr>
                <w:sz w:val="2"/>
                <w:szCs w:val="2"/>
                <w:color w:val="auto"/>
              </w:rPr>
            </w:pPr>
          </w:p>
        </w:tc>
      </w:tr>
      <w:tr>
        <w:trPr>
          <w:trHeight w:val="250"/>
        </w:trPr>
        <w:tc>
          <w:tcPr>
            <w:tcW w:w="72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1340" w:type="dxa"/>
            <w:vAlign w:val="bottom"/>
            <w:tcBorders>
              <w:bottom w:val="single" w:sz="8" w:color="DADADA"/>
            </w:tcBorders>
            <w:shd w:val="clear" w:color="auto" w:fill="DADADA"/>
          </w:tcPr>
          <w:p>
            <w:pPr>
              <w:spacing w:after="0"/>
              <w:rPr>
                <w:sz w:val="21"/>
                <w:szCs w:val="21"/>
                <w:color w:val="auto"/>
              </w:rPr>
            </w:pPr>
          </w:p>
        </w:tc>
        <w:tc>
          <w:tcPr>
            <w:tcW w:w="5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w w:val="83"/>
              </w:rPr>
              <w:t>11,722</w:t>
            </w:r>
          </w:p>
        </w:tc>
        <w:tc>
          <w:tcPr>
            <w:tcW w:w="19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1,828,692</w:t>
            </w:r>
          </w:p>
        </w:tc>
      </w:tr>
      <w:tr>
        <w:trPr>
          <w:trHeight w:val="270"/>
        </w:trPr>
        <w:tc>
          <w:tcPr>
            <w:tcW w:w="72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1340" w:type="dxa"/>
            <w:vAlign w:val="bottom"/>
          </w:tcPr>
          <w:p>
            <w:pPr>
              <w:spacing w:after="0"/>
              <w:rPr>
                <w:sz w:val="23"/>
                <w:szCs w:val="23"/>
                <w:color w:val="auto"/>
              </w:rPr>
            </w:pPr>
          </w:p>
        </w:tc>
        <w:tc>
          <w:tcPr>
            <w:tcW w:w="5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2,591</w:t>
            </w:r>
          </w:p>
        </w:tc>
        <w:tc>
          <w:tcPr>
            <w:tcW w:w="19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404,917</w:t>
            </w:r>
          </w:p>
        </w:tc>
      </w:tr>
      <w:tr>
        <w:trPr>
          <w:trHeight w:val="250"/>
        </w:trPr>
        <w:tc>
          <w:tcPr>
            <w:tcW w:w="722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1340" w:type="dxa"/>
            <w:vAlign w:val="bottom"/>
            <w:tcBorders>
              <w:bottom w:val="single" w:sz="8" w:color="DADADA"/>
            </w:tcBorders>
            <w:shd w:val="clear" w:color="auto" w:fill="DADADA"/>
          </w:tcPr>
          <w:p>
            <w:pPr>
              <w:spacing w:after="0"/>
              <w:rPr>
                <w:sz w:val="21"/>
                <w:szCs w:val="21"/>
                <w:color w:val="auto"/>
              </w:rPr>
            </w:pPr>
          </w:p>
        </w:tc>
        <w:tc>
          <w:tcPr>
            <w:tcW w:w="5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2,804</w:t>
            </w:r>
          </w:p>
        </w:tc>
        <w:tc>
          <w:tcPr>
            <w:tcW w:w="192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438,420</w:t>
            </w:r>
          </w:p>
        </w:tc>
      </w:tr>
      <w:tr>
        <w:trPr>
          <w:trHeight w:val="243"/>
        </w:trPr>
        <w:tc>
          <w:tcPr>
            <w:tcW w:w="722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1340" w:type="dxa"/>
            <w:vAlign w:val="bottom"/>
          </w:tcPr>
          <w:p>
            <w:pPr>
              <w:spacing w:after="0"/>
              <w:rPr>
                <w:sz w:val="21"/>
                <w:szCs w:val="21"/>
                <w:color w:val="auto"/>
              </w:rPr>
            </w:pPr>
          </w:p>
        </w:tc>
        <w:tc>
          <w:tcPr>
            <w:tcW w:w="5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4,703</w:t>
            </w:r>
          </w:p>
        </w:tc>
        <w:tc>
          <w:tcPr>
            <w:tcW w:w="192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737,376</w:t>
            </w:r>
          </w:p>
        </w:tc>
      </w:tr>
      <w:tr>
        <w:trPr>
          <w:trHeight w:val="27"/>
        </w:trPr>
        <w:tc>
          <w:tcPr>
            <w:tcW w:w="7220" w:type="dxa"/>
            <w:vAlign w:val="bottom"/>
            <w:tcBorders>
              <w:left w:val="single" w:sz="8" w:color="3F000B"/>
              <w:bottom w:val="single" w:sz="8" w:color="3F000B"/>
              <w:right w:val="single" w:sz="8" w:color="3F000B"/>
            </w:tcBorders>
          </w:tcPr>
          <w:p>
            <w:pPr>
              <w:spacing w:after="0"/>
              <w:rPr>
                <w:sz w:val="2"/>
                <w:szCs w:val="2"/>
                <w:color w:val="auto"/>
              </w:rPr>
            </w:pPr>
          </w:p>
        </w:tc>
        <w:tc>
          <w:tcPr>
            <w:tcW w:w="1340" w:type="dxa"/>
            <w:vAlign w:val="bottom"/>
            <w:tcBorders>
              <w:bottom w:val="single" w:sz="8" w:color="3F000B"/>
            </w:tcBorders>
          </w:tcPr>
          <w:p>
            <w:pPr>
              <w:spacing w:after="0"/>
              <w:rPr>
                <w:sz w:val="2"/>
                <w:szCs w:val="2"/>
                <w:color w:val="auto"/>
              </w:rPr>
            </w:pPr>
          </w:p>
        </w:tc>
        <w:tc>
          <w:tcPr>
            <w:tcW w:w="580" w:type="dxa"/>
            <w:vAlign w:val="bottom"/>
            <w:tcBorders>
              <w:bottom w:val="single" w:sz="8" w:color="3F000B"/>
              <w:right w:val="single" w:sz="8" w:color="3F000B"/>
            </w:tcBorders>
          </w:tcPr>
          <w:p>
            <w:pPr>
              <w:spacing w:after="0"/>
              <w:rPr>
                <w:sz w:val="2"/>
                <w:szCs w:val="2"/>
                <w:color w:val="auto"/>
              </w:rPr>
            </w:pPr>
          </w:p>
        </w:tc>
        <w:tc>
          <w:tcPr>
            <w:tcW w:w="1920" w:type="dxa"/>
            <w:vAlign w:val="bottom"/>
            <w:tcBorders>
              <w:bottom w:val="single" w:sz="8" w:color="3F000B"/>
              <w:right w:val="single" w:sz="8" w:color="3F000B"/>
            </w:tcBorders>
          </w:tcPr>
          <w:p>
            <w:pPr>
              <w:spacing w:after="0"/>
              <w:rPr>
                <w:sz w:val="2"/>
                <w:szCs w:val="2"/>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F000B"/>
        </w:rPr>
        <w:t>____________________</w:t>
      </w:r>
    </w:p>
    <w:p>
      <w:pPr>
        <w:spacing w:after="0" w:line="252" w:lineRule="exact"/>
        <w:rPr>
          <w:sz w:val="20"/>
          <w:szCs w:val="20"/>
          <w:color w:val="auto"/>
        </w:rPr>
      </w:pPr>
    </w:p>
    <w:p>
      <w:pPr>
        <w:ind w:left="320" w:hanging="312"/>
        <w:spacing w:after="0"/>
        <w:tabs>
          <w:tab w:leader="none" w:pos="3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Represents the total number of unvested RSUs as of December 31, 2020.</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Based on the closing price of $152.33 for our Common Stock on the NYSE on December 31, 2020, the last trading day of 2020, plus accrued dividend equivalents.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Treatment of PSUs upon Retirement, Death or Disability</w:t>
      </w:r>
    </w:p>
    <w:p>
      <w:pPr>
        <w:spacing w:after="0" w:line="1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general, in the event of retirement, death or disability, any unvested contingent PSUs are prorated based on the number of full or partial months worked in each of the open PSU cycles. Any remaining unvested contingent PSUs not prorated are forfeited.</w:t>
      </w:r>
    </w:p>
    <w:p>
      <w:pPr>
        <w:sectPr>
          <w:pgSz w:w="11900" w:h="16838" w:orient="portrait"/>
          <w:cols w:equalWidth="0" w:num="1">
            <w:col w:w="11140"/>
          </w:cols>
          <w:pgMar w:left="320" w:top="105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40"/>
          </w:cols>
          <w:pgMar w:left="320" w:top="1057" w:right="439" w:bottom="1440" w:gutter="0" w:footer="0" w:header="0"/>
          <w:type w:val="continuous"/>
        </w:sectPr>
      </w:pPr>
    </w:p>
    <w:bookmarkStart w:id="82" w:name="page83"/>
    <w:bookmarkEnd w:id="82"/>
    <w:p>
      <w:pPr>
        <w:ind w:right="100"/>
        <w:spacing w:after="0" w:line="259" w:lineRule="auto"/>
        <w:rPr>
          <w:sz w:val="20"/>
          <w:szCs w:val="20"/>
          <w:color w:val="auto"/>
        </w:rPr>
      </w:pPr>
      <w:r>
        <w:rPr>
          <w:rFonts w:ascii="Arial" w:cs="Arial" w:eastAsia="Arial" w:hAnsi="Arial"/>
          <w:sz w:val="18"/>
          <w:szCs w:val="18"/>
          <w:color w:val="auto"/>
        </w:rPr>
        <w:t>The following table provides the total number of contingent PSUs each NEO would be entitled to if the executive’s employment ended on December 31, 2020 due to death or disability, or retirement if applicable. As of December 31, 2020, Ms. Buck was considered retirement eligible based on the provisions of all open PSU cycles. Messrs. Atkins, Raup, Reiman and Voskuil were not considered retirement eligible as of December 31, 2020 and they would have forfeited all of their contingent PSUs upon voluntary separation.</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60" w:type="dxa"/>
            <w:vAlign w:val="bottom"/>
            <w:tcBorders>
              <w:top w:val="single" w:sz="8" w:color="3F000B"/>
              <w:left w:val="single" w:sz="8" w:color="3F000B"/>
              <w:right w:val="single" w:sz="8" w:color="DADADA"/>
            </w:tcBorders>
            <w:shd w:val="clear" w:color="auto" w:fill="3F000B"/>
          </w:tcPr>
          <w:p>
            <w:pPr>
              <w:spacing w:after="0"/>
              <w:rPr>
                <w:sz w:val="22"/>
                <w:szCs w:val="22"/>
                <w:color w:val="auto"/>
              </w:rPr>
            </w:pPr>
          </w:p>
        </w:tc>
        <w:tc>
          <w:tcPr>
            <w:tcW w:w="3900" w:type="dxa"/>
            <w:vAlign w:val="bottom"/>
            <w:tcBorders>
              <w:top w:val="single" w:sz="8" w:color="3F000B"/>
              <w:right w:val="single" w:sz="8" w:color="3F000B"/>
            </w:tcBorders>
            <w:gridSpan w:val="3"/>
            <w:shd w:val="clear" w:color="auto" w:fill="3F000B"/>
          </w:tcPr>
          <w:p>
            <w:pPr>
              <w:jc w:val="right"/>
              <w:ind w:right="870"/>
              <w:spacing w:after="0"/>
              <w:rPr>
                <w:sz w:val="20"/>
                <w:szCs w:val="20"/>
                <w:color w:val="auto"/>
              </w:rPr>
            </w:pPr>
            <w:r>
              <w:rPr>
                <w:rFonts w:ascii="Arial" w:cs="Arial" w:eastAsia="Arial" w:hAnsi="Arial"/>
                <w:sz w:val="18"/>
                <w:szCs w:val="18"/>
                <w:b w:val="1"/>
                <w:bCs w:val="1"/>
                <w:color w:val="FFFFFF"/>
              </w:rPr>
              <w:t>Performance Stock Units</w:t>
            </w:r>
          </w:p>
        </w:tc>
      </w:tr>
      <w:tr>
        <w:trPr>
          <w:trHeight w:val="74"/>
        </w:trPr>
        <w:tc>
          <w:tcPr>
            <w:tcW w:w="7160" w:type="dxa"/>
            <w:vAlign w:val="bottom"/>
            <w:tcBorders>
              <w:left w:val="single" w:sz="8" w:color="3F000B"/>
              <w:right w:val="single" w:sz="8" w:color="DADADA"/>
            </w:tcBorders>
            <w:shd w:val="clear" w:color="auto" w:fill="3F000B"/>
          </w:tcPr>
          <w:p>
            <w:pPr>
              <w:spacing w:after="0"/>
              <w:rPr>
                <w:sz w:val="6"/>
                <w:szCs w:val="6"/>
                <w:color w:val="auto"/>
              </w:rPr>
            </w:pPr>
          </w:p>
        </w:tc>
        <w:tc>
          <w:tcPr>
            <w:tcW w:w="1360" w:type="dxa"/>
            <w:vAlign w:val="bottom"/>
            <w:shd w:val="clear" w:color="auto" w:fill="3F000B"/>
          </w:tcPr>
          <w:p>
            <w:pPr>
              <w:spacing w:after="0"/>
              <w:rPr>
                <w:sz w:val="6"/>
                <w:szCs w:val="6"/>
                <w:color w:val="auto"/>
              </w:rPr>
            </w:pPr>
          </w:p>
        </w:tc>
        <w:tc>
          <w:tcPr>
            <w:tcW w:w="580" w:type="dxa"/>
            <w:vAlign w:val="bottom"/>
            <w:tcBorders>
              <w:right w:val="single" w:sz="8" w:color="3F000B"/>
            </w:tcBorders>
            <w:shd w:val="clear" w:color="auto" w:fill="3F000B"/>
          </w:tcPr>
          <w:p>
            <w:pPr>
              <w:spacing w:after="0"/>
              <w:rPr>
                <w:sz w:val="6"/>
                <w:szCs w:val="6"/>
                <w:color w:val="auto"/>
              </w:rPr>
            </w:pPr>
          </w:p>
        </w:tc>
        <w:tc>
          <w:tcPr>
            <w:tcW w:w="1960" w:type="dxa"/>
            <w:vAlign w:val="bottom"/>
            <w:tcBorders>
              <w:right w:val="single" w:sz="8" w:color="3F000B"/>
            </w:tcBorders>
            <w:shd w:val="clear" w:color="auto" w:fill="3F000B"/>
          </w:tcPr>
          <w:p>
            <w:pPr>
              <w:spacing w:after="0"/>
              <w:rPr>
                <w:sz w:val="6"/>
                <w:szCs w:val="6"/>
                <w:color w:val="auto"/>
              </w:rPr>
            </w:pPr>
          </w:p>
        </w:tc>
      </w:tr>
      <w:tr>
        <w:trPr>
          <w:trHeight w:val="326"/>
        </w:trPr>
        <w:tc>
          <w:tcPr>
            <w:tcW w:w="7160" w:type="dxa"/>
            <w:vAlign w:val="bottom"/>
            <w:tcBorders>
              <w:left w:val="single" w:sz="8" w:color="3F000B"/>
              <w:right w:val="single" w:sz="8" w:color="DADADA"/>
            </w:tcBorders>
            <w:shd w:val="clear" w:color="auto" w:fill="3F000B"/>
          </w:tcPr>
          <w:p>
            <w:pPr>
              <w:spacing w:after="0"/>
              <w:rPr>
                <w:sz w:val="24"/>
                <w:szCs w:val="24"/>
                <w:color w:val="auto"/>
              </w:rPr>
            </w:pPr>
          </w:p>
        </w:tc>
        <w:tc>
          <w:tcPr>
            <w:tcW w:w="1360" w:type="dxa"/>
            <w:vAlign w:val="bottom"/>
            <w:shd w:val="clear" w:color="auto" w:fill="3F000B"/>
          </w:tcPr>
          <w:p>
            <w:pPr>
              <w:jc w:val="center"/>
              <w:ind w:left="470"/>
              <w:spacing w:after="0"/>
              <w:rPr>
                <w:sz w:val="20"/>
                <w:szCs w:val="20"/>
                <w:color w:val="auto"/>
              </w:rPr>
            </w:pPr>
            <w:r>
              <w:rPr>
                <w:rFonts w:ascii="Arial" w:cs="Arial" w:eastAsia="Arial" w:hAnsi="Arial"/>
                <w:sz w:val="18"/>
                <w:szCs w:val="18"/>
                <w:b w:val="1"/>
                <w:bCs w:val="1"/>
                <w:color w:val="FFFFFF"/>
                <w:w w:val="87"/>
              </w:rPr>
              <w:t>Number</w:t>
            </w:r>
            <w:r>
              <w:rPr>
                <w:rFonts w:ascii="Arial" w:cs="Arial" w:eastAsia="Arial" w:hAnsi="Arial"/>
                <w:sz w:val="23"/>
                <w:szCs w:val="23"/>
                <w:b w:val="1"/>
                <w:bCs w:val="1"/>
                <w:color w:val="FFFFFF"/>
                <w:w w:val="87"/>
                <w:vertAlign w:val="superscript"/>
              </w:rPr>
              <w:t>(1)</w:t>
            </w:r>
          </w:p>
        </w:tc>
        <w:tc>
          <w:tcPr>
            <w:tcW w:w="580" w:type="dxa"/>
            <w:vAlign w:val="bottom"/>
            <w:tcBorders>
              <w:right w:val="single" w:sz="8" w:color="DADADA"/>
            </w:tcBorders>
            <w:shd w:val="clear" w:color="auto" w:fill="3F000B"/>
          </w:tcPr>
          <w:p>
            <w:pPr>
              <w:spacing w:after="0"/>
              <w:rPr>
                <w:sz w:val="24"/>
                <w:szCs w:val="24"/>
                <w:color w:val="auto"/>
              </w:rPr>
            </w:pPr>
          </w:p>
        </w:tc>
        <w:tc>
          <w:tcPr>
            <w:tcW w:w="1960" w:type="dxa"/>
            <w:vAlign w:val="bottom"/>
            <w:tcBorders>
              <w:right w:val="single" w:sz="8" w:color="3F000B"/>
            </w:tcBorders>
            <w:shd w:val="clear" w:color="auto" w:fill="3F000B"/>
          </w:tcPr>
          <w:p>
            <w:pPr>
              <w:jc w:val="right"/>
              <w:ind w:right="610"/>
              <w:spacing w:after="0"/>
              <w:rPr>
                <w:sz w:val="20"/>
                <w:szCs w:val="20"/>
                <w:color w:val="auto"/>
              </w:rPr>
            </w:pPr>
            <w:r>
              <w:rPr>
                <w:rFonts w:ascii="Arial" w:cs="Arial" w:eastAsia="Arial" w:hAnsi="Arial"/>
                <w:sz w:val="18"/>
                <w:szCs w:val="18"/>
                <w:b w:val="1"/>
                <w:bCs w:val="1"/>
                <w:color w:val="FFFFFF"/>
              </w:rPr>
              <w:t>Value</w:t>
            </w:r>
            <w:r>
              <w:rPr>
                <w:rFonts w:ascii="Arial" w:cs="Arial" w:eastAsia="Arial" w:hAnsi="Arial"/>
                <w:sz w:val="23"/>
                <w:szCs w:val="23"/>
                <w:b w:val="1"/>
                <w:bCs w:val="1"/>
                <w:color w:val="FFFFFF"/>
                <w:vertAlign w:val="superscript"/>
              </w:rPr>
              <w:t>(2)</w:t>
            </w:r>
          </w:p>
        </w:tc>
      </w:tr>
      <w:tr>
        <w:trPr>
          <w:trHeight w:val="234"/>
        </w:trPr>
        <w:tc>
          <w:tcPr>
            <w:tcW w:w="7160" w:type="dxa"/>
            <w:vAlign w:val="bottom"/>
            <w:tcBorders>
              <w:left w:val="single" w:sz="8" w:color="3F000B"/>
              <w:right w:val="single" w:sz="8" w:color="DADADA"/>
            </w:tcBorders>
            <w:shd w:val="clear" w:color="auto" w:fill="3F000B"/>
          </w:tcPr>
          <w:p>
            <w:pPr>
              <w:ind w:left="3360"/>
              <w:spacing w:after="0"/>
              <w:rPr>
                <w:sz w:val="20"/>
                <w:szCs w:val="20"/>
                <w:color w:val="auto"/>
              </w:rPr>
            </w:pPr>
            <w:r>
              <w:rPr>
                <w:rFonts w:ascii="Arial" w:cs="Arial" w:eastAsia="Arial" w:hAnsi="Arial"/>
                <w:sz w:val="18"/>
                <w:szCs w:val="18"/>
                <w:b w:val="1"/>
                <w:bCs w:val="1"/>
                <w:color w:val="FFFFFF"/>
              </w:rPr>
              <w:t>Name</w:t>
            </w:r>
          </w:p>
        </w:tc>
        <w:tc>
          <w:tcPr>
            <w:tcW w:w="1360" w:type="dxa"/>
            <w:vAlign w:val="bottom"/>
            <w:shd w:val="clear" w:color="auto" w:fill="3F000B"/>
          </w:tcPr>
          <w:p>
            <w:pPr>
              <w:jc w:val="right"/>
              <w:ind w:right="210"/>
              <w:spacing w:after="0"/>
              <w:rPr>
                <w:sz w:val="20"/>
                <w:szCs w:val="20"/>
                <w:color w:val="auto"/>
              </w:rPr>
            </w:pPr>
            <w:r>
              <w:rPr>
                <w:rFonts w:ascii="Arial" w:cs="Arial" w:eastAsia="Arial" w:hAnsi="Arial"/>
                <w:sz w:val="18"/>
                <w:szCs w:val="18"/>
                <w:b w:val="1"/>
                <w:bCs w:val="1"/>
                <w:color w:val="FFFFFF"/>
              </w:rPr>
              <w:t>(#)</w:t>
            </w:r>
          </w:p>
        </w:tc>
        <w:tc>
          <w:tcPr>
            <w:tcW w:w="580" w:type="dxa"/>
            <w:vAlign w:val="bottom"/>
            <w:tcBorders>
              <w:right w:val="single" w:sz="8" w:color="DADADA"/>
            </w:tcBorders>
            <w:shd w:val="clear" w:color="auto" w:fill="3F000B"/>
          </w:tcPr>
          <w:p>
            <w:pPr>
              <w:spacing w:after="0"/>
              <w:rPr>
                <w:sz w:val="20"/>
                <w:szCs w:val="20"/>
                <w:color w:val="auto"/>
              </w:rPr>
            </w:pPr>
          </w:p>
        </w:tc>
        <w:tc>
          <w:tcPr>
            <w:tcW w:w="1960" w:type="dxa"/>
            <w:vAlign w:val="bottom"/>
            <w:tcBorders>
              <w:right w:val="single" w:sz="8" w:color="3F000B"/>
            </w:tcBorders>
            <w:shd w:val="clear" w:color="auto" w:fill="3F000B"/>
          </w:tcPr>
          <w:p>
            <w:pPr>
              <w:jc w:val="right"/>
              <w:ind w:right="810"/>
              <w:spacing w:after="0"/>
              <w:rPr>
                <w:sz w:val="20"/>
                <w:szCs w:val="20"/>
                <w:color w:val="auto"/>
              </w:rPr>
            </w:pPr>
            <w:r>
              <w:rPr>
                <w:rFonts w:ascii="Arial" w:cs="Arial" w:eastAsia="Arial" w:hAnsi="Arial"/>
                <w:sz w:val="18"/>
                <w:szCs w:val="18"/>
                <w:b w:val="1"/>
                <w:bCs w:val="1"/>
                <w:color w:val="FFFFFF"/>
              </w:rPr>
              <w:t>($)</w:t>
            </w:r>
          </w:p>
        </w:tc>
      </w:tr>
      <w:tr>
        <w:trPr>
          <w:trHeight w:val="67"/>
        </w:trPr>
        <w:tc>
          <w:tcPr>
            <w:tcW w:w="7160" w:type="dxa"/>
            <w:vAlign w:val="bottom"/>
            <w:tcBorders>
              <w:left w:val="single" w:sz="8" w:color="3F000B"/>
              <w:bottom w:val="single" w:sz="8" w:color="3F000B"/>
              <w:right w:val="single" w:sz="8" w:color="DADADA"/>
            </w:tcBorders>
            <w:shd w:val="clear" w:color="auto" w:fill="3F000B"/>
          </w:tcPr>
          <w:p>
            <w:pPr>
              <w:spacing w:after="0"/>
              <w:rPr>
                <w:sz w:val="5"/>
                <w:szCs w:val="5"/>
                <w:color w:val="auto"/>
              </w:rPr>
            </w:pPr>
          </w:p>
        </w:tc>
        <w:tc>
          <w:tcPr>
            <w:tcW w:w="1360" w:type="dxa"/>
            <w:vAlign w:val="bottom"/>
            <w:shd w:val="clear" w:color="auto" w:fill="3F000B"/>
          </w:tcPr>
          <w:p>
            <w:pPr>
              <w:spacing w:after="0"/>
              <w:rPr>
                <w:sz w:val="5"/>
                <w:szCs w:val="5"/>
                <w:color w:val="auto"/>
              </w:rPr>
            </w:pPr>
          </w:p>
        </w:tc>
        <w:tc>
          <w:tcPr>
            <w:tcW w:w="580" w:type="dxa"/>
            <w:vAlign w:val="bottom"/>
            <w:tcBorders>
              <w:right w:val="single" w:sz="8" w:color="DADADA"/>
            </w:tcBorders>
            <w:shd w:val="clear" w:color="auto" w:fill="3F000B"/>
          </w:tcPr>
          <w:p>
            <w:pPr>
              <w:spacing w:after="0"/>
              <w:rPr>
                <w:sz w:val="5"/>
                <w:szCs w:val="5"/>
                <w:color w:val="auto"/>
              </w:rPr>
            </w:pPr>
          </w:p>
        </w:tc>
        <w:tc>
          <w:tcPr>
            <w:tcW w:w="1960" w:type="dxa"/>
            <w:vAlign w:val="bottom"/>
            <w:tcBorders>
              <w:right w:val="single" w:sz="8" w:color="3F000B"/>
            </w:tcBorders>
            <w:shd w:val="clear" w:color="auto" w:fill="3F000B"/>
          </w:tcPr>
          <w:p>
            <w:pPr>
              <w:spacing w:after="0"/>
              <w:rPr>
                <w:sz w:val="5"/>
                <w:szCs w:val="5"/>
                <w:color w:val="auto"/>
              </w:rPr>
            </w:pPr>
          </w:p>
        </w:tc>
      </w:tr>
      <w:tr>
        <w:trPr>
          <w:trHeight w:val="237"/>
        </w:trPr>
        <w:tc>
          <w:tcPr>
            <w:tcW w:w="71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Ms. Buck</w:t>
            </w:r>
          </w:p>
        </w:tc>
        <w:tc>
          <w:tcPr>
            <w:tcW w:w="1360" w:type="dxa"/>
            <w:vAlign w:val="bottom"/>
          </w:tcPr>
          <w:p>
            <w:pPr>
              <w:spacing w:after="0"/>
              <w:rPr>
                <w:sz w:val="20"/>
                <w:szCs w:val="20"/>
                <w:color w:val="auto"/>
              </w:rPr>
            </w:pPr>
          </w:p>
        </w:tc>
        <w:tc>
          <w:tcPr>
            <w:tcW w:w="5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w w:val="83"/>
              </w:rPr>
              <w:t>79,722</w:t>
            </w:r>
          </w:p>
        </w:tc>
        <w:tc>
          <w:tcPr>
            <w:tcW w:w="19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12,144,052</w:t>
            </w:r>
          </w:p>
        </w:tc>
      </w:tr>
      <w:tr>
        <w:trPr>
          <w:trHeight w:val="27"/>
        </w:trPr>
        <w:tc>
          <w:tcPr>
            <w:tcW w:w="7160" w:type="dxa"/>
            <w:vAlign w:val="bottom"/>
            <w:tcBorders>
              <w:left w:val="single" w:sz="8" w:color="3F000B"/>
              <w:right w:val="single" w:sz="8" w:color="3F000B"/>
            </w:tcBorders>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Borders>
              <w:right w:val="single" w:sz="8" w:color="3F000B"/>
            </w:tcBorders>
          </w:tcPr>
          <w:p>
            <w:pPr>
              <w:spacing w:after="0"/>
              <w:rPr>
                <w:sz w:val="2"/>
                <w:szCs w:val="2"/>
                <w:color w:val="auto"/>
              </w:rPr>
            </w:pPr>
          </w:p>
        </w:tc>
        <w:tc>
          <w:tcPr>
            <w:tcW w:w="1960" w:type="dxa"/>
            <w:vAlign w:val="bottom"/>
            <w:tcBorders>
              <w:right w:val="single" w:sz="8" w:color="3F000B"/>
            </w:tcBorders>
          </w:tcPr>
          <w:p>
            <w:pPr>
              <w:spacing w:after="0"/>
              <w:rPr>
                <w:sz w:val="2"/>
                <w:szCs w:val="2"/>
                <w:color w:val="auto"/>
              </w:rPr>
            </w:pPr>
          </w:p>
        </w:tc>
      </w:tr>
      <w:tr>
        <w:trPr>
          <w:trHeight w:val="250"/>
        </w:trPr>
        <w:tc>
          <w:tcPr>
            <w:tcW w:w="716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1360" w:type="dxa"/>
            <w:vAlign w:val="bottom"/>
            <w:tcBorders>
              <w:bottom w:val="single" w:sz="8" w:color="DADADA"/>
            </w:tcBorders>
            <w:shd w:val="clear" w:color="auto" w:fill="DADADA"/>
          </w:tcPr>
          <w:p>
            <w:pPr>
              <w:spacing w:after="0"/>
              <w:rPr>
                <w:sz w:val="21"/>
                <w:szCs w:val="21"/>
                <w:color w:val="auto"/>
              </w:rPr>
            </w:pPr>
          </w:p>
        </w:tc>
        <w:tc>
          <w:tcPr>
            <w:tcW w:w="5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6,243</w:t>
            </w:r>
          </w:p>
        </w:tc>
        <w:tc>
          <w:tcPr>
            <w:tcW w:w="19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950,996</w:t>
            </w:r>
          </w:p>
        </w:tc>
      </w:tr>
      <w:tr>
        <w:trPr>
          <w:trHeight w:val="270"/>
        </w:trPr>
        <w:tc>
          <w:tcPr>
            <w:tcW w:w="71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Raup</w:t>
            </w:r>
          </w:p>
        </w:tc>
        <w:tc>
          <w:tcPr>
            <w:tcW w:w="1360" w:type="dxa"/>
            <w:vAlign w:val="bottom"/>
          </w:tcPr>
          <w:p>
            <w:pPr>
              <w:spacing w:after="0"/>
              <w:rPr>
                <w:sz w:val="23"/>
                <w:szCs w:val="23"/>
                <w:color w:val="auto"/>
              </w:rPr>
            </w:pPr>
          </w:p>
        </w:tc>
        <w:tc>
          <w:tcPr>
            <w:tcW w:w="5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4,277</w:t>
            </w:r>
          </w:p>
        </w:tc>
        <w:tc>
          <w:tcPr>
            <w:tcW w:w="19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651,515</w:t>
            </w:r>
          </w:p>
        </w:tc>
      </w:tr>
      <w:tr>
        <w:trPr>
          <w:trHeight w:val="250"/>
        </w:trPr>
        <w:tc>
          <w:tcPr>
            <w:tcW w:w="716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1360" w:type="dxa"/>
            <w:vAlign w:val="bottom"/>
            <w:tcBorders>
              <w:bottom w:val="single" w:sz="8" w:color="DADADA"/>
            </w:tcBorders>
            <w:shd w:val="clear" w:color="auto" w:fill="DADADA"/>
          </w:tcPr>
          <w:p>
            <w:pPr>
              <w:spacing w:after="0"/>
              <w:rPr>
                <w:sz w:val="21"/>
                <w:szCs w:val="21"/>
                <w:color w:val="auto"/>
              </w:rPr>
            </w:pPr>
          </w:p>
        </w:tc>
        <w:tc>
          <w:tcPr>
            <w:tcW w:w="58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4,976</w:t>
            </w:r>
          </w:p>
        </w:tc>
        <w:tc>
          <w:tcPr>
            <w:tcW w:w="19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757,994</w:t>
            </w:r>
          </w:p>
        </w:tc>
      </w:tr>
      <w:tr>
        <w:trPr>
          <w:trHeight w:val="243"/>
        </w:trPr>
        <w:tc>
          <w:tcPr>
            <w:tcW w:w="71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1360" w:type="dxa"/>
            <w:vAlign w:val="bottom"/>
          </w:tcPr>
          <w:p>
            <w:pPr>
              <w:spacing w:after="0"/>
              <w:rPr>
                <w:sz w:val="21"/>
                <w:szCs w:val="21"/>
                <w:color w:val="auto"/>
              </w:rPr>
            </w:pPr>
          </w:p>
        </w:tc>
        <w:tc>
          <w:tcPr>
            <w:tcW w:w="58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w w:val="83"/>
              </w:rPr>
              <w:t>11,280</w:t>
            </w:r>
          </w:p>
        </w:tc>
        <w:tc>
          <w:tcPr>
            <w:tcW w:w="19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1,718,282</w:t>
            </w:r>
          </w:p>
        </w:tc>
      </w:tr>
      <w:tr>
        <w:trPr>
          <w:trHeight w:val="27"/>
        </w:trPr>
        <w:tc>
          <w:tcPr>
            <w:tcW w:w="7160" w:type="dxa"/>
            <w:vAlign w:val="bottom"/>
            <w:tcBorders>
              <w:left w:val="single" w:sz="8" w:color="3F000B"/>
              <w:bottom w:val="single" w:sz="8" w:color="3F000B"/>
              <w:right w:val="single" w:sz="8" w:color="3F000B"/>
            </w:tcBorders>
          </w:tcPr>
          <w:p>
            <w:pPr>
              <w:spacing w:after="0"/>
              <w:rPr>
                <w:sz w:val="2"/>
                <w:szCs w:val="2"/>
                <w:color w:val="auto"/>
              </w:rPr>
            </w:pPr>
          </w:p>
        </w:tc>
        <w:tc>
          <w:tcPr>
            <w:tcW w:w="1360" w:type="dxa"/>
            <w:vAlign w:val="bottom"/>
            <w:tcBorders>
              <w:bottom w:val="single" w:sz="8" w:color="3F000B"/>
            </w:tcBorders>
          </w:tcPr>
          <w:p>
            <w:pPr>
              <w:spacing w:after="0"/>
              <w:rPr>
                <w:sz w:val="2"/>
                <w:szCs w:val="2"/>
                <w:color w:val="auto"/>
              </w:rPr>
            </w:pPr>
          </w:p>
        </w:tc>
        <w:tc>
          <w:tcPr>
            <w:tcW w:w="580" w:type="dxa"/>
            <w:vAlign w:val="bottom"/>
            <w:tcBorders>
              <w:bottom w:val="single" w:sz="8" w:color="3F000B"/>
              <w:right w:val="single" w:sz="8" w:color="3F000B"/>
            </w:tcBorders>
          </w:tcPr>
          <w:p>
            <w:pPr>
              <w:spacing w:after="0"/>
              <w:rPr>
                <w:sz w:val="2"/>
                <w:szCs w:val="2"/>
                <w:color w:val="auto"/>
              </w:rPr>
            </w:pPr>
          </w:p>
        </w:tc>
        <w:tc>
          <w:tcPr>
            <w:tcW w:w="1960" w:type="dxa"/>
            <w:vAlign w:val="bottom"/>
            <w:tcBorders>
              <w:bottom w:val="single" w:sz="8" w:color="3F000B"/>
              <w:right w:val="single" w:sz="8" w:color="3F000B"/>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right="20" w:hanging="332"/>
        <w:spacing w:after="0" w:line="273" w:lineRule="auto"/>
        <w:tabs>
          <w:tab w:leader="none" w:pos="332" w:val="left"/>
        </w:tabs>
        <w:numPr>
          <w:ilvl w:val="0"/>
          <w:numId w:val="160"/>
        </w:numPr>
        <w:rPr>
          <w:rFonts w:ascii="Arial" w:cs="Arial" w:eastAsia="Arial" w:hAnsi="Arial"/>
          <w:sz w:val="14"/>
          <w:szCs w:val="14"/>
          <w:color w:val="auto"/>
        </w:rPr>
      </w:pPr>
      <w:r>
        <w:rPr>
          <w:rFonts w:ascii="Arial" w:cs="Arial" w:eastAsia="Arial" w:hAnsi="Arial"/>
          <w:sz w:val="14"/>
          <w:szCs w:val="14"/>
          <w:color w:val="auto"/>
        </w:rPr>
        <w:t>For the 2018-2020 PSU cycle, amount reflects the total number of contingent PSUs calculated by multiplying the number of contingent target PSUs by 170.71%, the final performance score for that cycle. For the 2019-2021 and 2020-2022 PSU cycles, amount reflects the total number of contingent PSUs at target.</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Based on the closing price of $152.33 for our Common Stock on the NYSE on December 31, 2020, the last trading day of 2020.</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Termination without Cause; Resignation for Good Reason</w:t>
      </w:r>
    </w:p>
    <w:p>
      <w:pPr>
        <w:spacing w:after="0" w:line="15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Ms. Buck’s employment agreement and the EBPP 3A, as applicable, we have agreed to pay severance benefits if we terminate a NEO’s active employment without Cause or if the NEO resigns from active employment for Good Reason, in each case as defined in the applicable document. Severance benefits consist of a lump sum payment calculated as a multiple of base salary as well as continued OHIP eligibility, calculated as the lower of target or actual Company performance, for a set period of time, as shown in the table below. Additionally, all NEOs would be entitled to receive a pro rata payment of the OHIP award, if any, earned for the year in which termination occurs, continuation of health and welfare benefits and financial planning and tax preparation benefits for a set period of time, as shown in the table below as well as outplacement services up to $35,000.</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20" w:type="dxa"/>
            <w:vAlign w:val="bottom"/>
            <w:tcBorders>
              <w:top w:val="single" w:sz="8" w:color="3F000B"/>
              <w:left w:val="single" w:sz="8" w:color="3F000B"/>
              <w:right w:val="single" w:sz="8" w:color="DADADA"/>
            </w:tcBorders>
            <w:shd w:val="clear" w:color="auto" w:fill="3F000B"/>
          </w:tcPr>
          <w:p>
            <w:pPr>
              <w:spacing w:after="0"/>
              <w:rPr>
                <w:sz w:val="22"/>
                <w:szCs w:val="22"/>
                <w:color w:val="auto"/>
              </w:rPr>
            </w:pPr>
          </w:p>
        </w:tc>
        <w:tc>
          <w:tcPr>
            <w:tcW w:w="1800" w:type="dxa"/>
            <w:vAlign w:val="bottom"/>
            <w:tcBorders>
              <w:top w:val="single" w:sz="8" w:color="3F000B"/>
              <w:right w:val="single" w:sz="8" w:color="3F000B"/>
            </w:tcBorders>
            <w:shd w:val="clear" w:color="auto" w:fill="3F000B"/>
          </w:tcPr>
          <w:p>
            <w:pPr>
              <w:spacing w:after="0"/>
              <w:rPr>
                <w:sz w:val="22"/>
                <w:szCs w:val="22"/>
                <w:color w:val="auto"/>
              </w:rPr>
            </w:pPr>
          </w:p>
        </w:tc>
        <w:tc>
          <w:tcPr>
            <w:tcW w:w="3600" w:type="dxa"/>
            <w:vAlign w:val="bottom"/>
            <w:tcBorders>
              <w:top w:val="single" w:sz="8" w:color="3F000B"/>
              <w:right w:val="single" w:sz="8" w:color="3F000B"/>
            </w:tcBorders>
            <w:gridSpan w:val="2"/>
            <w:shd w:val="clear" w:color="auto" w:fill="3F000B"/>
          </w:tcPr>
          <w:p>
            <w:pPr>
              <w:ind w:left="1020"/>
              <w:spacing w:after="0"/>
              <w:rPr>
                <w:sz w:val="20"/>
                <w:szCs w:val="20"/>
                <w:color w:val="auto"/>
              </w:rPr>
            </w:pPr>
            <w:r>
              <w:rPr>
                <w:rFonts w:ascii="Arial" w:cs="Arial" w:eastAsia="Arial" w:hAnsi="Arial"/>
                <w:sz w:val="18"/>
                <w:szCs w:val="18"/>
                <w:b w:val="1"/>
                <w:bCs w:val="1"/>
                <w:color w:val="FFFFFF"/>
              </w:rPr>
              <w:t>Benefit Entitlement</w:t>
            </w:r>
          </w:p>
        </w:tc>
        <w:tc>
          <w:tcPr>
            <w:tcW w:w="1780" w:type="dxa"/>
            <w:vAlign w:val="bottom"/>
            <w:tcBorders>
              <w:top w:val="single" w:sz="8" w:color="3F000B"/>
              <w:right w:val="single" w:sz="8" w:color="3F000B"/>
            </w:tcBorders>
            <w:shd w:val="clear" w:color="auto" w:fill="3F000B"/>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4020" w:type="dxa"/>
            <w:vAlign w:val="bottom"/>
            <w:tcBorders>
              <w:left w:val="single" w:sz="8" w:color="3F000B"/>
              <w:right w:val="single" w:sz="8" w:color="DADADA"/>
            </w:tcBorders>
            <w:shd w:val="clear" w:color="auto" w:fill="3F000B"/>
          </w:tcPr>
          <w:p>
            <w:pPr>
              <w:spacing w:after="0"/>
              <w:rPr>
                <w:sz w:val="6"/>
                <w:szCs w:val="6"/>
                <w:color w:val="auto"/>
              </w:rPr>
            </w:pPr>
          </w:p>
        </w:tc>
        <w:tc>
          <w:tcPr>
            <w:tcW w:w="1800" w:type="dxa"/>
            <w:vAlign w:val="bottom"/>
            <w:tcBorders>
              <w:right w:val="single" w:sz="8" w:color="3F000B"/>
            </w:tcBorders>
            <w:shd w:val="clear" w:color="auto" w:fill="3F000B"/>
          </w:tcPr>
          <w:p>
            <w:pPr>
              <w:spacing w:after="0"/>
              <w:rPr>
                <w:sz w:val="6"/>
                <w:szCs w:val="6"/>
                <w:color w:val="auto"/>
              </w:rPr>
            </w:pPr>
          </w:p>
        </w:tc>
        <w:tc>
          <w:tcPr>
            <w:tcW w:w="1800" w:type="dxa"/>
            <w:vAlign w:val="bottom"/>
            <w:tcBorders>
              <w:right w:val="single" w:sz="8" w:color="3F000B"/>
            </w:tcBorders>
            <w:shd w:val="clear" w:color="auto" w:fill="3F000B"/>
          </w:tcPr>
          <w:p>
            <w:pPr>
              <w:spacing w:after="0"/>
              <w:rPr>
                <w:sz w:val="6"/>
                <w:szCs w:val="6"/>
                <w:color w:val="auto"/>
              </w:rPr>
            </w:pPr>
          </w:p>
        </w:tc>
        <w:tc>
          <w:tcPr>
            <w:tcW w:w="1800" w:type="dxa"/>
            <w:vAlign w:val="bottom"/>
            <w:tcBorders>
              <w:right w:val="single" w:sz="8" w:color="3F000B"/>
            </w:tcBorders>
            <w:shd w:val="clear" w:color="auto" w:fill="3F000B"/>
          </w:tcPr>
          <w:p>
            <w:pPr>
              <w:spacing w:after="0"/>
              <w:rPr>
                <w:sz w:val="6"/>
                <w:szCs w:val="6"/>
                <w:color w:val="auto"/>
              </w:rPr>
            </w:pPr>
          </w:p>
        </w:tc>
        <w:tc>
          <w:tcPr>
            <w:tcW w:w="1780" w:type="dxa"/>
            <w:vAlign w:val="bottom"/>
            <w:tcBorders>
              <w:right w:val="single" w:sz="8" w:color="3F000B"/>
            </w:tcBorders>
            <w:shd w:val="clear" w:color="auto" w:fill="3F000B"/>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020" w:type="dxa"/>
            <w:vAlign w:val="bottom"/>
            <w:tcBorders>
              <w:left w:val="single" w:sz="8" w:color="3F000B"/>
              <w:right w:val="single" w:sz="8" w:color="DADADA"/>
            </w:tcBorders>
            <w:shd w:val="clear" w:color="auto" w:fill="3F000B"/>
          </w:tcPr>
          <w:p>
            <w:pPr>
              <w:spacing w:after="0"/>
              <w:rPr>
                <w:sz w:val="22"/>
                <w:szCs w:val="22"/>
                <w:color w:val="auto"/>
              </w:rPr>
            </w:pPr>
          </w:p>
        </w:tc>
        <w:tc>
          <w:tcPr>
            <w:tcW w:w="1800" w:type="dxa"/>
            <w:vAlign w:val="bottom"/>
            <w:tcBorders>
              <w:right w:val="single" w:sz="8" w:color="DADADA"/>
            </w:tcBorders>
            <w:shd w:val="clear" w:color="auto" w:fill="3F000B"/>
          </w:tcPr>
          <w:p>
            <w:pPr>
              <w:spacing w:after="0"/>
              <w:rPr>
                <w:sz w:val="22"/>
                <w:szCs w:val="22"/>
                <w:color w:val="auto"/>
              </w:rPr>
            </w:pPr>
          </w:p>
        </w:tc>
        <w:tc>
          <w:tcPr>
            <w:tcW w:w="1800" w:type="dxa"/>
            <w:vAlign w:val="bottom"/>
            <w:tcBorders>
              <w:right w:val="single" w:sz="8" w:color="DADADA"/>
            </w:tcBorders>
            <w:shd w:val="clear" w:color="auto" w:fill="3F000B"/>
          </w:tcPr>
          <w:p>
            <w:pPr>
              <w:spacing w:after="0"/>
              <w:rPr>
                <w:sz w:val="22"/>
                <w:szCs w:val="22"/>
                <w:color w:val="auto"/>
              </w:rPr>
            </w:pPr>
          </w:p>
        </w:tc>
        <w:tc>
          <w:tcPr>
            <w:tcW w:w="1800" w:type="dxa"/>
            <w:vAlign w:val="bottom"/>
            <w:tcBorders>
              <w:right w:val="single" w:sz="8" w:color="DADADA"/>
            </w:tcBorders>
            <w:shd w:val="clear" w:color="auto" w:fill="3F000B"/>
          </w:tcPr>
          <w:p>
            <w:pPr>
              <w:spacing w:after="0"/>
              <w:rPr>
                <w:sz w:val="22"/>
                <w:szCs w:val="22"/>
                <w:color w:val="auto"/>
              </w:rPr>
            </w:pPr>
          </w:p>
        </w:tc>
        <w:tc>
          <w:tcPr>
            <w:tcW w:w="17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Financial Planning</w:t>
            </w:r>
          </w:p>
        </w:tc>
        <w:tc>
          <w:tcPr>
            <w:tcW w:w="0" w:type="dxa"/>
            <w:vAlign w:val="bottom"/>
          </w:tcPr>
          <w:p>
            <w:pPr>
              <w:spacing w:after="0"/>
              <w:rPr>
                <w:sz w:val="1"/>
                <w:szCs w:val="1"/>
                <w:color w:val="auto"/>
              </w:rPr>
            </w:pPr>
          </w:p>
        </w:tc>
      </w:tr>
      <w:tr>
        <w:trPr>
          <w:trHeight w:val="216"/>
        </w:trPr>
        <w:tc>
          <w:tcPr>
            <w:tcW w:w="4020" w:type="dxa"/>
            <w:vAlign w:val="bottom"/>
            <w:tcBorders>
              <w:left w:val="single" w:sz="8" w:color="3F000B"/>
              <w:right w:val="single" w:sz="8" w:color="DADADA"/>
            </w:tcBorders>
            <w:shd w:val="clear" w:color="auto" w:fill="3F000B"/>
          </w:tcPr>
          <w:p>
            <w:pPr>
              <w:spacing w:after="0"/>
              <w:rPr>
                <w:sz w:val="18"/>
                <w:szCs w:val="18"/>
                <w:color w:val="auto"/>
              </w:rPr>
            </w:pPr>
          </w:p>
        </w:tc>
        <w:tc>
          <w:tcPr>
            <w:tcW w:w="1800" w:type="dxa"/>
            <w:vAlign w:val="bottom"/>
            <w:tcBorders>
              <w:right w:val="single" w:sz="8" w:color="DADADA"/>
            </w:tcBorders>
            <w:vMerge w:val="restart"/>
            <w:shd w:val="clear" w:color="auto" w:fill="3F000B"/>
          </w:tcPr>
          <w:p>
            <w:pPr>
              <w:jc w:val="right"/>
              <w:ind w:right="430"/>
              <w:spacing w:after="0"/>
              <w:rPr>
                <w:sz w:val="20"/>
                <w:szCs w:val="20"/>
                <w:color w:val="auto"/>
              </w:rPr>
            </w:pPr>
            <w:r>
              <w:rPr>
                <w:rFonts w:ascii="Arial" w:cs="Arial" w:eastAsia="Arial" w:hAnsi="Arial"/>
                <w:sz w:val="18"/>
                <w:szCs w:val="18"/>
                <w:b w:val="1"/>
                <w:bCs w:val="1"/>
                <w:color w:val="FFFFFF"/>
              </w:rPr>
              <w:t>Severance</w:t>
            </w:r>
          </w:p>
        </w:tc>
        <w:tc>
          <w:tcPr>
            <w:tcW w:w="1800" w:type="dxa"/>
            <w:vAlign w:val="bottom"/>
            <w:tcBorders>
              <w:right w:val="single" w:sz="8" w:color="DADADA"/>
            </w:tcBorders>
            <w:shd w:val="clear" w:color="auto" w:fill="3F000B"/>
          </w:tcPr>
          <w:p>
            <w:pPr>
              <w:spacing w:after="0"/>
              <w:rPr>
                <w:sz w:val="18"/>
                <w:szCs w:val="18"/>
                <w:color w:val="auto"/>
              </w:rPr>
            </w:pPr>
          </w:p>
        </w:tc>
        <w:tc>
          <w:tcPr>
            <w:tcW w:w="1800" w:type="dxa"/>
            <w:vAlign w:val="bottom"/>
            <w:tcBorders>
              <w:right w:val="single" w:sz="8" w:color="DADADA"/>
            </w:tcBorders>
            <w:shd w:val="clear" w:color="auto" w:fill="3F000B"/>
          </w:tcPr>
          <w:p>
            <w:pPr>
              <w:spacing w:after="0"/>
              <w:rPr>
                <w:sz w:val="18"/>
                <w:szCs w:val="18"/>
                <w:color w:val="auto"/>
              </w:rPr>
            </w:pPr>
          </w:p>
        </w:tc>
        <w:tc>
          <w:tcPr>
            <w:tcW w:w="1780" w:type="dxa"/>
            <w:vAlign w:val="bottom"/>
            <w:tcBorders>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3"/>
              </w:rPr>
              <w:t>and</w:t>
            </w:r>
          </w:p>
        </w:tc>
        <w:tc>
          <w:tcPr>
            <w:tcW w:w="0" w:type="dxa"/>
            <w:vAlign w:val="bottom"/>
          </w:tcPr>
          <w:p>
            <w:pPr>
              <w:spacing w:after="0"/>
              <w:rPr>
                <w:sz w:val="1"/>
                <w:szCs w:val="1"/>
                <w:color w:val="auto"/>
              </w:rPr>
            </w:pPr>
          </w:p>
        </w:tc>
      </w:tr>
      <w:tr>
        <w:trPr>
          <w:trHeight w:val="180"/>
        </w:trPr>
        <w:tc>
          <w:tcPr>
            <w:tcW w:w="4020" w:type="dxa"/>
            <w:vAlign w:val="bottom"/>
            <w:tcBorders>
              <w:left w:val="single" w:sz="8" w:color="3F000B"/>
              <w:right w:val="single" w:sz="8" w:color="DADADA"/>
            </w:tcBorders>
            <w:shd w:val="clear" w:color="auto" w:fill="3F000B"/>
          </w:tcPr>
          <w:p>
            <w:pPr>
              <w:spacing w:after="0"/>
              <w:rPr>
                <w:sz w:val="15"/>
                <w:szCs w:val="15"/>
                <w:color w:val="auto"/>
              </w:rPr>
            </w:pPr>
          </w:p>
        </w:tc>
        <w:tc>
          <w:tcPr>
            <w:tcW w:w="1800" w:type="dxa"/>
            <w:vAlign w:val="bottom"/>
            <w:tcBorders>
              <w:right w:val="single" w:sz="8" w:color="DADADA"/>
            </w:tcBorders>
            <w:vMerge w:val="continue"/>
            <w:shd w:val="clear" w:color="auto" w:fill="3F000B"/>
          </w:tcPr>
          <w:p>
            <w:pPr>
              <w:spacing w:after="0"/>
              <w:rPr>
                <w:sz w:val="15"/>
                <w:szCs w:val="15"/>
                <w:color w:val="auto"/>
              </w:rPr>
            </w:pPr>
          </w:p>
        </w:tc>
        <w:tc>
          <w:tcPr>
            <w:tcW w:w="1800" w:type="dxa"/>
            <w:vAlign w:val="bottom"/>
            <w:tcBorders>
              <w:right w:val="single" w:sz="8" w:color="DADADA"/>
            </w:tcBorders>
            <w:shd w:val="clear" w:color="auto" w:fill="3F000B"/>
          </w:tcPr>
          <w:p>
            <w:pPr>
              <w:spacing w:after="0"/>
              <w:rPr>
                <w:sz w:val="15"/>
                <w:szCs w:val="15"/>
                <w:color w:val="auto"/>
              </w:rPr>
            </w:pPr>
          </w:p>
        </w:tc>
        <w:tc>
          <w:tcPr>
            <w:tcW w:w="1800" w:type="dxa"/>
            <w:vAlign w:val="bottom"/>
            <w:tcBorders>
              <w:right w:val="single" w:sz="8" w:color="DADADA"/>
            </w:tcBorders>
            <w:shd w:val="clear" w:color="auto" w:fill="3F000B"/>
          </w:tcPr>
          <w:p>
            <w:pPr>
              <w:jc w:val="center"/>
              <w:spacing w:after="0" w:line="181" w:lineRule="exact"/>
              <w:rPr>
                <w:sz w:val="20"/>
                <w:szCs w:val="20"/>
                <w:color w:val="auto"/>
              </w:rPr>
            </w:pPr>
            <w:r>
              <w:rPr>
                <w:rFonts w:ascii="Arial" w:cs="Arial" w:eastAsia="Arial" w:hAnsi="Arial"/>
                <w:sz w:val="18"/>
                <w:szCs w:val="18"/>
                <w:b w:val="1"/>
                <w:bCs w:val="1"/>
                <w:color w:val="FFFFFF"/>
                <w:w w:val="91"/>
              </w:rPr>
              <w:t>Health and</w:t>
            </w:r>
          </w:p>
        </w:tc>
        <w:tc>
          <w:tcPr>
            <w:tcW w:w="1780" w:type="dxa"/>
            <w:vAlign w:val="bottom"/>
            <w:tcBorders>
              <w:right w:val="single" w:sz="8" w:color="3F000B"/>
            </w:tcBorders>
            <w:shd w:val="clear" w:color="auto" w:fill="3F000B"/>
          </w:tcPr>
          <w:p>
            <w:pPr>
              <w:jc w:val="center"/>
              <w:spacing w:after="0" w:line="181" w:lineRule="exact"/>
              <w:rPr>
                <w:sz w:val="20"/>
                <w:szCs w:val="20"/>
                <w:color w:val="auto"/>
              </w:rPr>
            </w:pPr>
            <w:r>
              <w:rPr>
                <w:rFonts w:ascii="Arial" w:cs="Arial" w:eastAsia="Arial" w:hAnsi="Arial"/>
                <w:sz w:val="18"/>
                <w:szCs w:val="18"/>
                <w:b w:val="1"/>
                <w:bCs w:val="1"/>
                <w:color w:val="FFFFFF"/>
                <w:w w:val="92"/>
              </w:rPr>
              <w:t>Tax Preparation</w:t>
            </w:r>
          </w:p>
        </w:tc>
        <w:tc>
          <w:tcPr>
            <w:tcW w:w="0" w:type="dxa"/>
            <w:vAlign w:val="bottom"/>
          </w:tcPr>
          <w:p>
            <w:pPr>
              <w:spacing w:after="0"/>
              <w:rPr>
                <w:sz w:val="1"/>
                <w:szCs w:val="1"/>
                <w:color w:val="auto"/>
              </w:rPr>
            </w:pPr>
          </w:p>
        </w:tc>
      </w:tr>
      <w:tr>
        <w:trPr>
          <w:trHeight w:val="302"/>
        </w:trPr>
        <w:tc>
          <w:tcPr>
            <w:tcW w:w="4020" w:type="dxa"/>
            <w:vAlign w:val="bottom"/>
            <w:tcBorders>
              <w:left w:val="single" w:sz="8" w:color="3F000B"/>
              <w:bottom w:val="single" w:sz="8" w:color="3F000B"/>
              <w:right w:val="single" w:sz="8" w:color="DADADA"/>
            </w:tcBorders>
            <w:shd w:val="clear" w:color="auto" w:fill="3F000B"/>
          </w:tcPr>
          <w:p>
            <w:pPr>
              <w:ind w:left="1840"/>
              <w:spacing w:after="0"/>
              <w:rPr>
                <w:sz w:val="20"/>
                <w:szCs w:val="20"/>
                <w:color w:val="auto"/>
              </w:rPr>
            </w:pPr>
            <w:r>
              <w:rPr>
                <w:rFonts w:ascii="Arial" w:cs="Arial" w:eastAsia="Arial" w:hAnsi="Arial"/>
                <w:sz w:val="18"/>
                <w:szCs w:val="18"/>
                <w:b w:val="1"/>
                <w:bCs w:val="1"/>
                <w:color w:val="FFFFFF"/>
              </w:rPr>
              <w:t>Plan</w:t>
            </w:r>
          </w:p>
        </w:tc>
        <w:tc>
          <w:tcPr>
            <w:tcW w:w="1800" w:type="dxa"/>
            <w:vAlign w:val="bottom"/>
            <w:tcBorders>
              <w:bottom w:val="single" w:sz="8" w:color="3F000B"/>
              <w:right w:val="single" w:sz="8" w:color="DADADA"/>
            </w:tcBorders>
            <w:shd w:val="clear" w:color="auto" w:fill="3F000B"/>
          </w:tcPr>
          <w:p>
            <w:pPr>
              <w:jc w:val="right"/>
              <w:ind w:right="490"/>
              <w:spacing w:after="0"/>
              <w:rPr>
                <w:sz w:val="20"/>
                <w:szCs w:val="20"/>
                <w:color w:val="auto"/>
              </w:rPr>
            </w:pPr>
            <w:r>
              <w:rPr>
                <w:rFonts w:ascii="Arial" w:cs="Arial" w:eastAsia="Arial" w:hAnsi="Arial"/>
                <w:sz w:val="18"/>
                <w:szCs w:val="18"/>
                <w:b w:val="1"/>
                <w:bCs w:val="1"/>
                <w:color w:val="FFFFFF"/>
              </w:rPr>
              <w:t>Multiple</w:t>
            </w:r>
          </w:p>
        </w:tc>
        <w:tc>
          <w:tcPr>
            <w:tcW w:w="1800" w:type="dxa"/>
            <w:vAlign w:val="bottom"/>
            <w:tcBorders>
              <w:bottom w:val="single" w:sz="8" w:color="3F000B"/>
              <w:right w:val="single" w:sz="8" w:color="DADADA"/>
            </w:tcBorders>
            <w:shd w:val="clear" w:color="auto" w:fill="3F000B"/>
          </w:tcPr>
          <w:p>
            <w:pPr>
              <w:ind w:left="120"/>
              <w:spacing w:after="0"/>
              <w:rPr>
                <w:sz w:val="20"/>
                <w:szCs w:val="20"/>
                <w:color w:val="auto"/>
              </w:rPr>
            </w:pPr>
            <w:r>
              <w:rPr>
                <w:rFonts w:ascii="Arial" w:cs="Arial" w:eastAsia="Arial" w:hAnsi="Arial"/>
                <w:sz w:val="18"/>
                <w:szCs w:val="18"/>
                <w:b w:val="1"/>
                <w:bCs w:val="1"/>
                <w:color w:val="FFFFFF"/>
              </w:rPr>
              <w:t>OHIP Continuation</w:t>
            </w:r>
          </w:p>
        </w:tc>
        <w:tc>
          <w:tcPr>
            <w:tcW w:w="18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Welfare Benefits</w:t>
            </w:r>
          </w:p>
        </w:tc>
        <w:tc>
          <w:tcPr>
            <w:tcW w:w="1780" w:type="dxa"/>
            <w:vAlign w:val="bottom"/>
            <w:tcBorders>
              <w:bottom w:val="single" w:sz="8" w:color="3F000B"/>
              <w:right w:val="single" w:sz="8" w:color="3F000B"/>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Benefits</w:t>
            </w:r>
          </w:p>
        </w:tc>
        <w:tc>
          <w:tcPr>
            <w:tcW w:w="0" w:type="dxa"/>
            <w:vAlign w:val="bottom"/>
          </w:tcPr>
          <w:p>
            <w:pPr>
              <w:spacing w:after="0"/>
              <w:rPr>
                <w:sz w:val="1"/>
                <w:szCs w:val="1"/>
                <w:color w:val="auto"/>
              </w:rPr>
            </w:pPr>
          </w:p>
        </w:tc>
      </w:tr>
      <w:tr>
        <w:trPr>
          <w:trHeight w:val="222"/>
        </w:trPr>
        <w:tc>
          <w:tcPr>
            <w:tcW w:w="4020" w:type="dxa"/>
            <w:vAlign w:val="bottom"/>
            <w:tcBorders>
              <w:top w:val="single" w:sz="8" w:color="3F000B"/>
              <w:left w:val="single" w:sz="8" w:color="3F000B"/>
              <w:right w:val="single" w:sz="8" w:color="542121"/>
            </w:tcBorders>
          </w:tcPr>
          <w:p>
            <w:pPr>
              <w:ind w:left="40"/>
              <w:spacing w:after="0"/>
              <w:rPr>
                <w:sz w:val="20"/>
                <w:szCs w:val="20"/>
                <w:color w:val="auto"/>
              </w:rPr>
            </w:pPr>
            <w:r>
              <w:rPr>
                <w:rFonts w:ascii="Arial" w:cs="Arial" w:eastAsia="Arial" w:hAnsi="Arial"/>
                <w:sz w:val="18"/>
                <w:szCs w:val="18"/>
                <w:color w:val="auto"/>
                <w:w w:val="91"/>
              </w:rPr>
              <w:t>Ms. Buck’s employment agreement and participants in</w:t>
            </w:r>
          </w:p>
        </w:tc>
        <w:tc>
          <w:tcPr>
            <w:tcW w:w="1800" w:type="dxa"/>
            <w:vAlign w:val="bottom"/>
            <w:tcBorders>
              <w:top w:val="single" w:sz="8" w:color="3F000B"/>
              <w:right w:val="single" w:sz="8" w:color="542121"/>
            </w:tcBorders>
          </w:tcPr>
          <w:p>
            <w:pPr>
              <w:spacing w:after="0"/>
              <w:rPr>
                <w:sz w:val="19"/>
                <w:szCs w:val="19"/>
                <w:color w:val="auto"/>
              </w:rPr>
            </w:pPr>
          </w:p>
        </w:tc>
        <w:tc>
          <w:tcPr>
            <w:tcW w:w="1800" w:type="dxa"/>
            <w:vAlign w:val="bottom"/>
            <w:tcBorders>
              <w:top w:val="single" w:sz="8" w:color="3F000B"/>
              <w:right w:val="single" w:sz="8" w:color="542121"/>
            </w:tcBorders>
          </w:tcPr>
          <w:p>
            <w:pPr>
              <w:spacing w:after="0"/>
              <w:rPr>
                <w:sz w:val="19"/>
                <w:szCs w:val="19"/>
                <w:color w:val="auto"/>
              </w:rPr>
            </w:pPr>
          </w:p>
        </w:tc>
        <w:tc>
          <w:tcPr>
            <w:tcW w:w="1800" w:type="dxa"/>
            <w:vAlign w:val="bottom"/>
            <w:tcBorders>
              <w:top w:val="single" w:sz="8" w:color="3F000B"/>
              <w:right w:val="single" w:sz="8" w:color="542121"/>
            </w:tcBorders>
          </w:tcPr>
          <w:p>
            <w:pPr>
              <w:spacing w:after="0"/>
              <w:rPr>
                <w:sz w:val="19"/>
                <w:szCs w:val="19"/>
                <w:color w:val="auto"/>
              </w:rPr>
            </w:pPr>
          </w:p>
        </w:tc>
        <w:tc>
          <w:tcPr>
            <w:tcW w:w="1780" w:type="dxa"/>
            <w:vAlign w:val="bottom"/>
            <w:tcBorders>
              <w:top w:val="single" w:sz="8" w:color="3F000B"/>
              <w:right w:val="single" w:sz="8" w:color="542121"/>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left w:val="single" w:sz="8" w:color="3F000B"/>
              <w:right w:val="single" w:sz="8" w:color="542121"/>
            </w:tcBorders>
          </w:tcPr>
          <w:p>
            <w:pPr>
              <w:ind w:left="40"/>
              <w:spacing w:after="0"/>
              <w:rPr>
                <w:sz w:val="20"/>
                <w:szCs w:val="20"/>
                <w:color w:val="auto"/>
              </w:rPr>
            </w:pPr>
            <w:r>
              <w:rPr>
                <w:rFonts w:ascii="Arial" w:cs="Arial" w:eastAsia="Arial" w:hAnsi="Arial"/>
                <w:sz w:val="18"/>
                <w:szCs w:val="18"/>
                <w:color w:val="auto"/>
              </w:rPr>
              <w:t>EBPP 3A on or before February 22, 2011</w:t>
            </w:r>
          </w:p>
        </w:tc>
        <w:tc>
          <w:tcPr>
            <w:tcW w:w="18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2 times</w:t>
            </w:r>
          </w:p>
        </w:tc>
        <w:tc>
          <w:tcPr>
            <w:tcW w:w="1800" w:type="dxa"/>
            <w:vAlign w:val="bottom"/>
            <w:tcBorders>
              <w:right w:val="single" w:sz="8" w:color="542121"/>
            </w:tcBorders>
          </w:tcPr>
          <w:p>
            <w:pPr>
              <w:ind w:left="780"/>
              <w:spacing w:after="0"/>
              <w:rPr>
                <w:sz w:val="20"/>
                <w:szCs w:val="20"/>
                <w:color w:val="auto"/>
              </w:rPr>
            </w:pPr>
            <w:r>
              <w:rPr>
                <w:rFonts w:ascii="Arial" w:cs="Arial" w:eastAsia="Arial" w:hAnsi="Arial"/>
                <w:sz w:val="18"/>
                <w:szCs w:val="18"/>
                <w:color w:val="auto"/>
              </w:rPr>
              <w:t>24 months</w:t>
            </w:r>
          </w:p>
        </w:tc>
        <w:tc>
          <w:tcPr>
            <w:tcW w:w="1800" w:type="dxa"/>
            <w:vAlign w:val="bottom"/>
            <w:tcBorders>
              <w:right w:val="single" w:sz="8" w:color="542121"/>
            </w:tcBorders>
          </w:tcPr>
          <w:p>
            <w:pPr>
              <w:ind w:left="780"/>
              <w:spacing w:after="0"/>
              <w:rPr>
                <w:sz w:val="20"/>
                <w:szCs w:val="20"/>
                <w:color w:val="auto"/>
              </w:rPr>
            </w:pPr>
            <w:r>
              <w:rPr>
                <w:rFonts w:ascii="Arial" w:cs="Arial" w:eastAsia="Arial" w:hAnsi="Arial"/>
                <w:sz w:val="18"/>
                <w:szCs w:val="18"/>
                <w:color w:val="auto"/>
              </w:rPr>
              <w:t>24 months</w:t>
            </w:r>
          </w:p>
        </w:tc>
        <w:tc>
          <w:tcPr>
            <w:tcW w:w="1780" w:type="dxa"/>
            <w:vAlign w:val="bottom"/>
            <w:tcBorders>
              <w:right w:val="single" w:sz="8" w:color="542121"/>
            </w:tcBorders>
          </w:tcPr>
          <w:p>
            <w:pPr>
              <w:ind w:left="76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7"/>
        </w:trPr>
        <w:tc>
          <w:tcPr>
            <w:tcW w:w="4020" w:type="dxa"/>
            <w:vAlign w:val="bottom"/>
            <w:tcBorders>
              <w:left w:val="single" w:sz="8" w:color="3F000B"/>
              <w:right w:val="single" w:sz="8" w:color="542121"/>
            </w:tcBorders>
          </w:tcPr>
          <w:p>
            <w:pPr>
              <w:spacing w:after="0"/>
              <w:rPr>
                <w:sz w:val="2"/>
                <w:szCs w:val="2"/>
                <w:color w:val="auto"/>
              </w:rPr>
            </w:pPr>
          </w:p>
        </w:tc>
        <w:tc>
          <w:tcPr>
            <w:tcW w:w="1800" w:type="dxa"/>
            <w:vAlign w:val="bottom"/>
            <w:tcBorders>
              <w:right w:val="single" w:sz="8" w:color="542121"/>
            </w:tcBorders>
          </w:tcPr>
          <w:p>
            <w:pPr>
              <w:spacing w:after="0"/>
              <w:rPr>
                <w:sz w:val="2"/>
                <w:szCs w:val="2"/>
                <w:color w:val="auto"/>
              </w:rPr>
            </w:pPr>
          </w:p>
        </w:tc>
        <w:tc>
          <w:tcPr>
            <w:tcW w:w="1800" w:type="dxa"/>
            <w:vAlign w:val="bottom"/>
            <w:tcBorders>
              <w:right w:val="single" w:sz="8" w:color="542121"/>
            </w:tcBorders>
          </w:tcPr>
          <w:p>
            <w:pPr>
              <w:spacing w:after="0"/>
              <w:rPr>
                <w:sz w:val="2"/>
                <w:szCs w:val="2"/>
                <w:color w:val="auto"/>
              </w:rPr>
            </w:pPr>
          </w:p>
        </w:tc>
        <w:tc>
          <w:tcPr>
            <w:tcW w:w="1800" w:type="dxa"/>
            <w:vAlign w:val="bottom"/>
            <w:tcBorders>
              <w:right w:val="single" w:sz="8" w:color="542121"/>
            </w:tcBorders>
          </w:tcPr>
          <w:p>
            <w:pPr>
              <w:spacing w:after="0"/>
              <w:rPr>
                <w:sz w:val="2"/>
                <w:szCs w:val="2"/>
                <w:color w:val="auto"/>
              </w:rPr>
            </w:pPr>
          </w:p>
        </w:tc>
        <w:tc>
          <w:tcPr>
            <w:tcW w:w="1780" w:type="dxa"/>
            <w:vAlign w:val="bottom"/>
            <w:tcBorders>
              <w:right w:val="single" w:sz="8" w:color="54212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left w:val="single" w:sz="8" w:color="3F000B"/>
              <w:bottom w:val="single" w:sz="8" w:color="DADADA"/>
              <w:right w:val="single" w:sz="8" w:color="542121"/>
            </w:tcBorders>
            <w:shd w:val="clear" w:color="auto" w:fill="DADADA"/>
          </w:tcPr>
          <w:p>
            <w:pPr>
              <w:ind w:left="40"/>
              <w:spacing w:after="0"/>
              <w:rPr>
                <w:sz w:val="20"/>
                <w:szCs w:val="20"/>
                <w:color w:val="auto"/>
              </w:rPr>
            </w:pPr>
            <w:r>
              <w:rPr>
                <w:rFonts w:ascii="Arial" w:cs="Arial" w:eastAsia="Arial" w:hAnsi="Arial"/>
                <w:sz w:val="18"/>
                <w:szCs w:val="18"/>
                <w:color w:val="auto"/>
              </w:rPr>
              <w:t>Participants in EBPP 3A after February 22, 2011</w:t>
            </w:r>
          </w:p>
        </w:tc>
        <w:tc>
          <w:tcPr>
            <w:tcW w:w="18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1.5 times</w:t>
            </w:r>
          </w:p>
        </w:tc>
        <w:tc>
          <w:tcPr>
            <w:tcW w:w="1800" w:type="dxa"/>
            <w:vAlign w:val="bottom"/>
            <w:tcBorders>
              <w:bottom w:val="single" w:sz="8" w:color="DADADA"/>
              <w:right w:val="single" w:sz="8" w:color="542121"/>
            </w:tcBorders>
            <w:shd w:val="clear" w:color="auto" w:fill="DADADA"/>
          </w:tcPr>
          <w:p>
            <w:pPr>
              <w:ind w:left="780"/>
              <w:spacing w:after="0"/>
              <w:rPr>
                <w:sz w:val="20"/>
                <w:szCs w:val="20"/>
                <w:color w:val="auto"/>
              </w:rPr>
            </w:pPr>
            <w:r>
              <w:rPr>
                <w:rFonts w:ascii="Arial" w:cs="Arial" w:eastAsia="Arial" w:hAnsi="Arial"/>
                <w:sz w:val="18"/>
                <w:szCs w:val="18"/>
                <w:color w:val="auto"/>
              </w:rPr>
              <w:t>18 months</w:t>
            </w:r>
          </w:p>
        </w:tc>
        <w:tc>
          <w:tcPr>
            <w:tcW w:w="1800" w:type="dxa"/>
            <w:vAlign w:val="bottom"/>
            <w:tcBorders>
              <w:bottom w:val="single" w:sz="8" w:color="DADADA"/>
              <w:right w:val="single" w:sz="8" w:color="542121"/>
            </w:tcBorders>
            <w:shd w:val="clear" w:color="auto" w:fill="DADADA"/>
          </w:tcPr>
          <w:p>
            <w:pPr>
              <w:ind w:left="780"/>
              <w:spacing w:after="0"/>
              <w:rPr>
                <w:sz w:val="20"/>
                <w:szCs w:val="20"/>
                <w:color w:val="auto"/>
              </w:rPr>
            </w:pPr>
            <w:r>
              <w:rPr>
                <w:rFonts w:ascii="Arial" w:cs="Arial" w:eastAsia="Arial" w:hAnsi="Arial"/>
                <w:sz w:val="18"/>
                <w:szCs w:val="18"/>
                <w:color w:val="auto"/>
              </w:rPr>
              <w:t>18 months</w:t>
            </w:r>
          </w:p>
        </w:tc>
        <w:tc>
          <w:tcPr>
            <w:tcW w:w="1780" w:type="dxa"/>
            <w:vAlign w:val="bottom"/>
            <w:tcBorders>
              <w:bottom w:val="single" w:sz="8" w:color="DADADA"/>
              <w:right w:val="single" w:sz="8" w:color="542121"/>
            </w:tcBorders>
            <w:shd w:val="clear" w:color="auto" w:fill="DADADA"/>
          </w:tcPr>
          <w:p>
            <w:pPr>
              <w:ind w:left="760"/>
              <w:spacing w:after="0"/>
              <w:rPr>
                <w:sz w:val="20"/>
                <w:szCs w:val="20"/>
                <w:color w:val="auto"/>
              </w:rPr>
            </w:pPr>
            <w:r>
              <w:rPr>
                <w:rFonts w:ascii="Arial" w:cs="Arial" w:eastAsia="Arial" w:hAnsi="Arial"/>
                <w:sz w:val="18"/>
                <w:szCs w:val="18"/>
                <w:color w:val="auto"/>
              </w:rPr>
              <w:t>18 months</w:t>
            </w:r>
          </w:p>
        </w:tc>
        <w:tc>
          <w:tcPr>
            <w:tcW w:w="0" w:type="dxa"/>
            <w:vAlign w:val="bottom"/>
          </w:tcPr>
          <w:p>
            <w:pPr>
              <w:spacing w:after="0"/>
              <w:rPr>
                <w:sz w:val="1"/>
                <w:szCs w:val="1"/>
                <w:color w:val="auto"/>
              </w:rPr>
            </w:pPr>
          </w:p>
        </w:tc>
      </w:tr>
      <w:tr>
        <w:trPr>
          <w:trHeight w:val="20"/>
        </w:trPr>
        <w:tc>
          <w:tcPr>
            <w:tcW w:w="4020" w:type="dxa"/>
            <w:vAlign w:val="bottom"/>
            <w:tcBorders>
              <w:left w:val="single" w:sz="8" w:color="3F000B"/>
              <w:right w:val="single" w:sz="8" w:color="542121"/>
            </w:tcBorders>
            <w:shd w:val="clear" w:color="auto" w:fill="3F000B"/>
          </w:tcPr>
          <w:p>
            <w:pPr>
              <w:spacing w:after="0" w:line="20" w:lineRule="exact"/>
              <w:rPr>
                <w:sz w:val="1"/>
                <w:szCs w:val="1"/>
                <w:color w:val="auto"/>
              </w:rPr>
            </w:pPr>
          </w:p>
        </w:tc>
        <w:tc>
          <w:tcPr>
            <w:tcW w:w="1800" w:type="dxa"/>
            <w:vAlign w:val="bottom"/>
            <w:tcBorders>
              <w:right w:val="single" w:sz="8" w:color="542121"/>
            </w:tcBorders>
            <w:shd w:val="clear" w:color="auto" w:fill="542121"/>
          </w:tcPr>
          <w:p>
            <w:pPr>
              <w:spacing w:after="0" w:line="20" w:lineRule="exact"/>
              <w:rPr>
                <w:sz w:val="1"/>
                <w:szCs w:val="1"/>
                <w:color w:val="auto"/>
              </w:rPr>
            </w:pPr>
          </w:p>
        </w:tc>
        <w:tc>
          <w:tcPr>
            <w:tcW w:w="1800" w:type="dxa"/>
            <w:vAlign w:val="bottom"/>
            <w:tcBorders>
              <w:right w:val="single" w:sz="8" w:color="542121"/>
            </w:tcBorders>
            <w:shd w:val="clear" w:color="auto" w:fill="542121"/>
          </w:tcPr>
          <w:p>
            <w:pPr>
              <w:spacing w:after="0" w:line="20" w:lineRule="exact"/>
              <w:rPr>
                <w:sz w:val="1"/>
                <w:szCs w:val="1"/>
                <w:color w:val="auto"/>
              </w:rPr>
            </w:pPr>
          </w:p>
        </w:tc>
        <w:tc>
          <w:tcPr>
            <w:tcW w:w="1800" w:type="dxa"/>
            <w:vAlign w:val="bottom"/>
            <w:tcBorders>
              <w:right w:val="single" w:sz="8" w:color="542121"/>
            </w:tcBorders>
            <w:shd w:val="clear" w:color="auto" w:fill="542121"/>
          </w:tcPr>
          <w:p>
            <w:pPr>
              <w:spacing w:after="0" w:line="20" w:lineRule="exact"/>
              <w:rPr>
                <w:sz w:val="1"/>
                <w:szCs w:val="1"/>
                <w:color w:val="auto"/>
              </w:rPr>
            </w:pPr>
          </w:p>
        </w:tc>
        <w:tc>
          <w:tcPr>
            <w:tcW w:w="1780" w:type="dxa"/>
            <w:vAlign w:val="bottom"/>
            <w:tcBorders>
              <w:right w:val="single" w:sz="8" w:color="542121"/>
            </w:tcBorders>
            <w:shd w:val="clear" w:color="auto" w:fill="5421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NEO has not met retirement eligibility requirements and his or her employment is terminated for reasons other than for Cause, or if the NEO terminates for Good Reason, he or she will be eligible to exercise all vested stock options and a prorated portion of his or her unvested stock options held on the date of separation from service for a period of 120 days following separation. If the NEO is age 55 or older with five or more years of continuous service and his or her employment is terminated for reasons other than for Cause, or if the NEO terminates for Good Reason, the NEO will be entitled to exercise any vested stock options until the earlier of three or five years (based on the provisions of the individual grant) from the date of termination or the expiration of the options.</w:t>
      </w:r>
    </w:p>
    <w:p>
      <w:pPr>
        <w:spacing w:after="0" w:line="1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addition, if a NEO has not met retirement eligibility requirements and his or her employment is terminated for reasons other than for Cause, or if the NEO terminates for Good Reason, the NEO will vest in a prorated portion of any unvested RSUs held on the date of separation from service.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057"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The following table provides the incremental amounts that would have vested and become payable to each NEO had his or her employment terminated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under circumstances entitling the NEO to severance benefits as described above:</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00" w:type="dxa"/>
            <w:vAlign w:val="bottom"/>
            <w:tcBorders>
              <w:top w:val="single" w:sz="8" w:color="3F000B"/>
              <w:left w:val="single" w:sz="8" w:color="3F000B"/>
              <w:right w:val="single" w:sz="8" w:color="DADADA"/>
            </w:tcBorders>
            <w:shd w:val="clear" w:color="auto" w:fill="3F000B"/>
          </w:tcPr>
          <w:p>
            <w:pPr>
              <w:spacing w:after="0"/>
              <w:rPr>
                <w:sz w:val="16"/>
                <w:szCs w:val="16"/>
                <w:color w:val="auto"/>
              </w:rPr>
            </w:pPr>
          </w:p>
        </w:tc>
        <w:tc>
          <w:tcPr>
            <w:tcW w:w="1240" w:type="dxa"/>
            <w:vAlign w:val="bottom"/>
            <w:tcBorders>
              <w:top w:val="single" w:sz="8" w:color="3F000B"/>
              <w:right w:val="single" w:sz="8" w:color="DADADA"/>
            </w:tcBorders>
            <w:shd w:val="clear" w:color="auto" w:fill="3F000B"/>
          </w:tcPr>
          <w:p>
            <w:pPr>
              <w:spacing w:after="0"/>
              <w:rPr>
                <w:sz w:val="16"/>
                <w:szCs w:val="16"/>
                <w:color w:val="auto"/>
              </w:rPr>
            </w:pPr>
          </w:p>
        </w:tc>
        <w:tc>
          <w:tcPr>
            <w:tcW w:w="1280" w:type="dxa"/>
            <w:vAlign w:val="bottom"/>
            <w:tcBorders>
              <w:top w:val="single" w:sz="8" w:color="3F000B"/>
              <w:right w:val="single" w:sz="8" w:color="DADADA"/>
            </w:tcBorders>
            <w:shd w:val="clear" w:color="auto" w:fill="3F000B"/>
          </w:tcPr>
          <w:p>
            <w:pPr>
              <w:spacing w:after="0"/>
              <w:rPr>
                <w:sz w:val="16"/>
                <w:szCs w:val="16"/>
                <w:color w:val="auto"/>
              </w:rPr>
            </w:pPr>
          </w:p>
        </w:tc>
        <w:tc>
          <w:tcPr>
            <w:tcW w:w="980" w:type="dxa"/>
            <w:vAlign w:val="bottom"/>
            <w:tcBorders>
              <w:top w:val="single" w:sz="8" w:color="3F000B"/>
            </w:tcBorders>
            <w:shd w:val="clear" w:color="auto" w:fill="3F000B"/>
          </w:tcPr>
          <w:p>
            <w:pPr>
              <w:spacing w:after="0"/>
              <w:rPr>
                <w:sz w:val="16"/>
                <w:szCs w:val="16"/>
                <w:color w:val="auto"/>
              </w:rPr>
            </w:pPr>
          </w:p>
        </w:tc>
        <w:tc>
          <w:tcPr>
            <w:tcW w:w="260" w:type="dxa"/>
            <w:vAlign w:val="bottom"/>
            <w:tcBorders>
              <w:top w:val="single" w:sz="8" w:color="3F000B"/>
              <w:right w:val="single" w:sz="8" w:color="DADADA"/>
            </w:tcBorders>
            <w:shd w:val="clear" w:color="auto" w:fill="3F000B"/>
          </w:tcPr>
          <w:p>
            <w:pPr>
              <w:spacing w:after="0"/>
              <w:rPr>
                <w:sz w:val="16"/>
                <w:szCs w:val="16"/>
                <w:color w:val="auto"/>
              </w:rPr>
            </w:pPr>
          </w:p>
        </w:tc>
        <w:tc>
          <w:tcPr>
            <w:tcW w:w="1260" w:type="dxa"/>
            <w:vAlign w:val="bottom"/>
            <w:tcBorders>
              <w:top w:val="single" w:sz="8" w:color="3F000B"/>
              <w:right w:val="single" w:sz="8" w:color="DADADA"/>
            </w:tcBorders>
            <w:shd w:val="clear" w:color="auto" w:fill="3F000B"/>
          </w:tcPr>
          <w:p>
            <w:pPr>
              <w:spacing w:after="0"/>
              <w:rPr>
                <w:sz w:val="16"/>
                <w:szCs w:val="16"/>
                <w:color w:val="auto"/>
              </w:rPr>
            </w:pPr>
          </w:p>
        </w:tc>
        <w:tc>
          <w:tcPr>
            <w:tcW w:w="1260" w:type="dxa"/>
            <w:vAlign w:val="bottom"/>
            <w:tcBorders>
              <w:top w:val="single" w:sz="8" w:color="3F000B"/>
              <w:right w:val="single" w:sz="8" w:color="DADADA"/>
            </w:tcBorders>
            <w:shd w:val="clear" w:color="auto" w:fill="3F000B"/>
          </w:tcPr>
          <w:p>
            <w:pPr>
              <w:spacing w:after="0"/>
              <w:rPr>
                <w:sz w:val="16"/>
                <w:szCs w:val="16"/>
                <w:color w:val="auto"/>
              </w:rPr>
            </w:pPr>
          </w:p>
        </w:tc>
        <w:tc>
          <w:tcPr>
            <w:tcW w:w="1320" w:type="dxa"/>
            <w:vAlign w:val="bottom"/>
            <w:tcBorders>
              <w:top w:val="single" w:sz="8" w:color="3F000B"/>
              <w:right w:val="single" w:sz="8" w:color="DADADA"/>
            </w:tcBorders>
            <w:shd w:val="clear" w:color="auto" w:fill="3F000B"/>
          </w:tcPr>
          <w:p>
            <w:pPr>
              <w:spacing w:after="0"/>
              <w:rPr>
                <w:sz w:val="16"/>
                <w:szCs w:val="16"/>
                <w:color w:val="auto"/>
              </w:rPr>
            </w:pPr>
          </w:p>
        </w:tc>
        <w:tc>
          <w:tcPr>
            <w:tcW w:w="126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Value of</w:t>
            </w:r>
          </w:p>
        </w:tc>
        <w:tc>
          <w:tcPr>
            <w:tcW w:w="1240" w:type="dxa"/>
            <w:vAlign w:val="bottom"/>
            <w:tcBorders>
              <w:top w:val="single" w:sz="8" w:color="3F000B"/>
              <w:right w:val="single" w:sz="8" w:color="3F000B"/>
            </w:tcBorders>
            <w:shd w:val="clear" w:color="auto" w:fill="3F000B"/>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00" w:type="dxa"/>
            <w:vAlign w:val="bottom"/>
            <w:tcBorders>
              <w:left w:val="single" w:sz="8" w:color="3F000B"/>
              <w:right w:val="single" w:sz="8" w:color="DADADA"/>
            </w:tcBorders>
            <w:shd w:val="clear" w:color="auto" w:fill="3F000B"/>
          </w:tcPr>
          <w:p>
            <w:pPr>
              <w:spacing w:after="0"/>
              <w:rPr>
                <w:sz w:val="13"/>
                <w:szCs w:val="13"/>
                <w:color w:val="auto"/>
              </w:rPr>
            </w:pPr>
          </w:p>
        </w:tc>
        <w:tc>
          <w:tcPr>
            <w:tcW w:w="1240" w:type="dxa"/>
            <w:vAlign w:val="bottom"/>
            <w:tcBorders>
              <w:right w:val="single" w:sz="8" w:color="DADADA"/>
            </w:tcBorders>
            <w:shd w:val="clear" w:color="auto" w:fill="3F000B"/>
          </w:tcPr>
          <w:p>
            <w:pPr>
              <w:spacing w:after="0"/>
              <w:rPr>
                <w:sz w:val="13"/>
                <w:szCs w:val="13"/>
                <w:color w:val="auto"/>
              </w:rPr>
            </w:pPr>
          </w:p>
        </w:tc>
        <w:tc>
          <w:tcPr>
            <w:tcW w:w="1280" w:type="dxa"/>
            <w:vAlign w:val="bottom"/>
            <w:tcBorders>
              <w:right w:val="single" w:sz="8" w:color="DADADA"/>
            </w:tcBorders>
            <w:shd w:val="clear" w:color="auto" w:fill="3F000B"/>
          </w:tcPr>
          <w:p>
            <w:pPr>
              <w:spacing w:after="0"/>
              <w:rPr>
                <w:sz w:val="13"/>
                <w:szCs w:val="13"/>
                <w:color w:val="auto"/>
              </w:rPr>
            </w:pPr>
          </w:p>
        </w:tc>
        <w:tc>
          <w:tcPr>
            <w:tcW w:w="980" w:type="dxa"/>
            <w:vAlign w:val="bottom"/>
            <w:shd w:val="clear" w:color="auto" w:fill="3F000B"/>
          </w:tcPr>
          <w:p>
            <w:pPr>
              <w:spacing w:after="0"/>
              <w:rPr>
                <w:sz w:val="13"/>
                <w:szCs w:val="13"/>
                <w:color w:val="auto"/>
              </w:rPr>
            </w:pPr>
          </w:p>
        </w:tc>
        <w:tc>
          <w:tcPr>
            <w:tcW w:w="260" w:type="dxa"/>
            <w:vAlign w:val="bottom"/>
            <w:tcBorders>
              <w:right w:val="single" w:sz="8" w:color="DADADA"/>
            </w:tcBorders>
            <w:shd w:val="clear" w:color="auto" w:fill="3F000B"/>
          </w:tcPr>
          <w:p>
            <w:pPr>
              <w:spacing w:after="0"/>
              <w:rPr>
                <w:sz w:val="13"/>
                <w:szCs w:val="13"/>
                <w:color w:val="auto"/>
              </w:rPr>
            </w:pPr>
          </w:p>
        </w:tc>
        <w:tc>
          <w:tcPr>
            <w:tcW w:w="1260" w:type="dxa"/>
            <w:vAlign w:val="bottom"/>
            <w:tcBorders>
              <w:right w:val="single" w:sz="8" w:color="DADADA"/>
            </w:tcBorders>
            <w:shd w:val="clear" w:color="auto" w:fill="3F000B"/>
          </w:tcPr>
          <w:p>
            <w:pPr>
              <w:spacing w:after="0"/>
              <w:rPr>
                <w:sz w:val="13"/>
                <w:szCs w:val="13"/>
                <w:color w:val="auto"/>
              </w:rPr>
            </w:pP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0"/>
              </w:rPr>
              <w:t>Vesting</w:t>
            </w:r>
          </w:p>
        </w:tc>
        <w:tc>
          <w:tcPr>
            <w:tcW w:w="1320" w:type="dxa"/>
            <w:vAlign w:val="bottom"/>
            <w:tcBorders>
              <w:right w:val="single" w:sz="8" w:color="DADADA"/>
            </w:tcBorders>
            <w:shd w:val="clear" w:color="auto" w:fill="3F000B"/>
          </w:tcPr>
          <w:p>
            <w:pPr>
              <w:spacing w:after="0"/>
              <w:rPr>
                <w:sz w:val="13"/>
                <w:szCs w:val="13"/>
                <w:color w:val="auto"/>
              </w:rPr>
            </w:pP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Financial</w:t>
            </w:r>
          </w:p>
        </w:tc>
        <w:tc>
          <w:tcPr>
            <w:tcW w:w="1240" w:type="dxa"/>
            <w:vAlign w:val="bottom"/>
            <w:tcBorders>
              <w:right w:val="single" w:sz="8" w:color="3F000B"/>
            </w:tcBorders>
            <w:shd w:val="clear" w:color="auto" w:fill="3F000B"/>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00" w:type="dxa"/>
            <w:vAlign w:val="bottom"/>
            <w:tcBorders>
              <w:left w:val="single" w:sz="8" w:color="3F000B"/>
              <w:right w:val="single" w:sz="8" w:color="DADADA"/>
            </w:tcBorders>
            <w:shd w:val="clear" w:color="auto" w:fill="3F000B"/>
          </w:tcPr>
          <w:p>
            <w:pPr>
              <w:spacing w:after="0"/>
              <w:rPr>
                <w:sz w:val="14"/>
                <w:szCs w:val="14"/>
                <w:color w:val="auto"/>
              </w:rPr>
            </w:pPr>
          </w:p>
        </w:tc>
        <w:tc>
          <w:tcPr>
            <w:tcW w:w="1240" w:type="dxa"/>
            <w:vAlign w:val="bottom"/>
            <w:tcBorders>
              <w:right w:val="single" w:sz="8" w:color="DADADA"/>
            </w:tcBorders>
            <w:shd w:val="clear" w:color="auto" w:fill="3F000B"/>
          </w:tcPr>
          <w:p>
            <w:pPr>
              <w:spacing w:after="0"/>
              <w:rPr>
                <w:sz w:val="14"/>
                <w:szCs w:val="14"/>
                <w:color w:val="auto"/>
              </w:rPr>
            </w:pPr>
          </w:p>
        </w:tc>
        <w:tc>
          <w:tcPr>
            <w:tcW w:w="1280" w:type="dxa"/>
            <w:vAlign w:val="bottom"/>
            <w:tcBorders>
              <w:right w:val="single" w:sz="8" w:color="DADADA"/>
            </w:tcBorders>
            <w:shd w:val="clear" w:color="auto" w:fill="3F000B"/>
          </w:tcPr>
          <w:p>
            <w:pPr>
              <w:spacing w:after="0"/>
              <w:rPr>
                <w:sz w:val="14"/>
                <w:szCs w:val="14"/>
                <w:color w:val="auto"/>
              </w:rPr>
            </w:pPr>
          </w:p>
        </w:tc>
        <w:tc>
          <w:tcPr>
            <w:tcW w:w="980" w:type="dxa"/>
            <w:vAlign w:val="bottom"/>
            <w:vMerge w:val="restart"/>
            <w:shd w:val="clear" w:color="auto" w:fill="3F000B"/>
          </w:tcPr>
          <w:p>
            <w:pPr>
              <w:jc w:val="center"/>
              <w:ind w:left="157"/>
              <w:spacing w:after="0"/>
              <w:rPr>
                <w:sz w:val="20"/>
                <w:szCs w:val="20"/>
                <w:color w:val="auto"/>
              </w:rPr>
            </w:pPr>
            <w:r>
              <w:rPr>
                <w:rFonts w:ascii="Arial" w:cs="Arial" w:eastAsia="Arial" w:hAnsi="Arial"/>
                <w:sz w:val="13"/>
                <w:szCs w:val="13"/>
                <w:b w:val="1"/>
                <w:bCs w:val="1"/>
                <w:color w:val="FFFFFF"/>
                <w:w w:val="89"/>
              </w:rPr>
              <w:t>PSU</w:t>
            </w:r>
          </w:p>
        </w:tc>
        <w:tc>
          <w:tcPr>
            <w:tcW w:w="260" w:type="dxa"/>
            <w:vAlign w:val="bottom"/>
            <w:tcBorders>
              <w:right w:val="single" w:sz="8" w:color="DADADA"/>
            </w:tcBorders>
            <w:shd w:val="clear" w:color="auto" w:fill="3F000B"/>
          </w:tcPr>
          <w:p>
            <w:pPr>
              <w:spacing w:after="0"/>
              <w:rPr>
                <w:sz w:val="14"/>
                <w:szCs w:val="14"/>
                <w:color w:val="auto"/>
              </w:rPr>
            </w:pP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Vesting</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1"/>
              </w:rPr>
              <w:t>of</w:t>
            </w:r>
          </w:p>
        </w:tc>
        <w:tc>
          <w:tcPr>
            <w:tcW w:w="1320" w:type="dxa"/>
            <w:vAlign w:val="bottom"/>
            <w:tcBorders>
              <w:right w:val="single" w:sz="8" w:color="DADADA"/>
            </w:tcBorders>
            <w:shd w:val="clear" w:color="auto" w:fill="3F000B"/>
          </w:tcPr>
          <w:p>
            <w:pPr>
              <w:spacing w:after="0"/>
              <w:rPr>
                <w:sz w:val="14"/>
                <w:szCs w:val="14"/>
                <w:color w:val="auto"/>
              </w:rPr>
            </w:pP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Planning</w:t>
            </w:r>
          </w:p>
        </w:tc>
        <w:tc>
          <w:tcPr>
            <w:tcW w:w="1240" w:type="dxa"/>
            <w:vAlign w:val="bottom"/>
            <w:tcBorders>
              <w:right w:val="single" w:sz="8" w:color="3F000B"/>
            </w:tcBorders>
            <w:shd w:val="clear" w:color="auto" w:fill="3F000B"/>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3F000B"/>
              <w:right w:val="single" w:sz="8" w:color="DADADA"/>
            </w:tcBorders>
            <w:shd w:val="clear" w:color="auto" w:fill="3F000B"/>
          </w:tcPr>
          <w:p>
            <w:pPr>
              <w:spacing w:after="0"/>
              <w:rPr>
                <w:sz w:val="11"/>
                <w:szCs w:val="11"/>
                <w:color w:val="auto"/>
              </w:rPr>
            </w:pPr>
          </w:p>
        </w:tc>
        <w:tc>
          <w:tcPr>
            <w:tcW w:w="1240" w:type="dxa"/>
            <w:vAlign w:val="bottom"/>
            <w:tcBorders>
              <w:right w:val="single" w:sz="8" w:color="DADADA"/>
            </w:tcBorders>
            <w:shd w:val="clear" w:color="auto" w:fill="3F000B"/>
          </w:tcPr>
          <w:p>
            <w:pPr>
              <w:spacing w:after="0"/>
              <w:rPr>
                <w:sz w:val="11"/>
                <w:szCs w:val="11"/>
                <w:color w:val="auto"/>
              </w:rPr>
            </w:pPr>
          </w:p>
        </w:tc>
        <w:tc>
          <w:tcPr>
            <w:tcW w:w="128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3"/>
                <w:szCs w:val="13"/>
                <w:b w:val="1"/>
                <w:bCs w:val="1"/>
                <w:color w:val="FFFFFF"/>
              </w:rPr>
              <w:t>OHIP</w:t>
            </w:r>
          </w:p>
        </w:tc>
        <w:tc>
          <w:tcPr>
            <w:tcW w:w="980" w:type="dxa"/>
            <w:vAlign w:val="bottom"/>
            <w:vMerge w:val="continue"/>
            <w:shd w:val="clear" w:color="auto" w:fill="3F000B"/>
          </w:tcPr>
          <w:p>
            <w:pPr>
              <w:spacing w:after="0"/>
              <w:rPr>
                <w:sz w:val="11"/>
                <w:szCs w:val="11"/>
                <w:color w:val="auto"/>
              </w:rPr>
            </w:pPr>
          </w:p>
        </w:tc>
        <w:tc>
          <w:tcPr>
            <w:tcW w:w="260" w:type="dxa"/>
            <w:vAlign w:val="bottom"/>
            <w:tcBorders>
              <w:right w:val="single" w:sz="8" w:color="DADADA"/>
            </w:tcBorders>
            <w:shd w:val="clear" w:color="auto" w:fill="3F000B"/>
          </w:tcPr>
          <w:p>
            <w:pPr>
              <w:spacing w:after="0"/>
              <w:rPr>
                <w:sz w:val="11"/>
                <w:szCs w:val="11"/>
                <w:color w:val="auto"/>
              </w:rPr>
            </w:pPr>
          </w:p>
        </w:tc>
        <w:tc>
          <w:tcPr>
            <w:tcW w:w="1260" w:type="dxa"/>
            <w:vAlign w:val="bottom"/>
            <w:tcBorders>
              <w:right w:val="single" w:sz="8" w:color="DADADA"/>
            </w:tcBorders>
            <w:shd w:val="clear" w:color="auto" w:fill="3F000B"/>
          </w:tcPr>
          <w:p>
            <w:pPr>
              <w:jc w:val="center"/>
              <w:spacing w:after="0" w:line="131" w:lineRule="exact"/>
              <w:rPr>
                <w:sz w:val="20"/>
                <w:szCs w:val="20"/>
                <w:color w:val="auto"/>
              </w:rPr>
            </w:pPr>
            <w:r>
              <w:rPr>
                <w:rFonts w:ascii="Arial" w:cs="Arial" w:eastAsia="Arial" w:hAnsi="Arial"/>
                <w:sz w:val="13"/>
                <w:szCs w:val="13"/>
                <w:b w:val="1"/>
                <w:bCs w:val="1"/>
                <w:color w:val="FFFFFF"/>
                <w:w w:val="81"/>
              </w:rPr>
              <w:t>of</w:t>
            </w:r>
          </w:p>
        </w:tc>
        <w:tc>
          <w:tcPr>
            <w:tcW w:w="1260" w:type="dxa"/>
            <w:vAlign w:val="bottom"/>
            <w:tcBorders>
              <w:right w:val="single" w:sz="8" w:color="DADADA"/>
            </w:tcBorders>
            <w:shd w:val="clear" w:color="auto" w:fill="3F000B"/>
          </w:tcPr>
          <w:p>
            <w:pPr>
              <w:jc w:val="center"/>
              <w:spacing w:after="0" w:line="131" w:lineRule="exact"/>
              <w:rPr>
                <w:sz w:val="20"/>
                <w:szCs w:val="20"/>
                <w:color w:val="auto"/>
              </w:rPr>
            </w:pPr>
            <w:r>
              <w:rPr>
                <w:rFonts w:ascii="Arial" w:cs="Arial" w:eastAsia="Arial" w:hAnsi="Arial"/>
                <w:sz w:val="13"/>
                <w:szCs w:val="13"/>
                <w:b w:val="1"/>
                <w:bCs w:val="1"/>
                <w:color w:val="FFFFFF"/>
                <w:w w:val="84"/>
              </w:rPr>
              <w:t>Restricted</w:t>
            </w:r>
          </w:p>
        </w:tc>
        <w:tc>
          <w:tcPr>
            <w:tcW w:w="132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Value of Benefits</w:t>
            </w:r>
          </w:p>
        </w:tc>
        <w:tc>
          <w:tcPr>
            <w:tcW w:w="126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and</w:t>
            </w:r>
          </w:p>
        </w:tc>
        <w:tc>
          <w:tcPr>
            <w:tcW w:w="1240" w:type="dxa"/>
            <w:vAlign w:val="bottom"/>
            <w:tcBorders>
              <w:right w:val="single" w:sz="8" w:color="3F000B"/>
            </w:tcBorders>
            <w:shd w:val="clear" w:color="auto" w:fill="3F000B"/>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100" w:type="dxa"/>
            <w:vAlign w:val="bottom"/>
            <w:tcBorders>
              <w:left w:val="single" w:sz="8" w:color="3F000B"/>
              <w:right w:val="single" w:sz="8" w:color="DADADA"/>
            </w:tcBorders>
            <w:shd w:val="clear" w:color="auto" w:fill="3F000B"/>
          </w:tcPr>
          <w:p>
            <w:pPr>
              <w:spacing w:after="0"/>
              <w:rPr>
                <w:sz w:val="8"/>
                <w:szCs w:val="8"/>
                <w:color w:val="auto"/>
              </w:rPr>
            </w:pPr>
          </w:p>
        </w:tc>
        <w:tc>
          <w:tcPr>
            <w:tcW w:w="1240" w:type="dxa"/>
            <w:vAlign w:val="bottom"/>
            <w:tcBorders>
              <w:right w:val="single" w:sz="8" w:color="DADADA"/>
            </w:tcBorders>
            <w:shd w:val="clear" w:color="auto" w:fill="3F000B"/>
          </w:tcPr>
          <w:p>
            <w:pPr>
              <w:spacing w:after="0"/>
              <w:rPr>
                <w:sz w:val="8"/>
                <w:szCs w:val="8"/>
                <w:color w:val="auto"/>
              </w:rPr>
            </w:pPr>
          </w:p>
        </w:tc>
        <w:tc>
          <w:tcPr>
            <w:tcW w:w="1280" w:type="dxa"/>
            <w:vAlign w:val="bottom"/>
            <w:tcBorders>
              <w:right w:val="single" w:sz="8" w:color="DADADA"/>
            </w:tcBorders>
            <w:vMerge w:val="continue"/>
            <w:shd w:val="clear" w:color="auto" w:fill="3F000B"/>
          </w:tcPr>
          <w:p>
            <w:pPr>
              <w:spacing w:after="0"/>
              <w:rPr>
                <w:sz w:val="8"/>
                <w:szCs w:val="8"/>
                <w:color w:val="auto"/>
              </w:rPr>
            </w:pPr>
          </w:p>
        </w:tc>
        <w:tc>
          <w:tcPr>
            <w:tcW w:w="980" w:type="dxa"/>
            <w:vAlign w:val="bottom"/>
            <w:vMerge w:val="restart"/>
            <w:shd w:val="clear" w:color="auto" w:fill="3F000B"/>
          </w:tcPr>
          <w:p>
            <w:pPr>
              <w:jc w:val="center"/>
              <w:ind w:left="177"/>
              <w:spacing w:after="0" w:line="140" w:lineRule="exact"/>
              <w:rPr>
                <w:sz w:val="20"/>
                <w:szCs w:val="20"/>
                <w:color w:val="auto"/>
              </w:rPr>
            </w:pPr>
            <w:r>
              <w:rPr>
                <w:rFonts w:ascii="Arial" w:cs="Arial" w:eastAsia="Arial" w:hAnsi="Arial"/>
                <w:sz w:val="13"/>
                <w:szCs w:val="13"/>
                <w:b w:val="1"/>
                <w:bCs w:val="1"/>
                <w:color w:val="FFFFFF"/>
                <w:w w:val="89"/>
              </w:rPr>
              <w:t>Related</w:t>
            </w:r>
          </w:p>
        </w:tc>
        <w:tc>
          <w:tcPr>
            <w:tcW w:w="260" w:type="dxa"/>
            <w:vAlign w:val="bottom"/>
            <w:tcBorders>
              <w:right w:val="single" w:sz="8" w:color="DADADA"/>
            </w:tcBorders>
            <w:shd w:val="clear" w:color="auto" w:fill="3F000B"/>
          </w:tcPr>
          <w:p>
            <w:pPr>
              <w:spacing w:after="0"/>
              <w:rPr>
                <w:sz w:val="8"/>
                <w:szCs w:val="8"/>
                <w:color w:val="auto"/>
              </w:rPr>
            </w:pPr>
          </w:p>
        </w:tc>
        <w:tc>
          <w:tcPr>
            <w:tcW w:w="1260" w:type="dxa"/>
            <w:vAlign w:val="bottom"/>
            <w:tcBorders>
              <w:right w:val="single" w:sz="8" w:color="DADADA"/>
            </w:tcBorders>
            <w:vMerge w:val="restart"/>
            <w:shd w:val="clear" w:color="auto" w:fill="3F000B"/>
          </w:tcPr>
          <w:p>
            <w:pPr>
              <w:jc w:val="center"/>
              <w:spacing w:after="0" w:line="140" w:lineRule="exact"/>
              <w:rPr>
                <w:sz w:val="20"/>
                <w:szCs w:val="20"/>
                <w:color w:val="auto"/>
              </w:rPr>
            </w:pPr>
            <w:r>
              <w:rPr>
                <w:rFonts w:ascii="Arial" w:cs="Arial" w:eastAsia="Arial" w:hAnsi="Arial"/>
                <w:sz w:val="13"/>
                <w:szCs w:val="13"/>
                <w:b w:val="1"/>
                <w:bCs w:val="1"/>
                <w:color w:val="FFFFFF"/>
                <w:w w:val="84"/>
              </w:rPr>
              <w:t>Stock</w:t>
            </w:r>
          </w:p>
        </w:tc>
        <w:tc>
          <w:tcPr>
            <w:tcW w:w="1260" w:type="dxa"/>
            <w:vAlign w:val="bottom"/>
            <w:tcBorders>
              <w:right w:val="single" w:sz="8" w:color="DADADA"/>
            </w:tcBorders>
            <w:vMerge w:val="restart"/>
            <w:shd w:val="clear" w:color="auto" w:fill="3F000B"/>
          </w:tcPr>
          <w:p>
            <w:pPr>
              <w:jc w:val="center"/>
              <w:spacing w:after="0" w:line="140" w:lineRule="exact"/>
              <w:rPr>
                <w:sz w:val="20"/>
                <w:szCs w:val="20"/>
                <w:color w:val="auto"/>
              </w:rPr>
            </w:pPr>
            <w:r>
              <w:rPr>
                <w:rFonts w:ascii="Arial" w:cs="Arial" w:eastAsia="Arial" w:hAnsi="Arial"/>
                <w:sz w:val="13"/>
                <w:szCs w:val="13"/>
                <w:b w:val="1"/>
                <w:bCs w:val="1"/>
                <w:color w:val="FFFFFF"/>
                <w:w w:val="84"/>
              </w:rPr>
              <w:t>Stock</w:t>
            </w:r>
          </w:p>
        </w:tc>
        <w:tc>
          <w:tcPr>
            <w:tcW w:w="1320" w:type="dxa"/>
            <w:vAlign w:val="bottom"/>
            <w:tcBorders>
              <w:right w:val="single" w:sz="8" w:color="DADADA"/>
            </w:tcBorders>
            <w:vMerge w:val="continue"/>
            <w:shd w:val="clear" w:color="auto" w:fill="3F000B"/>
          </w:tcPr>
          <w:p>
            <w:pPr>
              <w:spacing w:after="0"/>
              <w:rPr>
                <w:sz w:val="8"/>
                <w:szCs w:val="8"/>
                <w:color w:val="auto"/>
              </w:rPr>
            </w:pPr>
          </w:p>
        </w:tc>
        <w:tc>
          <w:tcPr>
            <w:tcW w:w="1260" w:type="dxa"/>
            <w:vAlign w:val="bottom"/>
            <w:tcBorders>
              <w:right w:val="single" w:sz="8" w:color="DADADA"/>
            </w:tcBorders>
            <w:vMerge w:val="continue"/>
            <w:shd w:val="clear" w:color="auto" w:fill="3F000B"/>
          </w:tcPr>
          <w:p>
            <w:pPr>
              <w:spacing w:after="0"/>
              <w:rPr>
                <w:sz w:val="8"/>
                <w:szCs w:val="8"/>
                <w:color w:val="auto"/>
              </w:rPr>
            </w:pPr>
          </w:p>
        </w:tc>
        <w:tc>
          <w:tcPr>
            <w:tcW w:w="1240" w:type="dxa"/>
            <w:vAlign w:val="bottom"/>
            <w:tcBorders>
              <w:right w:val="single" w:sz="8" w:color="3F000B"/>
            </w:tcBorders>
            <w:shd w:val="clear" w:color="auto" w:fill="3F000B"/>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3F000B"/>
              <w:right w:val="single" w:sz="8" w:color="DADADA"/>
            </w:tcBorders>
            <w:shd w:val="clear" w:color="auto" w:fill="3F000B"/>
          </w:tcPr>
          <w:p>
            <w:pPr>
              <w:spacing w:after="0"/>
              <w:rPr>
                <w:sz w:val="3"/>
                <w:szCs w:val="3"/>
                <w:color w:val="auto"/>
              </w:rPr>
            </w:pPr>
          </w:p>
        </w:tc>
        <w:tc>
          <w:tcPr>
            <w:tcW w:w="1240" w:type="dxa"/>
            <w:vAlign w:val="bottom"/>
            <w:tcBorders>
              <w:right w:val="single" w:sz="8" w:color="DADADA"/>
            </w:tcBorders>
            <w:vMerge w:val="restart"/>
            <w:shd w:val="clear" w:color="auto" w:fill="3F000B"/>
          </w:tcPr>
          <w:p>
            <w:pPr>
              <w:jc w:val="right"/>
              <w:ind w:right="397"/>
              <w:spacing w:after="0"/>
              <w:rPr>
                <w:sz w:val="20"/>
                <w:szCs w:val="20"/>
                <w:color w:val="auto"/>
              </w:rPr>
            </w:pPr>
            <w:r>
              <w:rPr>
                <w:rFonts w:ascii="Arial" w:cs="Arial" w:eastAsia="Arial" w:hAnsi="Arial"/>
                <w:sz w:val="13"/>
                <w:szCs w:val="13"/>
                <w:b w:val="1"/>
                <w:bCs w:val="1"/>
                <w:color w:val="FFFFFF"/>
              </w:rPr>
              <w:t>Salary</w:t>
            </w:r>
          </w:p>
        </w:tc>
        <w:tc>
          <w:tcPr>
            <w:tcW w:w="128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at Target</w:t>
            </w:r>
          </w:p>
        </w:tc>
        <w:tc>
          <w:tcPr>
            <w:tcW w:w="980" w:type="dxa"/>
            <w:vAlign w:val="bottom"/>
            <w:vMerge w:val="continue"/>
            <w:shd w:val="clear" w:color="auto" w:fill="3F000B"/>
          </w:tcPr>
          <w:p>
            <w:pPr>
              <w:spacing w:after="0"/>
              <w:rPr>
                <w:sz w:val="3"/>
                <w:szCs w:val="3"/>
                <w:color w:val="auto"/>
              </w:rPr>
            </w:pPr>
          </w:p>
        </w:tc>
        <w:tc>
          <w:tcPr>
            <w:tcW w:w="260" w:type="dxa"/>
            <w:vAlign w:val="bottom"/>
            <w:tcBorders>
              <w:right w:val="single" w:sz="8" w:color="DADADA"/>
            </w:tcBorders>
            <w:shd w:val="clear" w:color="auto" w:fill="3F000B"/>
          </w:tcPr>
          <w:p>
            <w:pPr>
              <w:spacing w:after="0"/>
              <w:rPr>
                <w:sz w:val="3"/>
                <w:szCs w:val="3"/>
                <w:color w:val="auto"/>
              </w:rPr>
            </w:pPr>
          </w:p>
        </w:tc>
        <w:tc>
          <w:tcPr>
            <w:tcW w:w="1260" w:type="dxa"/>
            <w:vAlign w:val="bottom"/>
            <w:tcBorders>
              <w:right w:val="single" w:sz="8" w:color="DADADA"/>
            </w:tcBorders>
            <w:vMerge w:val="continue"/>
            <w:shd w:val="clear" w:color="auto" w:fill="3F000B"/>
          </w:tcPr>
          <w:p>
            <w:pPr>
              <w:spacing w:after="0"/>
              <w:rPr>
                <w:sz w:val="3"/>
                <w:szCs w:val="3"/>
                <w:color w:val="auto"/>
              </w:rPr>
            </w:pPr>
          </w:p>
        </w:tc>
        <w:tc>
          <w:tcPr>
            <w:tcW w:w="1260" w:type="dxa"/>
            <w:vAlign w:val="bottom"/>
            <w:tcBorders>
              <w:right w:val="single" w:sz="8" w:color="DADADA"/>
            </w:tcBorders>
            <w:vMerge w:val="continue"/>
            <w:shd w:val="clear" w:color="auto" w:fill="3F000B"/>
          </w:tcPr>
          <w:p>
            <w:pPr>
              <w:spacing w:after="0"/>
              <w:rPr>
                <w:sz w:val="3"/>
                <w:szCs w:val="3"/>
                <w:color w:val="auto"/>
              </w:rPr>
            </w:pPr>
          </w:p>
        </w:tc>
        <w:tc>
          <w:tcPr>
            <w:tcW w:w="132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Continuation</w:t>
            </w:r>
            <w:r>
              <w:rPr>
                <w:rFonts w:ascii="Arial" w:cs="Arial" w:eastAsia="Arial" w:hAnsi="Arial"/>
                <w:sz w:val="16"/>
                <w:szCs w:val="16"/>
                <w:b w:val="1"/>
                <w:bCs w:val="1"/>
                <w:color w:val="FFFFFF"/>
                <w:w w:val="87"/>
                <w:vertAlign w:val="superscript"/>
              </w:rPr>
              <w:t>(2)</w:t>
            </w:r>
          </w:p>
        </w:tc>
        <w:tc>
          <w:tcPr>
            <w:tcW w:w="1260" w:type="dxa"/>
            <w:vAlign w:val="bottom"/>
            <w:tcBorders>
              <w:right w:val="single" w:sz="8" w:color="DADADA"/>
            </w:tcBorders>
            <w:vMerge w:val="restart"/>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Outplacement</w:t>
            </w:r>
            <w:r>
              <w:rPr>
                <w:rFonts w:ascii="Arial" w:cs="Arial" w:eastAsia="Arial" w:hAnsi="Arial"/>
                <w:sz w:val="16"/>
                <w:szCs w:val="16"/>
                <w:b w:val="1"/>
                <w:bCs w:val="1"/>
                <w:color w:val="FFFFFF"/>
                <w:w w:val="86"/>
                <w:vertAlign w:val="superscript"/>
              </w:rPr>
              <w:t>(3)</w:t>
            </w:r>
          </w:p>
        </w:tc>
        <w:tc>
          <w:tcPr>
            <w:tcW w:w="1240" w:type="dxa"/>
            <w:vAlign w:val="bottom"/>
            <w:tcBorders>
              <w:right w:val="single" w:sz="8" w:color="3F000B"/>
            </w:tcBorders>
            <w:vMerge w:val="restart"/>
            <w:shd w:val="clear" w:color="auto" w:fill="3F000B"/>
          </w:tcPr>
          <w:p>
            <w:pPr>
              <w:jc w:val="right"/>
              <w:ind w:right="43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57"/>
        </w:trPr>
        <w:tc>
          <w:tcPr>
            <w:tcW w:w="1100" w:type="dxa"/>
            <w:vAlign w:val="bottom"/>
            <w:tcBorders>
              <w:left w:val="single" w:sz="8" w:color="3F000B"/>
              <w:right w:val="single" w:sz="8" w:color="DADADA"/>
            </w:tcBorders>
            <w:shd w:val="clear" w:color="auto" w:fill="3F000B"/>
          </w:tcPr>
          <w:p>
            <w:pPr>
              <w:spacing w:after="0"/>
              <w:rPr>
                <w:sz w:val="13"/>
                <w:szCs w:val="13"/>
                <w:color w:val="auto"/>
              </w:rPr>
            </w:pPr>
          </w:p>
        </w:tc>
        <w:tc>
          <w:tcPr>
            <w:tcW w:w="1240" w:type="dxa"/>
            <w:vAlign w:val="bottom"/>
            <w:tcBorders>
              <w:right w:val="single" w:sz="8" w:color="DADADA"/>
            </w:tcBorders>
            <w:vMerge w:val="continue"/>
            <w:shd w:val="clear" w:color="auto" w:fill="3F000B"/>
          </w:tcPr>
          <w:p>
            <w:pPr>
              <w:spacing w:after="0"/>
              <w:rPr>
                <w:sz w:val="13"/>
                <w:szCs w:val="13"/>
                <w:color w:val="auto"/>
              </w:rPr>
            </w:pPr>
          </w:p>
        </w:tc>
        <w:tc>
          <w:tcPr>
            <w:tcW w:w="1280" w:type="dxa"/>
            <w:vAlign w:val="bottom"/>
            <w:tcBorders>
              <w:right w:val="single" w:sz="8" w:color="DADADA"/>
            </w:tcBorders>
            <w:vMerge w:val="continue"/>
            <w:shd w:val="clear" w:color="auto" w:fill="3F000B"/>
          </w:tcPr>
          <w:p>
            <w:pPr>
              <w:spacing w:after="0"/>
              <w:rPr>
                <w:sz w:val="13"/>
                <w:szCs w:val="13"/>
                <w:color w:val="auto"/>
              </w:rPr>
            </w:pPr>
          </w:p>
        </w:tc>
        <w:tc>
          <w:tcPr>
            <w:tcW w:w="980" w:type="dxa"/>
            <w:vAlign w:val="bottom"/>
            <w:shd w:val="clear" w:color="auto" w:fill="3F000B"/>
          </w:tcPr>
          <w:p>
            <w:pPr>
              <w:jc w:val="center"/>
              <w:ind w:left="177"/>
              <w:spacing w:after="0" w:line="158" w:lineRule="exact"/>
              <w:rPr>
                <w:sz w:val="20"/>
                <w:szCs w:val="20"/>
                <w:color w:val="auto"/>
              </w:rPr>
            </w:pPr>
            <w:r>
              <w:rPr>
                <w:rFonts w:ascii="Arial" w:cs="Arial" w:eastAsia="Arial" w:hAnsi="Arial"/>
                <w:sz w:val="13"/>
                <w:szCs w:val="13"/>
                <w:b w:val="1"/>
                <w:bCs w:val="1"/>
                <w:color w:val="FFFFFF"/>
                <w:w w:val="83"/>
              </w:rPr>
              <w:t>Payments</w:t>
            </w:r>
            <w:r>
              <w:rPr>
                <w:rFonts w:ascii="Arial" w:cs="Arial" w:eastAsia="Arial" w:hAnsi="Arial"/>
                <w:sz w:val="16"/>
                <w:szCs w:val="16"/>
                <w:b w:val="1"/>
                <w:bCs w:val="1"/>
                <w:color w:val="FFFFFF"/>
                <w:w w:val="83"/>
                <w:vertAlign w:val="superscript"/>
              </w:rPr>
              <w:t>(1)</w:t>
            </w:r>
          </w:p>
        </w:tc>
        <w:tc>
          <w:tcPr>
            <w:tcW w:w="260" w:type="dxa"/>
            <w:vAlign w:val="bottom"/>
            <w:tcBorders>
              <w:right w:val="single" w:sz="8" w:color="DADADA"/>
            </w:tcBorders>
            <w:shd w:val="clear" w:color="auto" w:fill="3F000B"/>
          </w:tcPr>
          <w:p>
            <w:pPr>
              <w:spacing w:after="0"/>
              <w:rPr>
                <w:sz w:val="13"/>
                <w:szCs w:val="13"/>
                <w:color w:val="auto"/>
              </w:rPr>
            </w:pPr>
          </w:p>
        </w:tc>
        <w:tc>
          <w:tcPr>
            <w:tcW w:w="1260" w:type="dxa"/>
            <w:vAlign w:val="bottom"/>
            <w:tcBorders>
              <w:right w:val="single" w:sz="8" w:color="DADADA"/>
            </w:tcBorders>
            <w:shd w:val="clear" w:color="auto" w:fill="3F000B"/>
          </w:tcPr>
          <w:p>
            <w:pPr>
              <w:jc w:val="center"/>
              <w:spacing w:after="0" w:line="158" w:lineRule="exact"/>
              <w:rPr>
                <w:sz w:val="20"/>
                <w:szCs w:val="20"/>
                <w:color w:val="auto"/>
              </w:rPr>
            </w:pPr>
            <w:r>
              <w:rPr>
                <w:rFonts w:ascii="Arial" w:cs="Arial" w:eastAsia="Arial" w:hAnsi="Arial"/>
                <w:sz w:val="13"/>
                <w:szCs w:val="13"/>
                <w:b w:val="1"/>
                <w:bCs w:val="1"/>
                <w:color w:val="FFFFFF"/>
                <w:w w:val="83"/>
              </w:rPr>
              <w:t>Options</w:t>
            </w:r>
            <w:r>
              <w:rPr>
                <w:rFonts w:ascii="Arial" w:cs="Arial" w:eastAsia="Arial" w:hAnsi="Arial"/>
                <w:sz w:val="16"/>
                <w:szCs w:val="16"/>
                <w:b w:val="1"/>
                <w:bCs w:val="1"/>
                <w:color w:val="FFFFFF"/>
                <w:w w:val="83"/>
                <w:vertAlign w:val="superscript"/>
              </w:rPr>
              <w:t>(1)</w:t>
            </w:r>
          </w:p>
        </w:tc>
        <w:tc>
          <w:tcPr>
            <w:tcW w:w="1260" w:type="dxa"/>
            <w:vAlign w:val="bottom"/>
            <w:tcBorders>
              <w:right w:val="single" w:sz="8" w:color="DADADA"/>
            </w:tcBorders>
            <w:shd w:val="clear" w:color="auto" w:fill="3F000B"/>
          </w:tcPr>
          <w:p>
            <w:pPr>
              <w:jc w:val="center"/>
              <w:spacing w:after="0" w:line="158" w:lineRule="exact"/>
              <w:rPr>
                <w:sz w:val="20"/>
                <w:szCs w:val="20"/>
                <w:color w:val="auto"/>
              </w:rPr>
            </w:pPr>
            <w:r>
              <w:rPr>
                <w:rFonts w:ascii="Arial" w:cs="Arial" w:eastAsia="Arial" w:hAnsi="Arial"/>
                <w:sz w:val="13"/>
                <w:szCs w:val="13"/>
                <w:b w:val="1"/>
                <w:bCs w:val="1"/>
                <w:color w:val="FFFFFF"/>
                <w:w w:val="83"/>
              </w:rPr>
              <w:t>Units</w:t>
            </w:r>
            <w:r>
              <w:rPr>
                <w:rFonts w:ascii="Arial" w:cs="Arial" w:eastAsia="Arial" w:hAnsi="Arial"/>
                <w:sz w:val="16"/>
                <w:szCs w:val="16"/>
                <w:b w:val="1"/>
                <w:bCs w:val="1"/>
                <w:color w:val="FFFFFF"/>
                <w:w w:val="83"/>
                <w:vertAlign w:val="superscript"/>
              </w:rPr>
              <w:t>(1)</w:t>
            </w:r>
          </w:p>
        </w:tc>
        <w:tc>
          <w:tcPr>
            <w:tcW w:w="1320" w:type="dxa"/>
            <w:vAlign w:val="bottom"/>
            <w:tcBorders>
              <w:right w:val="single" w:sz="8" w:color="DADADA"/>
            </w:tcBorders>
            <w:vMerge w:val="continue"/>
            <w:shd w:val="clear" w:color="auto" w:fill="3F000B"/>
          </w:tcPr>
          <w:p>
            <w:pPr>
              <w:spacing w:after="0"/>
              <w:rPr>
                <w:sz w:val="13"/>
                <w:szCs w:val="13"/>
                <w:color w:val="auto"/>
              </w:rPr>
            </w:pPr>
          </w:p>
        </w:tc>
        <w:tc>
          <w:tcPr>
            <w:tcW w:w="1260" w:type="dxa"/>
            <w:vAlign w:val="bottom"/>
            <w:tcBorders>
              <w:right w:val="single" w:sz="8" w:color="DADADA"/>
            </w:tcBorders>
            <w:vMerge w:val="continue"/>
            <w:shd w:val="clear" w:color="auto" w:fill="3F000B"/>
          </w:tcPr>
          <w:p>
            <w:pPr>
              <w:spacing w:after="0"/>
              <w:rPr>
                <w:sz w:val="13"/>
                <w:szCs w:val="13"/>
                <w:color w:val="auto"/>
              </w:rPr>
            </w:pPr>
          </w:p>
        </w:tc>
        <w:tc>
          <w:tcPr>
            <w:tcW w:w="1240" w:type="dxa"/>
            <w:vAlign w:val="bottom"/>
            <w:tcBorders>
              <w:right w:val="single" w:sz="8" w:color="3F000B"/>
            </w:tcBorders>
            <w:vMerge w:val="continue"/>
            <w:shd w:val="clear" w:color="auto" w:fill="3F000B"/>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3F000B"/>
              <w:right w:val="single" w:sz="8" w:color="DADADA"/>
            </w:tcBorders>
            <w:shd w:val="clear" w:color="auto" w:fill="3F000B"/>
          </w:tcPr>
          <w:p>
            <w:pPr>
              <w:ind w:left="380"/>
              <w:spacing w:after="0"/>
              <w:rPr>
                <w:sz w:val="20"/>
                <w:szCs w:val="20"/>
                <w:color w:val="auto"/>
              </w:rPr>
            </w:pPr>
            <w:r>
              <w:rPr>
                <w:rFonts w:ascii="Arial" w:cs="Arial" w:eastAsia="Arial" w:hAnsi="Arial"/>
                <w:sz w:val="13"/>
                <w:szCs w:val="13"/>
                <w:b w:val="1"/>
                <w:bCs w:val="1"/>
                <w:color w:val="FFFFFF"/>
              </w:rPr>
              <w:t>Name</w:t>
            </w:r>
          </w:p>
        </w:tc>
        <w:tc>
          <w:tcPr>
            <w:tcW w:w="1240" w:type="dxa"/>
            <w:vAlign w:val="bottom"/>
            <w:tcBorders>
              <w:right w:val="single" w:sz="8" w:color="DADADA"/>
            </w:tcBorders>
            <w:shd w:val="clear" w:color="auto" w:fill="3F000B"/>
          </w:tcPr>
          <w:p>
            <w:pPr>
              <w:jc w:val="right"/>
              <w:ind w:right="517"/>
              <w:spacing w:after="0"/>
              <w:rPr>
                <w:sz w:val="20"/>
                <w:szCs w:val="20"/>
                <w:color w:val="auto"/>
              </w:rPr>
            </w:pPr>
            <w:r>
              <w:rPr>
                <w:rFonts w:ascii="Arial" w:cs="Arial" w:eastAsia="Arial" w:hAnsi="Arial"/>
                <w:sz w:val="13"/>
                <w:szCs w:val="13"/>
                <w:b w:val="1"/>
                <w:bCs w:val="1"/>
                <w:color w:val="FFFFFF"/>
              </w:rPr>
              <w:t>($)</w:t>
            </w:r>
          </w:p>
        </w:tc>
        <w:tc>
          <w:tcPr>
            <w:tcW w:w="12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980" w:type="dxa"/>
            <w:vAlign w:val="bottom"/>
            <w:shd w:val="clear" w:color="auto" w:fill="3F000B"/>
          </w:tcPr>
          <w:p>
            <w:pPr>
              <w:jc w:val="center"/>
              <w:ind w:left="177"/>
              <w:spacing w:after="0"/>
              <w:rPr>
                <w:sz w:val="20"/>
                <w:szCs w:val="20"/>
                <w:color w:val="auto"/>
              </w:rPr>
            </w:pPr>
            <w:r>
              <w:rPr>
                <w:rFonts w:ascii="Arial" w:cs="Arial" w:eastAsia="Arial" w:hAnsi="Arial"/>
                <w:sz w:val="13"/>
                <w:szCs w:val="13"/>
                <w:b w:val="1"/>
                <w:bCs w:val="1"/>
                <w:color w:val="FFFFFF"/>
                <w:w w:val="87"/>
              </w:rPr>
              <w:t>($)</w:t>
            </w:r>
          </w:p>
        </w:tc>
        <w:tc>
          <w:tcPr>
            <w:tcW w:w="260" w:type="dxa"/>
            <w:vAlign w:val="bottom"/>
            <w:tcBorders>
              <w:right w:val="single" w:sz="8" w:color="DADADA"/>
            </w:tcBorders>
            <w:shd w:val="clear" w:color="auto" w:fill="3F000B"/>
          </w:tcPr>
          <w:p>
            <w:pPr>
              <w:spacing w:after="0"/>
              <w:rPr>
                <w:sz w:val="14"/>
                <w:szCs w:val="14"/>
                <w:color w:val="auto"/>
              </w:rPr>
            </w:pP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32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2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240" w:type="dxa"/>
            <w:vAlign w:val="bottom"/>
            <w:tcBorders>
              <w:right w:val="single" w:sz="8" w:color="3F000B"/>
            </w:tcBorders>
            <w:shd w:val="clear" w:color="auto" w:fill="3F000B"/>
          </w:tcPr>
          <w:p>
            <w:pPr>
              <w:jc w:val="right"/>
              <w:ind w:right="49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3"/>
        </w:trPr>
        <w:tc>
          <w:tcPr>
            <w:tcW w:w="1100" w:type="dxa"/>
            <w:vAlign w:val="bottom"/>
            <w:tcBorders>
              <w:left w:val="single" w:sz="8" w:color="3F000B"/>
              <w:right w:val="single" w:sz="8" w:color="DADADA"/>
            </w:tcBorders>
            <w:shd w:val="clear" w:color="auto" w:fill="3F000B"/>
          </w:tcPr>
          <w:p>
            <w:pPr>
              <w:spacing w:after="0"/>
              <w:rPr>
                <w:sz w:val="7"/>
                <w:szCs w:val="7"/>
                <w:color w:val="auto"/>
              </w:rPr>
            </w:pPr>
          </w:p>
        </w:tc>
        <w:tc>
          <w:tcPr>
            <w:tcW w:w="1240" w:type="dxa"/>
            <w:vAlign w:val="bottom"/>
            <w:tcBorders>
              <w:right w:val="single" w:sz="8" w:color="DADADA"/>
            </w:tcBorders>
            <w:shd w:val="clear" w:color="auto" w:fill="3F000B"/>
          </w:tcPr>
          <w:p>
            <w:pPr>
              <w:spacing w:after="0"/>
              <w:rPr>
                <w:sz w:val="7"/>
                <w:szCs w:val="7"/>
                <w:color w:val="auto"/>
              </w:rPr>
            </w:pPr>
          </w:p>
        </w:tc>
        <w:tc>
          <w:tcPr>
            <w:tcW w:w="1280" w:type="dxa"/>
            <w:vAlign w:val="bottom"/>
            <w:tcBorders>
              <w:right w:val="single" w:sz="8" w:color="DADADA"/>
            </w:tcBorders>
            <w:shd w:val="clear" w:color="auto" w:fill="3F000B"/>
          </w:tcPr>
          <w:p>
            <w:pPr>
              <w:spacing w:after="0"/>
              <w:rPr>
                <w:sz w:val="7"/>
                <w:szCs w:val="7"/>
                <w:color w:val="auto"/>
              </w:rPr>
            </w:pPr>
          </w:p>
        </w:tc>
        <w:tc>
          <w:tcPr>
            <w:tcW w:w="980" w:type="dxa"/>
            <w:vAlign w:val="bottom"/>
            <w:shd w:val="clear" w:color="auto" w:fill="3F000B"/>
          </w:tcPr>
          <w:p>
            <w:pPr>
              <w:spacing w:after="0"/>
              <w:rPr>
                <w:sz w:val="7"/>
                <w:szCs w:val="7"/>
                <w:color w:val="auto"/>
              </w:rPr>
            </w:pPr>
          </w:p>
        </w:tc>
        <w:tc>
          <w:tcPr>
            <w:tcW w:w="260" w:type="dxa"/>
            <w:vAlign w:val="bottom"/>
            <w:tcBorders>
              <w:right w:val="single" w:sz="8" w:color="DADADA"/>
            </w:tcBorders>
            <w:shd w:val="clear" w:color="auto" w:fill="3F000B"/>
          </w:tcPr>
          <w:p>
            <w:pPr>
              <w:spacing w:after="0"/>
              <w:rPr>
                <w:sz w:val="7"/>
                <w:szCs w:val="7"/>
                <w:color w:val="auto"/>
              </w:rPr>
            </w:pPr>
          </w:p>
        </w:tc>
        <w:tc>
          <w:tcPr>
            <w:tcW w:w="1260" w:type="dxa"/>
            <w:vAlign w:val="bottom"/>
            <w:tcBorders>
              <w:right w:val="single" w:sz="8" w:color="DADADA"/>
            </w:tcBorders>
            <w:shd w:val="clear" w:color="auto" w:fill="3F000B"/>
          </w:tcPr>
          <w:p>
            <w:pPr>
              <w:spacing w:after="0"/>
              <w:rPr>
                <w:sz w:val="7"/>
                <w:szCs w:val="7"/>
                <w:color w:val="auto"/>
              </w:rPr>
            </w:pPr>
          </w:p>
        </w:tc>
        <w:tc>
          <w:tcPr>
            <w:tcW w:w="1260" w:type="dxa"/>
            <w:vAlign w:val="bottom"/>
            <w:tcBorders>
              <w:right w:val="single" w:sz="8" w:color="DADADA"/>
            </w:tcBorders>
            <w:shd w:val="clear" w:color="auto" w:fill="3F000B"/>
          </w:tcPr>
          <w:p>
            <w:pPr>
              <w:spacing w:after="0"/>
              <w:rPr>
                <w:sz w:val="7"/>
                <w:szCs w:val="7"/>
                <w:color w:val="auto"/>
              </w:rPr>
            </w:pPr>
          </w:p>
        </w:tc>
        <w:tc>
          <w:tcPr>
            <w:tcW w:w="1320" w:type="dxa"/>
            <w:vAlign w:val="bottom"/>
            <w:tcBorders>
              <w:right w:val="single" w:sz="8" w:color="DADADA"/>
            </w:tcBorders>
            <w:shd w:val="clear" w:color="auto" w:fill="3F000B"/>
          </w:tcPr>
          <w:p>
            <w:pPr>
              <w:spacing w:after="0"/>
              <w:rPr>
                <w:sz w:val="7"/>
                <w:szCs w:val="7"/>
                <w:color w:val="auto"/>
              </w:rPr>
            </w:pPr>
          </w:p>
        </w:tc>
        <w:tc>
          <w:tcPr>
            <w:tcW w:w="1260" w:type="dxa"/>
            <w:vAlign w:val="bottom"/>
            <w:tcBorders>
              <w:right w:val="single" w:sz="8" w:color="DADADA"/>
            </w:tcBorders>
            <w:shd w:val="clear" w:color="auto" w:fill="3F000B"/>
          </w:tcPr>
          <w:p>
            <w:pPr>
              <w:spacing w:after="0"/>
              <w:rPr>
                <w:sz w:val="7"/>
                <w:szCs w:val="7"/>
                <w:color w:val="auto"/>
              </w:rPr>
            </w:pPr>
          </w:p>
        </w:tc>
        <w:tc>
          <w:tcPr>
            <w:tcW w:w="1240" w:type="dxa"/>
            <w:vAlign w:val="bottom"/>
            <w:tcBorders>
              <w:right w:val="single" w:sz="8" w:color="3F000B"/>
            </w:tcBorders>
            <w:shd w:val="clear" w:color="auto" w:fill="3F000B"/>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Ms. Buck</w:t>
            </w:r>
          </w:p>
        </w:tc>
        <w:tc>
          <w:tcPr>
            <w:tcW w:w="124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2,404,000</w:t>
            </w:r>
          </w:p>
        </w:tc>
        <w:tc>
          <w:tcPr>
            <w:tcW w:w="12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3,606,000</w:t>
            </w:r>
          </w:p>
        </w:tc>
        <w:tc>
          <w:tcPr>
            <w:tcW w:w="980" w:type="dxa"/>
            <w:vAlign w:val="bottom"/>
          </w:tcPr>
          <w:p>
            <w:pPr>
              <w:spacing w:after="0"/>
              <w:rPr>
                <w:sz w:val="15"/>
                <w:szCs w:val="15"/>
                <w:color w:val="auto"/>
              </w:rPr>
            </w:pPr>
          </w:p>
        </w:tc>
        <w:tc>
          <w:tcPr>
            <w:tcW w:w="260" w:type="dxa"/>
            <w:vAlign w:val="bottom"/>
            <w:tcBorders>
              <w:right w:val="single" w:sz="8" w:color="3F000B"/>
            </w:tcBorders>
          </w:tcPr>
          <w:p>
            <w:pPr>
              <w:ind w:left="60"/>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45,140</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68,000</w:t>
            </w:r>
          </w:p>
        </w:tc>
        <w:tc>
          <w:tcPr>
            <w:tcW w:w="124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6,123,140</w:t>
            </w:r>
          </w:p>
        </w:tc>
        <w:tc>
          <w:tcPr>
            <w:tcW w:w="0" w:type="dxa"/>
            <w:vAlign w:val="bottom"/>
          </w:tcPr>
          <w:p>
            <w:pPr>
              <w:spacing w:after="0"/>
              <w:rPr>
                <w:sz w:val="1"/>
                <w:szCs w:val="1"/>
                <w:color w:val="auto"/>
              </w:rPr>
            </w:pPr>
          </w:p>
        </w:tc>
      </w:tr>
      <w:tr>
        <w:trPr>
          <w:trHeight w:val="29"/>
        </w:trPr>
        <w:tc>
          <w:tcPr>
            <w:tcW w:w="1100" w:type="dxa"/>
            <w:vAlign w:val="bottom"/>
            <w:tcBorders>
              <w:left w:val="single" w:sz="8" w:color="3F000B"/>
              <w:right w:val="single" w:sz="8" w:color="3F000B"/>
            </w:tcBorders>
          </w:tcPr>
          <w:p>
            <w:pPr>
              <w:spacing w:after="0"/>
              <w:rPr>
                <w:sz w:val="2"/>
                <w:szCs w:val="2"/>
                <w:color w:val="auto"/>
              </w:rPr>
            </w:pPr>
          </w:p>
        </w:tc>
        <w:tc>
          <w:tcPr>
            <w:tcW w:w="1240" w:type="dxa"/>
            <w:vAlign w:val="bottom"/>
            <w:tcBorders>
              <w:right w:val="single" w:sz="8" w:color="3F000B"/>
            </w:tcBorders>
          </w:tcPr>
          <w:p>
            <w:pPr>
              <w:spacing w:after="0"/>
              <w:rPr>
                <w:sz w:val="2"/>
                <w:szCs w:val="2"/>
                <w:color w:val="auto"/>
              </w:rPr>
            </w:pPr>
          </w:p>
        </w:tc>
        <w:tc>
          <w:tcPr>
            <w:tcW w:w="1280" w:type="dxa"/>
            <w:vAlign w:val="bottom"/>
            <w:tcBorders>
              <w:right w:val="single" w:sz="8" w:color="3F000B"/>
            </w:tcBorders>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Borders>
              <w:right w:val="single" w:sz="8" w:color="3F000B"/>
            </w:tcBorders>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c>
          <w:tcPr>
            <w:tcW w:w="1320" w:type="dxa"/>
            <w:vAlign w:val="bottom"/>
            <w:tcBorders>
              <w:right w:val="single" w:sz="8" w:color="3F000B"/>
            </w:tcBorders>
          </w:tcPr>
          <w:p>
            <w:pPr>
              <w:spacing w:after="0"/>
              <w:rPr>
                <w:sz w:val="2"/>
                <w:szCs w:val="2"/>
                <w:color w:val="auto"/>
              </w:rPr>
            </w:pPr>
          </w:p>
        </w:tc>
        <w:tc>
          <w:tcPr>
            <w:tcW w:w="1260" w:type="dxa"/>
            <w:vAlign w:val="bottom"/>
            <w:tcBorders>
              <w:right w:val="single" w:sz="8" w:color="3F000B"/>
            </w:tcBorders>
          </w:tcPr>
          <w:p>
            <w:pPr>
              <w:spacing w:after="0"/>
              <w:rPr>
                <w:sz w:val="2"/>
                <w:szCs w:val="2"/>
                <w:color w:val="auto"/>
              </w:rPr>
            </w:pPr>
          </w:p>
        </w:tc>
        <w:tc>
          <w:tcPr>
            <w:tcW w:w="1240" w:type="dxa"/>
            <w:vAlign w:val="bottom"/>
            <w:tcBorders>
              <w:right w:val="single" w:sz="8" w:color="3F000B"/>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Voskuil</w:t>
            </w:r>
          </w:p>
        </w:tc>
        <w:tc>
          <w:tcPr>
            <w:tcW w:w="124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1,012,500</w:t>
            </w:r>
          </w:p>
        </w:tc>
        <w:tc>
          <w:tcPr>
            <w:tcW w:w="128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860,625</w:t>
            </w:r>
          </w:p>
        </w:tc>
        <w:tc>
          <w:tcPr>
            <w:tcW w:w="980" w:type="dxa"/>
            <w:vAlign w:val="bottom"/>
            <w:tcBorders>
              <w:bottom w:val="single" w:sz="8" w:color="DADADA"/>
            </w:tcBorders>
            <w:shd w:val="clear" w:color="auto" w:fill="DADADA"/>
          </w:tcPr>
          <w:p>
            <w:pPr>
              <w:spacing w:after="0"/>
              <w:rPr>
                <w:sz w:val="15"/>
                <w:szCs w:val="15"/>
                <w:color w:val="auto"/>
              </w:rPr>
            </w:pPr>
          </w:p>
        </w:tc>
        <w:tc>
          <w:tcPr>
            <w:tcW w:w="260" w:type="dxa"/>
            <w:vAlign w:val="bottom"/>
            <w:tcBorders>
              <w:bottom w:val="single" w:sz="8" w:color="DADADA"/>
              <w:right w:val="single" w:sz="8" w:color="3F000B"/>
            </w:tcBorders>
            <w:shd w:val="clear" w:color="auto" w:fill="DADADA"/>
          </w:tcPr>
          <w:p>
            <w:pPr>
              <w:ind w:left="6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1,114,588</w:t>
            </w:r>
          </w:p>
        </w:tc>
        <w:tc>
          <w:tcPr>
            <w:tcW w:w="13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30,522</w:t>
            </w:r>
          </w:p>
        </w:tc>
        <w:tc>
          <w:tcPr>
            <w:tcW w:w="12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59,750</w:t>
            </w:r>
          </w:p>
        </w:tc>
        <w:tc>
          <w:tcPr>
            <w:tcW w:w="124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3,077,985</w:t>
            </w:r>
          </w:p>
        </w:tc>
        <w:tc>
          <w:tcPr>
            <w:tcW w:w="0" w:type="dxa"/>
            <w:vAlign w:val="bottom"/>
          </w:tcPr>
          <w:p>
            <w:pPr>
              <w:spacing w:after="0"/>
              <w:rPr>
                <w:sz w:val="1"/>
                <w:szCs w:val="1"/>
                <w:color w:val="auto"/>
              </w:rPr>
            </w:pPr>
          </w:p>
        </w:tc>
      </w:tr>
      <w:tr>
        <w:trPr>
          <w:trHeight w:val="195"/>
        </w:trPr>
        <w:tc>
          <w:tcPr>
            <w:tcW w:w="11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Raup</w:t>
            </w:r>
          </w:p>
        </w:tc>
        <w:tc>
          <w:tcPr>
            <w:tcW w:w="124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750,000</w:t>
            </w:r>
          </w:p>
        </w:tc>
        <w:tc>
          <w:tcPr>
            <w:tcW w:w="12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525,000</w:t>
            </w:r>
          </w:p>
        </w:tc>
        <w:tc>
          <w:tcPr>
            <w:tcW w:w="980" w:type="dxa"/>
            <w:vAlign w:val="bottom"/>
          </w:tcPr>
          <w:p>
            <w:pPr>
              <w:spacing w:after="0"/>
              <w:rPr>
                <w:sz w:val="16"/>
                <w:szCs w:val="16"/>
                <w:color w:val="auto"/>
              </w:rPr>
            </w:pPr>
          </w:p>
        </w:tc>
        <w:tc>
          <w:tcPr>
            <w:tcW w:w="260" w:type="dxa"/>
            <w:vAlign w:val="bottom"/>
            <w:tcBorders>
              <w:right w:val="single" w:sz="8" w:color="3F000B"/>
            </w:tcBorders>
          </w:tcPr>
          <w:p>
            <w:pPr>
              <w:ind w:left="60"/>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123,739</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252,922</w:t>
            </w:r>
          </w:p>
        </w:tc>
        <w:tc>
          <w:tcPr>
            <w:tcW w:w="13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29,175</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59,750</w:t>
            </w:r>
          </w:p>
        </w:tc>
        <w:tc>
          <w:tcPr>
            <w:tcW w:w="124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1,740,586</w:t>
            </w:r>
          </w:p>
        </w:tc>
        <w:tc>
          <w:tcPr>
            <w:tcW w:w="0" w:type="dxa"/>
            <w:vAlign w:val="bottom"/>
          </w:tcPr>
          <w:p>
            <w:pPr>
              <w:spacing w:after="0"/>
              <w:rPr>
                <w:sz w:val="1"/>
                <w:szCs w:val="1"/>
                <w:color w:val="auto"/>
              </w:rPr>
            </w:pPr>
          </w:p>
        </w:tc>
      </w:tr>
      <w:tr>
        <w:trPr>
          <w:trHeight w:val="190"/>
        </w:trPr>
        <w:tc>
          <w:tcPr>
            <w:tcW w:w="110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Reiman</w:t>
            </w:r>
          </w:p>
        </w:tc>
        <w:tc>
          <w:tcPr>
            <w:tcW w:w="124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769,500</w:t>
            </w:r>
          </w:p>
        </w:tc>
        <w:tc>
          <w:tcPr>
            <w:tcW w:w="128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500,175</w:t>
            </w:r>
          </w:p>
        </w:tc>
        <w:tc>
          <w:tcPr>
            <w:tcW w:w="980" w:type="dxa"/>
            <w:vAlign w:val="bottom"/>
            <w:tcBorders>
              <w:bottom w:val="single" w:sz="8" w:color="DADADA"/>
            </w:tcBorders>
            <w:shd w:val="clear" w:color="auto" w:fill="DADADA"/>
          </w:tcPr>
          <w:p>
            <w:pPr>
              <w:spacing w:after="0"/>
              <w:rPr>
                <w:sz w:val="16"/>
                <w:szCs w:val="16"/>
                <w:color w:val="auto"/>
              </w:rPr>
            </w:pPr>
          </w:p>
        </w:tc>
        <w:tc>
          <w:tcPr>
            <w:tcW w:w="260" w:type="dxa"/>
            <w:vAlign w:val="bottom"/>
            <w:tcBorders>
              <w:bottom w:val="single" w:sz="8" w:color="DADADA"/>
              <w:right w:val="single" w:sz="8" w:color="3F000B"/>
            </w:tcBorders>
            <w:shd w:val="clear" w:color="auto" w:fill="DADADA"/>
          </w:tcPr>
          <w:p>
            <w:pPr>
              <w:ind w:left="6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105,738</w:t>
            </w:r>
          </w:p>
        </w:tc>
        <w:tc>
          <w:tcPr>
            <w:tcW w:w="12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270,167</w:t>
            </w:r>
          </w:p>
        </w:tc>
        <w:tc>
          <w:tcPr>
            <w:tcW w:w="132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30,087</w:t>
            </w:r>
          </w:p>
        </w:tc>
        <w:tc>
          <w:tcPr>
            <w:tcW w:w="12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59,750</w:t>
            </w:r>
          </w:p>
        </w:tc>
        <w:tc>
          <w:tcPr>
            <w:tcW w:w="124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1,735,417</w:t>
            </w:r>
          </w:p>
        </w:tc>
        <w:tc>
          <w:tcPr>
            <w:tcW w:w="0" w:type="dxa"/>
            <w:vAlign w:val="bottom"/>
          </w:tcPr>
          <w:p>
            <w:pPr>
              <w:spacing w:after="0"/>
              <w:rPr>
                <w:sz w:val="1"/>
                <w:szCs w:val="1"/>
                <w:color w:val="auto"/>
              </w:rPr>
            </w:pPr>
          </w:p>
        </w:tc>
      </w:tr>
      <w:tr>
        <w:trPr>
          <w:trHeight w:val="173"/>
        </w:trPr>
        <w:tc>
          <w:tcPr>
            <w:tcW w:w="110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Atkins</w:t>
            </w:r>
          </w:p>
        </w:tc>
        <w:tc>
          <w:tcPr>
            <w:tcW w:w="124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883,575</w:t>
            </w:r>
          </w:p>
        </w:tc>
        <w:tc>
          <w:tcPr>
            <w:tcW w:w="12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618,503</w:t>
            </w:r>
          </w:p>
        </w:tc>
        <w:tc>
          <w:tcPr>
            <w:tcW w:w="980" w:type="dxa"/>
            <w:vAlign w:val="bottom"/>
          </w:tcPr>
          <w:p>
            <w:pPr>
              <w:spacing w:after="0"/>
              <w:rPr>
                <w:sz w:val="15"/>
                <w:szCs w:val="15"/>
                <w:color w:val="auto"/>
              </w:rPr>
            </w:pPr>
          </w:p>
        </w:tc>
        <w:tc>
          <w:tcPr>
            <w:tcW w:w="260" w:type="dxa"/>
            <w:vAlign w:val="bottom"/>
            <w:tcBorders>
              <w:right w:val="single" w:sz="8" w:color="3F000B"/>
            </w:tcBorders>
          </w:tcPr>
          <w:p>
            <w:pPr>
              <w:ind w:left="60"/>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192,757</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470,324</w:t>
            </w:r>
          </w:p>
        </w:tc>
        <w:tc>
          <w:tcPr>
            <w:tcW w:w="132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30,294</w:t>
            </w:r>
          </w:p>
        </w:tc>
        <w:tc>
          <w:tcPr>
            <w:tcW w:w="12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59,750</w:t>
            </w:r>
          </w:p>
        </w:tc>
        <w:tc>
          <w:tcPr>
            <w:tcW w:w="124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2,255,203</w:t>
            </w:r>
          </w:p>
        </w:tc>
        <w:tc>
          <w:tcPr>
            <w:tcW w:w="0" w:type="dxa"/>
            <w:vAlign w:val="bottom"/>
          </w:tcPr>
          <w:p>
            <w:pPr>
              <w:spacing w:after="0"/>
              <w:rPr>
                <w:sz w:val="1"/>
                <w:szCs w:val="1"/>
                <w:color w:val="auto"/>
              </w:rPr>
            </w:pPr>
          </w:p>
        </w:tc>
      </w:tr>
      <w:tr>
        <w:trPr>
          <w:trHeight w:val="29"/>
        </w:trPr>
        <w:tc>
          <w:tcPr>
            <w:tcW w:w="1100" w:type="dxa"/>
            <w:vAlign w:val="bottom"/>
            <w:tcBorders>
              <w:left w:val="single" w:sz="8" w:color="3F000B"/>
              <w:bottom w:val="single" w:sz="8" w:color="3F000B"/>
              <w:right w:val="single" w:sz="8" w:color="3F000B"/>
            </w:tcBorders>
          </w:tcPr>
          <w:p>
            <w:pPr>
              <w:spacing w:after="0"/>
              <w:rPr>
                <w:sz w:val="2"/>
                <w:szCs w:val="2"/>
                <w:color w:val="auto"/>
              </w:rPr>
            </w:pPr>
          </w:p>
        </w:tc>
        <w:tc>
          <w:tcPr>
            <w:tcW w:w="1240" w:type="dxa"/>
            <w:vAlign w:val="bottom"/>
            <w:tcBorders>
              <w:bottom w:val="single" w:sz="8" w:color="3F000B"/>
              <w:right w:val="single" w:sz="8" w:color="3F000B"/>
            </w:tcBorders>
          </w:tcPr>
          <w:p>
            <w:pPr>
              <w:spacing w:after="0"/>
              <w:rPr>
                <w:sz w:val="2"/>
                <w:szCs w:val="2"/>
                <w:color w:val="auto"/>
              </w:rPr>
            </w:pPr>
          </w:p>
        </w:tc>
        <w:tc>
          <w:tcPr>
            <w:tcW w:w="1280" w:type="dxa"/>
            <w:vAlign w:val="bottom"/>
            <w:tcBorders>
              <w:bottom w:val="single" w:sz="8" w:color="3F000B"/>
              <w:right w:val="single" w:sz="8" w:color="3F000B"/>
            </w:tcBorders>
          </w:tcPr>
          <w:p>
            <w:pPr>
              <w:spacing w:after="0"/>
              <w:rPr>
                <w:sz w:val="2"/>
                <w:szCs w:val="2"/>
                <w:color w:val="auto"/>
              </w:rPr>
            </w:pPr>
          </w:p>
        </w:tc>
        <w:tc>
          <w:tcPr>
            <w:tcW w:w="980" w:type="dxa"/>
            <w:vAlign w:val="bottom"/>
            <w:tcBorders>
              <w:bottom w:val="single" w:sz="8" w:color="3F000B"/>
            </w:tcBorders>
          </w:tcPr>
          <w:p>
            <w:pPr>
              <w:spacing w:after="0"/>
              <w:rPr>
                <w:sz w:val="2"/>
                <w:szCs w:val="2"/>
                <w:color w:val="auto"/>
              </w:rPr>
            </w:pPr>
          </w:p>
        </w:tc>
        <w:tc>
          <w:tcPr>
            <w:tcW w:w="260" w:type="dxa"/>
            <w:vAlign w:val="bottom"/>
            <w:tcBorders>
              <w:bottom w:val="single" w:sz="8" w:color="3F000B"/>
              <w:right w:val="single" w:sz="8" w:color="3F000B"/>
            </w:tcBorders>
          </w:tcPr>
          <w:p>
            <w:pPr>
              <w:spacing w:after="0"/>
              <w:rPr>
                <w:sz w:val="2"/>
                <w:szCs w:val="2"/>
                <w:color w:val="auto"/>
              </w:rPr>
            </w:pPr>
          </w:p>
        </w:tc>
        <w:tc>
          <w:tcPr>
            <w:tcW w:w="1260" w:type="dxa"/>
            <w:vAlign w:val="bottom"/>
            <w:tcBorders>
              <w:bottom w:val="single" w:sz="8" w:color="3F000B"/>
              <w:right w:val="single" w:sz="8" w:color="3F000B"/>
            </w:tcBorders>
          </w:tcPr>
          <w:p>
            <w:pPr>
              <w:spacing w:after="0"/>
              <w:rPr>
                <w:sz w:val="2"/>
                <w:szCs w:val="2"/>
                <w:color w:val="auto"/>
              </w:rPr>
            </w:pPr>
          </w:p>
        </w:tc>
        <w:tc>
          <w:tcPr>
            <w:tcW w:w="1260" w:type="dxa"/>
            <w:vAlign w:val="bottom"/>
            <w:tcBorders>
              <w:bottom w:val="single" w:sz="8" w:color="3F000B"/>
              <w:right w:val="single" w:sz="8" w:color="3F000B"/>
            </w:tcBorders>
          </w:tcPr>
          <w:p>
            <w:pPr>
              <w:spacing w:after="0"/>
              <w:rPr>
                <w:sz w:val="2"/>
                <w:szCs w:val="2"/>
                <w:color w:val="auto"/>
              </w:rPr>
            </w:pPr>
          </w:p>
        </w:tc>
        <w:tc>
          <w:tcPr>
            <w:tcW w:w="1320" w:type="dxa"/>
            <w:vAlign w:val="bottom"/>
            <w:tcBorders>
              <w:bottom w:val="single" w:sz="8" w:color="3F000B"/>
              <w:right w:val="single" w:sz="8" w:color="3F000B"/>
            </w:tcBorders>
          </w:tcPr>
          <w:p>
            <w:pPr>
              <w:spacing w:after="0"/>
              <w:rPr>
                <w:sz w:val="2"/>
                <w:szCs w:val="2"/>
                <w:color w:val="auto"/>
              </w:rPr>
            </w:pPr>
          </w:p>
        </w:tc>
        <w:tc>
          <w:tcPr>
            <w:tcW w:w="1260" w:type="dxa"/>
            <w:vAlign w:val="bottom"/>
            <w:tcBorders>
              <w:bottom w:val="single" w:sz="8" w:color="3F000B"/>
              <w:right w:val="single" w:sz="8" w:color="3F000B"/>
            </w:tcBorders>
          </w:tcPr>
          <w:p>
            <w:pPr>
              <w:spacing w:after="0"/>
              <w:rPr>
                <w:sz w:val="2"/>
                <w:szCs w:val="2"/>
                <w:color w:val="auto"/>
              </w:rPr>
            </w:pPr>
          </w:p>
        </w:tc>
        <w:tc>
          <w:tcPr>
            <w:tcW w:w="124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252"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Reflects the value of equity awards that would have vested and become payable to each NEO over and above amounts they would have received upon a voluntary termination.</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Reflects projected medical, dental, vision and life insurance continuation premiums paid by the Company during the applicable time period following termination.</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Value of maximum payment for financial planning and tax preparation continuation during the applicable time period following termination plus outplacement services of $35,000.</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with respect to stock options, RSUs and PSUs held by each NEO as of December 31, 2020, refer to the Outstanding Equity Awards at 2020 Fiscal-Year End Table.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EBPP 3A and the terms of the applicable award agreements provide for the vesting and payment of the following benefits to each of the NEOs upon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w:t>
      </w:r>
    </w:p>
    <w:p>
      <w:pPr>
        <w:spacing w:after="0" w:line="103" w:lineRule="exact"/>
        <w:rPr>
          <w:sz w:val="20"/>
          <w:szCs w:val="20"/>
          <w:color w:val="auto"/>
        </w:rPr>
      </w:pPr>
    </w:p>
    <w:p>
      <w:pPr>
        <w:ind w:left="340" w:right="380" w:hanging="332"/>
        <w:spacing w:after="0" w:line="277" w:lineRule="auto"/>
        <w:tabs>
          <w:tab w:leader="none" w:pos="3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OHIP payment for the year in which the Change in Control occurs, calculated as the greater of target or the estimated payment based on actual performance through the date of the Change in Control;</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the extent not vested, full vesting of benefits accrued under the DB SERP, CLRP and the Deferred Compensation Plan;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the extent not vested, full vesting of benefits under the 401(k) and pension plans;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not replaced with awards that qualify as Replacement Awards (as defined in the EICP), full vesting of all outstanding RSUs and stock options;</w:t>
      </w:r>
    </w:p>
    <w:p>
      <w:pPr>
        <w:spacing w:after="0" w:line="74" w:lineRule="exact"/>
        <w:rPr>
          <w:rFonts w:ascii="Arial" w:cs="Arial" w:eastAsia="Arial" w:hAnsi="Arial"/>
          <w:sz w:val="17"/>
          <w:szCs w:val="17"/>
          <w:color w:val="auto"/>
        </w:rPr>
      </w:pPr>
    </w:p>
    <w:p>
      <w:pPr>
        <w:ind w:left="340" w:right="40" w:hanging="332"/>
        <w:spacing w:after="0" w:line="295" w:lineRule="auto"/>
        <w:tabs>
          <w:tab w:leader="none" w:pos="33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not replaced with awards that qualify as Replacement Awards (as defined in the EICP), a vested and non-forfeitable right to receive a lump sum cash payment equal to the target PSU grant for the performance cycle ending in the year of the Change in Control, determined based upon the greater of target or actual performance through the date of the Change in Control, with each PSU valued at the higher of (a) the highest closing price for our Common Stock during the 60 days prior to (and including the date of) the Change in Control and (b) the price at which an offer is made to purchase shares of our Common Stock from the Company’s stockholders, if applicable (the higher of (a) and (b), the “Transaction Value”); and</w:t>
      </w:r>
    </w:p>
    <w:p>
      <w:pPr>
        <w:spacing w:after="0" w:line="3" w:lineRule="exact"/>
        <w:rPr>
          <w:rFonts w:ascii="Arial" w:cs="Arial" w:eastAsia="Arial" w:hAnsi="Arial"/>
          <w:sz w:val="16"/>
          <w:szCs w:val="16"/>
          <w:color w:val="auto"/>
        </w:rPr>
      </w:pPr>
    </w:p>
    <w:p>
      <w:pPr>
        <w:ind w:left="340" w:right="40" w:hanging="332"/>
        <w:spacing w:after="0" w:line="257" w:lineRule="auto"/>
        <w:tabs>
          <w:tab w:leader="none" w:pos="3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not replaced with awards that qualify as Replacement Awards (as defined in the EICP), a vested and non-forfeitable right to receive a lump sum cash payment equal to the target PSU grant for the second year of the performance cycle and a prorated portion of the target PSU grant for the first year of the performance cycle at the time of the Change in Control, with each PSU valued at the higher of the Transaction Value and the highest closing price of our Common Stock from the date of the Change of Control until the earlier of the end of the applicable grant cycle or the NEO’s separation from service.</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our EICP and the terms of the applicable award agreements, awards that are continued as Replacement Awards after a Change in Control are not subject to accelerated vesting or payment upon the Change in Control. In the event of termination of employment within two years following the Change in Control for any reason other than termination for Cause or resignation without Good Reason, the replacement awards will vest and become payable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057" w:right="339" w:bottom="1440" w:gutter="0" w:footer="0" w:header="0"/>
        </w:sectPr>
      </w:pPr>
    </w:p>
    <w:bookmarkStart w:id="84" w:name="page85"/>
    <w:bookmarkEnd w:id="84"/>
    <w:p>
      <w:pPr>
        <w:ind w:right="40"/>
        <w:spacing w:after="0" w:line="277" w:lineRule="auto"/>
        <w:rPr>
          <w:sz w:val="20"/>
          <w:szCs w:val="20"/>
          <w:color w:val="auto"/>
        </w:rPr>
      </w:pPr>
      <w:r>
        <w:rPr>
          <w:rFonts w:ascii="Arial" w:cs="Arial" w:eastAsia="Arial" w:hAnsi="Arial"/>
          <w:sz w:val="18"/>
          <w:szCs w:val="18"/>
          <w:color w:val="auto"/>
        </w:rPr>
        <w:t>The following table and explanatory footnotes provide information with respect to the incremental amounts that would have vested and become payable on December 31, 2020, if a Change in Control occurred on that date.</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40" w:type="dxa"/>
            <w:vAlign w:val="bottom"/>
            <w:tcBorders>
              <w:top w:val="single" w:sz="8" w:color="3F000B"/>
              <w:left w:val="single" w:sz="8" w:color="3F000B"/>
              <w:right w:val="single" w:sz="8" w:color="DADADA"/>
            </w:tcBorders>
            <w:shd w:val="clear" w:color="auto" w:fill="3F000B"/>
          </w:tcPr>
          <w:p>
            <w:pPr>
              <w:spacing w:after="0"/>
              <w:rPr>
                <w:sz w:val="20"/>
                <w:szCs w:val="20"/>
                <w:color w:val="auto"/>
              </w:rPr>
            </w:pPr>
          </w:p>
        </w:tc>
        <w:tc>
          <w:tcPr>
            <w:tcW w:w="1120" w:type="dxa"/>
            <w:vAlign w:val="bottom"/>
            <w:tcBorders>
              <w:top w:val="single" w:sz="8" w:color="3F000B"/>
            </w:tcBorders>
            <w:shd w:val="clear" w:color="auto" w:fill="3F000B"/>
          </w:tcPr>
          <w:p>
            <w:pPr>
              <w:spacing w:after="0"/>
              <w:rPr>
                <w:sz w:val="20"/>
                <w:szCs w:val="20"/>
                <w:color w:val="auto"/>
              </w:rPr>
            </w:pPr>
          </w:p>
        </w:tc>
        <w:tc>
          <w:tcPr>
            <w:tcW w:w="280" w:type="dxa"/>
            <w:vAlign w:val="bottom"/>
            <w:tcBorders>
              <w:top w:val="single" w:sz="8" w:color="3F000B"/>
              <w:right w:val="single" w:sz="8" w:color="DADADA"/>
            </w:tcBorders>
            <w:shd w:val="clear" w:color="auto" w:fill="3F000B"/>
          </w:tcPr>
          <w:p>
            <w:pPr>
              <w:spacing w:after="0"/>
              <w:rPr>
                <w:sz w:val="20"/>
                <w:szCs w:val="20"/>
                <w:color w:val="auto"/>
              </w:rPr>
            </w:pPr>
          </w:p>
        </w:tc>
        <w:tc>
          <w:tcPr>
            <w:tcW w:w="1400" w:type="dxa"/>
            <w:vAlign w:val="bottom"/>
            <w:tcBorders>
              <w:top w:val="single" w:sz="8" w:color="3F000B"/>
              <w:right w:val="single" w:sz="8" w:color="DADADA"/>
            </w:tcBorders>
            <w:shd w:val="clear" w:color="auto" w:fill="3F000B"/>
          </w:tcPr>
          <w:p>
            <w:pPr>
              <w:spacing w:after="0"/>
              <w:rPr>
                <w:sz w:val="20"/>
                <w:szCs w:val="20"/>
                <w:color w:val="auto"/>
              </w:rPr>
            </w:pPr>
          </w:p>
        </w:tc>
        <w:tc>
          <w:tcPr>
            <w:tcW w:w="1560" w:type="dxa"/>
            <w:vAlign w:val="bottom"/>
            <w:tcBorders>
              <w:top w:val="single" w:sz="8" w:color="3F000B"/>
              <w:right w:val="single" w:sz="8" w:color="DADADA"/>
            </w:tcBorders>
            <w:shd w:val="clear" w:color="auto" w:fill="3F000B"/>
          </w:tcPr>
          <w:p>
            <w:pPr>
              <w:spacing w:after="0"/>
              <w:rPr>
                <w:sz w:val="20"/>
                <w:szCs w:val="20"/>
                <w:color w:val="auto"/>
              </w:rPr>
            </w:pPr>
          </w:p>
        </w:tc>
        <w:tc>
          <w:tcPr>
            <w:tcW w:w="138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6"/>
              </w:rPr>
              <w:t>Vesting</w:t>
            </w:r>
          </w:p>
        </w:tc>
        <w:tc>
          <w:tcPr>
            <w:tcW w:w="1500" w:type="dxa"/>
            <w:vAlign w:val="bottom"/>
            <w:tcBorders>
              <w:top w:val="single" w:sz="8" w:color="3F000B"/>
              <w:right w:val="single" w:sz="8" w:color="DADADA"/>
            </w:tcBorders>
            <w:shd w:val="clear" w:color="auto" w:fill="3F000B"/>
          </w:tcPr>
          <w:p>
            <w:pPr>
              <w:spacing w:after="0"/>
              <w:rPr>
                <w:sz w:val="20"/>
                <w:szCs w:val="20"/>
                <w:color w:val="auto"/>
              </w:rPr>
            </w:pPr>
          </w:p>
        </w:tc>
        <w:tc>
          <w:tcPr>
            <w:tcW w:w="1400" w:type="dxa"/>
            <w:vAlign w:val="bottom"/>
            <w:tcBorders>
              <w:top w:val="single" w:sz="8" w:color="3F000B"/>
              <w:right w:val="single" w:sz="8" w:color="3F000B"/>
            </w:tcBorders>
            <w:shd w:val="clear" w:color="auto" w:fill="3F000B"/>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340" w:type="dxa"/>
            <w:vAlign w:val="bottom"/>
            <w:tcBorders>
              <w:left w:val="single" w:sz="8" w:color="3F000B"/>
              <w:right w:val="single" w:sz="8" w:color="DADADA"/>
            </w:tcBorders>
            <w:shd w:val="clear" w:color="auto" w:fill="3F000B"/>
          </w:tcPr>
          <w:p>
            <w:pPr>
              <w:spacing w:after="0"/>
              <w:rPr>
                <w:sz w:val="19"/>
                <w:szCs w:val="19"/>
                <w:color w:val="auto"/>
              </w:rPr>
            </w:pPr>
          </w:p>
        </w:tc>
        <w:tc>
          <w:tcPr>
            <w:tcW w:w="1120" w:type="dxa"/>
            <w:vAlign w:val="bottom"/>
            <w:vMerge w:val="restart"/>
            <w:shd w:val="clear" w:color="auto" w:fill="3F000B"/>
          </w:tcPr>
          <w:p>
            <w:pPr>
              <w:jc w:val="center"/>
              <w:ind w:left="170"/>
              <w:spacing w:after="0"/>
              <w:rPr>
                <w:sz w:val="20"/>
                <w:szCs w:val="20"/>
                <w:color w:val="auto"/>
              </w:rPr>
            </w:pPr>
            <w:r>
              <w:rPr>
                <w:rFonts w:ascii="Arial" w:cs="Arial" w:eastAsia="Arial" w:hAnsi="Arial"/>
                <w:sz w:val="18"/>
                <w:szCs w:val="18"/>
                <w:b w:val="1"/>
                <w:bCs w:val="1"/>
                <w:color w:val="FFFFFF"/>
              </w:rPr>
              <w:t>OHIP</w:t>
            </w:r>
          </w:p>
        </w:tc>
        <w:tc>
          <w:tcPr>
            <w:tcW w:w="280" w:type="dxa"/>
            <w:vAlign w:val="bottom"/>
            <w:tcBorders>
              <w:right w:val="single" w:sz="8" w:color="DADADA"/>
            </w:tcBorders>
            <w:shd w:val="clear" w:color="auto" w:fill="3F000B"/>
          </w:tcPr>
          <w:p>
            <w:pPr>
              <w:spacing w:after="0"/>
              <w:rPr>
                <w:sz w:val="19"/>
                <w:szCs w:val="19"/>
                <w:color w:val="auto"/>
              </w:rPr>
            </w:pPr>
          </w:p>
        </w:tc>
        <w:tc>
          <w:tcPr>
            <w:tcW w:w="1400" w:type="dxa"/>
            <w:vAlign w:val="bottom"/>
            <w:tcBorders>
              <w:right w:val="single" w:sz="8" w:color="DADADA"/>
            </w:tcBorders>
            <w:shd w:val="clear" w:color="auto" w:fill="3F000B"/>
          </w:tcPr>
          <w:p>
            <w:pPr>
              <w:spacing w:after="0"/>
              <w:rPr>
                <w:sz w:val="19"/>
                <w:szCs w:val="19"/>
                <w:color w:val="auto"/>
              </w:rPr>
            </w:pPr>
          </w:p>
        </w:tc>
        <w:tc>
          <w:tcPr>
            <w:tcW w:w="15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6"/>
              </w:rPr>
              <w:t>Vesting</w:t>
            </w:r>
          </w:p>
        </w:tc>
        <w:tc>
          <w:tcPr>
            <w:tcW w:w="13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3"/>
              </w:rPr>
              <w:t>of</w:t>
            </w:r>
          </w:p>
        </w:tc>
        <w:tc>
          <w:tcPr>
            <w:tcW w:w="15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1"/>
              </w:rPr>
              <w:t>Retirement</w:t>
            </w:r>
          </w:p>
        </w:tc>
        <w:tc>
          <w:tcPr>
            <w:tcW w:w="1400" w:type="dxa"/>
            <w:vAlign w:val="bottom"/>
            <w:tcBorders>
              <w:right w:val="single" w:sz="8" w:color="3F000B"/>
            </w:tcBorders>
            <w:shd w:val="clear" w:color="auto" w:fill="3F000B"/>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340" w:type="dxa"/>
            <w:vAlign w:val="bottom"/>
            <w:tcBorders>
              <w:left w:val="single" w:sz="8" w:color="3F000B"/>
              <w:right w:val="single" w:sz="8" w:color="DADADA"/>
            </w:tcBorders>
            <w:shd w:val="clear" w:color="auto" w:fill="3F000B"/>
          </w:tcPr>
          <w:p>
            <w:pPr>
              <w:spacing w:after="0"/>
              <w:rPr>
                <w:sz w:val="17"/>
                <w:szCs w:val="17"/>
                <w:color w:val="auto"/>
              </w:rPr>
            </w:pPr>
          </w:p>
        </w:tc>
        <w:tc>
          <w:tcPr>
            <w:tcW w:w="1120" w:type="dxa"/>
            <w:vAlign w:val="bottom"/>
            <w:vMerge w:val="continue"/>
            <w:shd w:val="clear" w:color="auto" w:fill="3F000B"/>
          </w:tcPr>
          <w:p>
            <w:pPr>
              <w:spacing w:after="0"/>
              <w:rPr>
                <w:sz w:val="17"/>
                <w:szCs w:val="17"/>
                <w:color w:val="auto"/>
              </w:rPr>
            </w:pPr>
          </w:p>
        </w:tc>
        <w:tc>
          <w:tcPr>
            <w:tcW w:w="280" w:type="dxa"/>
            <w:vAlign w:val="bottom"/>
            <w:tcBorders>
              <w:right w:val="single" w:sz="8" w:color="DADADA"/>
            </w:tcBorders>
            <w:shd w:val="clear" w:color="auto" w:fill="3F000B"/>
          </w:tcPr>
          <w:p>
            <w:pPr>
              <w:spacing w:after="0"/>
              <w:rPr>
                <w:sz w:val="17"/>
                <w:szCs w:val="17"/>
                <w:color w:val="auto"/>
              </w:rPr>
            </w:pPr>
          </w:p>
        </w:tc>
        <w:tc>
          <w:tcPr>
            <w:tcW w:w="1400" w:type="dxa"/>
            <w:vAlign w:val="bottom"/>
            <w:tcBorders>
              <w:right w:val="single" w:sz="8" w:color="DADADA"/>
            </w:tcBorders>
            <w:shd w:val="clear" w:color="auto" w:fill="3F000B"/>
          </w:tcPr>
          <w:p>
            <w:pPr>
              <w:jc w:val="center"/>
              <w:spacing w:after="0" w:line="204" w:lineRule="exact"/>
              <w:rPr>
                <w:sz w:val="20"/>
                <w:szCs w:val="20"/>
                <w:color w:val="auto"/>
              </w:rPr>
            </w:pPr>
            <w:r>
              <w:rPr>
                <w:rFonts w:ascii="Arial" w:cs="Arial" w:eastAsia="Arial" w:hAnsi="Arial"/>
                <w:sz w:val="18"/>
                <w:szCs w:val="18"/>
                <w:b w:val="1"/>
                <w:bCs w:val="1"/>
                <w:color w:val="FFFFFF"/>
                <w:w w:val="91"/>
              </w:rPr>
              <w:t>PSU</w:t>
            </w:r>
          </w:p>
        </w:tc>
        <w:tc>
          <w:tcPr>
            <w:tcW w:w="1560" w:type="dxa"/>
            <w:vAlign w:val="bottom"/>
            <w:tcBorders>
              <w:right w:val="single" w:sz="8" w:color="DADADA"/>
            </w:tcBorders>
            <w:shd w:val="clear" w:color="auto" w:fill="3F000B"/>
          </w:tcPr>
          <w:p>
            <w:pPr>
              <w:jc w:val="center"/>
              <w:spacing w:after="0" w:line="204" w:lineRule="exact"/>
              <w:rPr>
                <w:sz w:val="20"/>
                <w:szCs w:val="20"/>
                <w:color w:val="auto"/>
              </w:rPr>
            </w:pPr>
            <w:r>
              <w:rPr>
                <w:rFonts w:ascii="Arial" w:cs="Arial" w:eastAsia="Arial" w:hAnsi="Arial"/>
                <w:sz w:val="18"/>
                <w:szCs w:val="18"/>
                <w:b w:val="1"/>
                <w:bCs w:val="1"/>
                <w:color w:val="FFFFFF"/>
                <w:w w:val="93"/>
              </w:rPr>
              <w:t>of</w:t>
            </w:r>
          </w:p>
        </w:tc>
        <w:tc>
          <w:tcPr>
            <w:tcW w:w="1380" w:type="dxa"/>
            <w:vAlign w:val="bottom"/>
            <w:tcBorders>
              <w:right w:val="single" w:sz="8" w:color="DADADA"/>
            </w:tcBorders>
            <w:shd w:val="clear" w:color="auto" w:fill="3F000B"/>
          </w:tcPr>
          <w:p>
            <w:pPr>
              <w:jc w:val="center"/>
              <w:spacing w:after="0" w:line="204" w:lineRule="exact"/>
              <w:rPr>
                <w:sz w:val="20"/>
                <w:szCs w:val="20"/>
                <w:color w:val="auto"/>
              </w:rPr>
            </w:pPr>
            <w:r>
              <w:rPr>
                <w:rFonts w:ascii="Arial" w:cs="Arial" w:eastAsia="Arial" w:hAnsi="Arial"/>
                <w:sz w:val="18"/>
                <w:szCs w:val="18"/>
                <w:b w:val="1"/>
                <w:bCs w:val="1"/>
                <w:color w:val="FFFFFF"/>
                <w:w w:val="90"/>
              </w:rPr>
              <w:t>Restricted</w:t>
            </w:r>
          </w:p>
        </w:tc>
        <w:tc>
          <w:tcPr>
            <w:tcW w:w="1500" w:type="dxa"/>
            <w:vAlign w:val="bottom"/>
            <w:tcBorders>
              <w:right w:val="single" w:sz="8" w:color="DADADA"/>
            </w:tcBorders>
            <w:shd w:val="clear" w:color="auto" w:fill="3F000B"/>
          </w:tcPr>
          <w:p>
            <w:pPr>
              <w:jc w:val="center"/>
              <w:spacing w:after="0" w:line="204" w:lineRule="exact"/>
              <w:rPr>
                <w:sz w:val="20"/>
                <w:szCs w:val="20"/>
                <w:color w:val="auto"/>
              </w:rPr>
            </w:pPr>
            <w:r>
              <w:rPr>
                <w:rFonts w:ascii="Arial" w:cs="Arial" w:eastAsia="Arial" w:hAnsi="Arial"/>
                <w:sz w:val="18"/>
                <w:szCs w:val="18"/>
                <w:b w:val="1"/>
                <w:bCs w:val="1"/>
                <w:color w:val="FFFFFF"/>
                <w:w w:val="91"/>
              </w:rPr>
              <w:t>and Deferred</w:t>
            </w:r>
          </w:p>
        </w:tc>
        <w:tc>
          <w:tcPr>
            <w:tcW w:w="1400" w:type="dxa"/>
            <w:vAlign w:val="bottom"/>
            <w:tcBorders>
              <w:right w:val="single" w:sz="8" w:color="3F000B"/>
            </w:tcBorders>
            <w:shd w:val="clear" w:color="auto" w:fill="3F000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40" w:type="dxa"/>
            <w:vAlign w:val="bottom"/>
            <w:tcBorders>
              <w:left w:val="single" w:sz="8" w:color="3F000B"/>
              <w:right w:val="single" w:sz="8" w:color="DADADA"/>
            </w:tcBorders>
            <w:shd w:val="clear" w:color="auto" w:fill="3F000B"/>
          </w:tcPr>
          <w:p>
            <w:pPr>
              <w:spacing w:after="0"/>
              <w:rPr>
                <w:sz w:val="17"/>
                <w:szCs w:val="17"/>
                <w:color w:val="auto"/>
              </w:rPr>
            </w:pPr>
          </w:p>
        </w:tc>
        <w:tc>
          <w:tcPr>
            <w:tcW w:w="1120" w:type="dxa"/>
            <w:vAlign w:val="bottom"/>
            <w:shd w:val="clear" w:color="auto" w:fill="3F000B"/>
          </w:tcPr>
          <w:p>
            <w:pPr>
              <w:jc w:val="center"/>
              <w:ind w:left="170"/>
              <w:spacing w:after="0" w:line="205" w:lineRule="exact"/>
              <w:rPr>
                <w:sz w:val="20"/>
                <w:szCs w:val="20"/>
                <w:color w:val="auto"/>
              </w:rPr>
            </w:pPr>
            <w:r>
              <w:rPr>
                <w:rFonts w:ascii="Arial" w:cs="Arial" w:eastAsia="Arial" w:hAnsi="Arial"/>
                <w:sz w:val="18"/>
                <w:szCs w:val="18"/>
                <w:b w:val="1"/>
                <w:bCs w:val="1"/>
                <w:color w:val="FFFFFF"/>
                <w:w w:val="89"/>
              </w:rPr>
              <w:t>Related</w:t>
            </w:r>
          </w:p>
        </w:tc>
        <w:tc>
          <w:tcPr>
            <w:tcW w:w="280" w:type="dxa"/>
            <w:vAlign w:val="bottom"/>
            <w:tcBorders>
              <w:right w:val="single" w:sz="8" w:color="DADADA"/>
            </w:tcBorders>
            <w:shd w:val="clear" w:color="auto" w:fill="3F000B"/>
          </w:tcPr>
          <w:p>
            <w:pPr>
              <w:spacing w:after="0"/>
              <w:rPr>
                <w:sz w:val="17"/>
                <w:szCs w:val="17"/>
                <w:color w:val="auto"/>
              </w:rPr>
            </w:pPr>
          </w:p>
        </w:tc>
        <w:tc>
          <w:tcPr>
            <w:tcW w:w="1400" w:type="dxa"/>
            <w:vAlign w:val="bottom"/>
            <w:tcBorders>
              <w:right w:val="single" w:sz="8" w:color="DADADA"/>
            </w:tcBorders>
            <w:shd w:val="clear" w:color="auto" w:fill="3F000B"/>
          </w:tcPr>
          <w:p>
            <w:pPr>
              <w:jc w:val="center"/>
              <w:spacing w:after="0" w:line="205" w:lineRule="exact"/>
              <w:rPr>
                <w:sz w:val="20"/>
                <w:szCs w:val="20"/>
                <w:color w:val="auto"/>
              </w:rPr>
            </w:pPr>
            <w:r>
              <w:rPr>
                <w:rFonts w:ascii="Arial" w:cs="Arial" w:eastAsia="Arial" w:hAnsi="Arial"/>
                <w:sz w:val="18"/>
                <w:szCs w:val="18"/>
                <w:b w:val="1"/>
                <w:bCs w:val="1"/>
                <w:color w:val="FFFFFF"/>
                <w:w w:val="92"/>
              </w:rPr>
              <w:t>Related</w:t>
            </w:r>
          </w:p>
        </w:tc>
        <w:tc>
          <w:tcPr>
            <w:tcW w:w="1560" w:type="dxa"/>
            <w:vAlign w:val="bottom"/>
            <w:tcBorders>
              <w:right w:val="single" w:sz="8" w:color="DADADA"/>
            </w:tcBorders>
            <w:shd w:val="clear" w:color="auto" w:fill="3F000B"/>
          </w:tcPr>
          <w:p>
            <w:pPr>
              <w:jc w:val="center"/>
              <w:spacing w:after="0" w:line="205" w:lineRule="exact"/>
              <w:rPr>
                <w:sz w:val="20"/>
                <w:szCs w:val="20"/>
                <w:color w:val="auto"/>
              </w:rPr>
            </w:pPr>
            <w:r>
              <w:rPr>
                <w:rFonts w:ascii="Arial" w:cs="Arial" w:eastAsia="Arial" w:hAnsi="Arial"/>
                <w:sz w:val="18"/>
                <w:szCs w:val="18"/>
                <w:b w:val="1"/>
                <w:bCs w:val="1"/>
                <w:color w:val="FFFFFF"/>
                <w:w w:val="89"/>
              </w:rPr>
              <w:t>Stock</w:t>
            </w:r>
          </w:p>
        </w:tc>
        <w:tc>
          <w:tcPr>
            <w:tcW w:w="1380" w:type="dxa"/>
            <w:vAlign w:val="bottom"/>
            <w:tcBorders>
              <w:right w:val="single" w:sz="8" w:color="DADADA"/>
            </w:tcBorders>
            <w:shd w:val="clear" w:color="auto" w:fill="3F000B"/>
          </w:tcPr>
          <w:p>
            <w:pPr>
              <w:jc w:val="center"/>
              <w:spacing w:after="0" w:line="205" w:lineRule="exact"/>
              <w:rPr>
                <w:sz w:val="20"/>
                <w:szCs w:val="20"/>
                <w:color w:val="auto"/>
              </w:rPr>
            </w:pPr>
            <w:r>
              <w:rPr>
                <w:rFonts w:ascii="Arial" w:cs="Arial" w:eastAsia="Arial" w:hAnsi="Arial"/>
                <w:sz w:val="18"/>
                <w:szCs w:val="18"/>
                <w:b w:val="1"/>
                <w:bCs w:val="1"/>
                <w:color w:val="FFFFFF"/>
                <w:w w:val="89"/>
              </w:rPr>
              <w:t>Stock</w:t>
            </w:r>
          </w:p>
        </w:tc>
        <w:tc>
          <w:tcPr>
            <w:tcW w:w="1500" w:type="dxa"/>
            <w:vAlign w:val="bottom"/>
            <w:tcBorders>
              <w:right w:val="single" w:sz="8" w:color="DADADA"/>
            </w:tcBorders>
            <w:shd w:val="clear" w:color="auto" w:fill="3F000B"/>
          </w:tcPr>
          <w:p>
            <w:pPr>
              <w:jc w:val="center"/>
              <w:spacing w:after="0" w:line="205" w:lineRule="exact"/>
              <w:rPr>
                <w:sz w:val="20"/>
                <w:szCs w:val="20"/>
                <w:color w:val="auto"/>
              </w:rPr>
            </w:pPr>
            <w:r>
              <w:rPr>
                <w:rFonts w:ascii="Arial" w:cs="Arial" w:eastAsia="Arial" w:hAnsi="Arial"/>
                <w:sz w:val="18"/>
                <w:szCs w:val="18"/>
                <w:b w:val="1"/>
                <w:bCs w:val="1"/>
                <w:color w:val="FFFFFF"/>
                <w:w w:val="89"/>
              </w:rPr>
              <w:t>Compensation</w:t>
            </w:r>
          </w:p>
        </w:tc>
        <w:tc>
          <w:tcPr>
            <w:tcW w:w="1400" w:type="dxa"/>
            <w:vAlign w:val="bottom"/>
            <w:tcBorders>
              <w:right w:val="single" w:sz="8" w:color="3F000B"/>
            </w:tcBorders>
            <w:shd w:val="clear" w:color="auto" w:fill="3F000B"/>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40" w:type="dxa"/>
            <w:vAlign w:val="bottom"/>
            <w:tcBorders>
              <w:left w:val="single" w:sz="8" w:color="3F000B"/>
              <w:right w:val="single" w:sz="8" w:color="DADADA"/>
            </w:tcBorders>
            <w:shd w:val="clear" w:color="auto" w:fill="3F000B"/>
          </w:tcPr>
          <w:p>
            <w:pPr>
              <w:spacing w:after="0"/>
              <w:rPr>
                <w:sz w:val="20"/>
                <w:szCs w:val="20"/>
                <w:color w:val="auto"/>
              </w:rPr>
            </w:pPr>
          </w:p>
        </w:tc>
        <w:tc>
          <w:tcPr>
            <w:tcW w:w="1120" w:type="dxa"/>
            <w:vAlign w:val="bottom"/>
            <w:shd w:val="clear" w:color="auto" w:fill="3F000B"/>
          </w:tcPr>
          <w:p>
            <w:pPr>
              <w:jc w:val="center"/>
              <w:ind w:left="170"/>
              <w:spacing w:after="0" w:line="240" w:lineRule="exact"/>
              <w:rPr>
                <w:sz w:val="20"/>
                <w:szCs w:val="20"/>
                <w:color w:val="auto"/>
              </w:rPr>
            </w:pPr>
            <w:r>
              <w:rPr>
                <w:rFonts w:ascii="Arial" w:cs="Arial" w:eastAsia="Arial" w:hAnsi="Arial"/>
                <w:sz w:val="18"/>
                <w:szCs w:val="18"/>
                <w:b w:val="1"/>
                <w:bCs w:val="1"/>
                <w:color w:val="FFFFFF"/>
                <w:w w:val="87"/>
              </w:rPr>
              <w:t>Payment</w:t>
            </w:r>
            <w:r>
              <w:rPr>
                <w:rFonts w:ascii="Arial" w:cs="Arial" w:eastAsia="Arial" w:hAnsi="Arial"/>
                <w:sz w:val="23"/>
                <w:szCs w:val="23"/>
                <w:b w:val="1"/>
                <w:bCs w:val="1"/>
                <w:color w:val="FFFFFF"/>
                <w:w w:val="87"/>
                <w:vertAlign w:val="superscript"/>
              </w:rPr>
              <w:t>(1)</w:t>
            </w:r>
          </w:p>
        </w:tc>
        <w:tc>
          <w:tcPr>
            <w:tcW w:w="280" w:type="dxa"/>
            <w:vAlign w:val="bottom"/>
            <w:tcBorders>
              <w:right w:val="single" w:sz="8" w:color="DADADA"/>
            </w:tcBorders>
            <w:shd w:val="clear" w:color="auto" w:fill="3F000B"/>
          </w:tcPr>
          <w:p>
            <w:pPr>
              <w:spacing w:after="0"/>
              <w:rPr>
                <w:sz w:val="20"/>
                <w:szCs w:val="20"/>
                <w:color w:val="auto"/>
              </w:rPr>
            </w:pPr>
          </w:p>
        </w:tc>
        <w:tc>
          <w:tcPr>
            <w:tcW w:w="1400" w:type="dxa"/>
            <w:vAlign w:val="bottom"/>
            <w:tcBorders>
              <w:right w:val="single" w:sz="8" w:color="DADADA"/>
            </w:tcBorders>
            <w:shd w:val="clear" w:color="auto" w:fill="3F000B"/>
          </w:tcPr>
          <w:p>
            <w:pPr>
              <w:jc w:val="center"/>
              <w:spacing w:after="0" w:line="240" w:lineRule="exact"/>
              <w:rPr>
                <w:sz w:val="20"/>
                <w:szCs w:val="20"/>
                <w:color w:val="auto"/>
              </w:rPr>
            </w:pPr>
            <w:r>
              <w:rPr>
                <w:rFonts w:ascii="Arial" w:cs="Arial" w:eastAsia="Arial" w:hAnsi="Arial"/>
                <w:sz w:val="18"/>
                <w:szCs w:val="18"/>
                <w:b w:val="1"/>
                <w:bCs w:val="1"/>
                <w:color w:val="FFFFFF"/>
                <w:w w:val="84"/>
              </w:rPr>
              <w:t>Payments</w:t>
            </w:r>
            <w:r>
              <w:rPr>
                <w:rFonts w:ascii="Arial" w:cs="Arial" w:eastAsia="Arial" w:hAnsi="Arial"/>
                <w:sz w:val="23"/>
                <w:szCs w:val="23"/>
                <w:b w:val="1"/>
                <w:bCs w:val="1"/>
                <w:color w:val="FFFFFF"/>
                <w:w w:val="84"/>
                <w:vertAlign w:val="superscript"/>
              </w:rPr>
              <w:t>(2)</w:t>
            </w:r>
          </w:p>
        </w:tc>
        <w:tc>
          <w:tcPr>
            <w:tcW w:w="1560" w:type="dxa"/>
            <w:vAlign w:val="bottom"/>
            <w:tcBorders>
              <w:right w:val="single" w:sz="8" w:color="DADADA"/>
            </w:tcBorders>
            <w:shd w:val="clear" w:color="auto" w:fill="3F000B"/>
          </w:tcPr>
          <w:p>
            <w:pPr>
              <w:jc w:val="center"/>
              <w:spacing w:after="0" w:line="240" w:lineRule="exact"/>
              <w:rPr>
                <w:sz w:val="20"/>
                <w:szCs w:val="20"/>
                <w:color w:val="auto"/>
              </w:rPr>
            </w:pPr>
            <w:r>
              <w:rPr>
                <w:rFonts w:ascii="Arial" w:cs="Arial" w:eastAsia="Arial" w:hAnsi="Arial"/>
                <w:sz w:val="18"/>
                <w:szCs w:val="18"/>
                <w:b w:val="1"/>
                <w:bCs w:val="1"/>
                <w:color w:val="FFFFFF"/>
                <w:w w:val="87"/>
              </w:rPr>
              <w:t>Options</w:t>
            </w:r>
            <w:r>
              <w:rPr>
                <w:rFonts w:ascii="Arial" w:cs="Arial" w:eastAsia="Arial" w:hAnsi="Arial"/>
                <w:sz w:val="23"/>
                <w:szCs w:val="23"/>
                <w:b w:val="1"/>
                <w:bCs w:val="1"/>
                <w:color w:val="FFFFFF"/>
                <w:w w:val="87"/>
                <w:vertAlign w:val="superscript"/>
              </w:rPr>
              <w:t>(3)</w:t>
            </w:r>
          </w:p>
        </w:tc>
        <w:tc>
          <w:tcPr>
            <w:tcW w:w="1380" w:type="dxa"/>
            <w:vAlign w:val="bottom"/>
            <w:tcBorders>
              <w:right w:val="single" w:sz="8" w:color="DADADA"/>
            </w:tcBorders>
            <w:shd w:val="clear" w:color="auto" w:fill="3F000B"/>
          </w:tcPr>
          <w:p>
            <w:pPr>
              <w:jc w:val="center"/>
              <w:spacing w:after="0" w:line="240" w:lineRule="exact"/>
              <w:rPr>
                <w:sz w:val="20"/>
                <w:szCs w:val="20"/>
                <w:color w:val="auto"/>
              </w:rPr>
            </w:pPr>
            <w:r>
              <w:rPr>
                <w:rFonts w:ascii="Arial" w:cs="Arial" w:eastAsia="Arial" w:hAnsi="Arial"/>
                <w:sz w:val="18"/>
                <w:szCs w:val="18"/>
                <w:b w:val="1"/>
                <w:bCs w:val="1"/>
                <w:color w:val="FFFFFF"/>
                <w:w w:val="87"/>
              </w:rPr>
              <w:t>Units</w:t>
            </w:r>
            <w:r>
              <w:rPr>
                <w:rFonts w:ascii="Arial" w:cs="Arial" w:eastAsia="Arial" w:hAnsi="Arial"/>
                <w:sz w:val="23"/>
                <w:szCs w:val="23"/>
                <w:b w:val="1"/>
                <w:bCs w:val="1"/>
                <w:color w:val="FFFFFF"/>
                <w:w w:val="87"/>
                <w:vertAlign w:val="superscript"/>
              </w:rPr>
              <w:t>(3)</w:t>
            </w:r>
          </w:p>
        </w:tc>
        <w:tc>
          <w:tcPr>
            <w:tcW w:w="1500" w:type="dxa"/>
            <w:vAlign w:val="bottom"/>
            <w:tcBorders>
              <w:right w:val="single" w:sz="8" w:color="DADADA"/>
            </w:tcBorders>
            <w:shd w:val="clear" w:color="auto" w:fill="3F000B"/>
          </w:tcPr>
          <w:p>
            <w:pPr>
              <w:jc w:val="center"/>
              <w:spacing w:after="0" w:line="240" w:lineRule="exact"/>
              <w:rPr>
                <w:sz w:val="20"/>
                <w:szCs w:val="20"/>
                <w:color w:val="auto"/>
              </w:rPr>
            </w:pPr>
            <w:r>
              <w:rPr>
                <w:rFonts w:ascii="Arial" w:cs="Arial" w:eastAsia="Arial" w:hAnsi="Arial"/>
                <w:sz w:val="18"/>
                <w:szCs w:val="18"/>
                <w:b w:val="1"/>
                <w:bCs w:val="1"/>
                <w:color w:val="FFFFFF"/>
                <w:w w:val="84"/>
              </w:rPr>
              <w:t>Benefits</w:t>
            </w:r>
            <w:r>
              <w:rPr>
                <w:rFonts w:ascii="Arial" w:cs="Arial" w:eastAsia="Arial" w:hAnsi="Arial"/>
                <w:sz w:val="23"/>
                <w:szCs w:val="23"/>
                <w:b w:val="1"/>
                <w:bCs w:val="1"/>
                <w:color w:val="FFFFFF"/>
                <w:w w:val="84"/>
                <w:vertAlign w:val="superscript"/>
              </w:rPr>
              <w:t>(4)</w:t>
            </w:r>
          </w:p>
        </w:tc>
        <w:tc>
          <w:tcPr>
            <w:tcW w:w="1400" w:type="dxa"/>
            <w:vAlign w:val="bottom"/>
            <w:tcBorders>
              <w:right w:val="single" w:sz="8" w:color="3F000B"/>
            </w:tcBorders>
            <w:shd w:val="clear" w:color="auto" w:fill="3F000B"/>
          </w:tcPr>
          <w:p>
            <w:pPr>
              <w:jc w:val="right"/>
              <w:ind w:right="350"/>
              <w:spacing w:after="0" w:line="240" w:lineRule="exact"/>
              <w:rPr>
                <w:sz w:val="20"/>
                <w:szCs w:val="20"/>
                <w:color w:val="auto"/>
              </w:rPr>
            </w:pPr>
            <w:r>
              <w:rPr>
                <w:rFonts w:ascii="Arial" w:cs="Arial" w:eastAsia="Arial" w:hAnsi="Arial"/>
                <w:sz w:val="18"/>
                <w:szCs w:val="18"/>
                <w:b w:val="1"/>
                <w:bCs w:val="1"/>
                <w:color w:val="FFFFFF"/>
              </w:rPr>
              <w:t>Total</w:t>
            </w:r>
            <w:r>
              <w:rPr>
                <w:rFonts w:ascii="Arial" w:cs="Arial" w:eastAsia="Arial" w:hAnsi="Arial"/>
                <w:sz w:val="23"/>
                <w:szCs w:val="23"/>
                <w:b w:val="1"/>
                <w:bCs w:val="1"/>
                <w:color w:val="FFFFFF"/>
                <w:vertAlign w:val="superscript"/>
              </w:rPr>
              <w:t>(5)</w:t>
            </w:r>
          </w:p>
        </w:tc>
        <w:tc>
          <w:tcPr>
            <w:tcW w:w="0" w:type="dxa"/>
            <w:vAlign w:val="bottom"/>
          </w:tcPr>
          <w:p>
            <w:pPr>
              <w:spacing w:after="0"/>
              <w:rPr>
                <w:sz w:val="1"/>
                <w:szCs w:val="1"/>
                <w:color w:val="auto"/>
              </w:rPr>
            </w:pPr>
          </w:p>
        </w:tc>
      </w:tr>
      <w:tr>
        <w:trPr>
          <w:trHeight w:val="291"/>
        </w:trPr>
        <w:tc>
          <w:tcPr>
            <w:tcW w:w="2340" w:type="dxa"/>
            <w:vAlign w:val="bottom"/>
            <w:tcBorders>
              <w:left w:val="single" w:sz="8" w:color="3F000B"/>
              <w:bottom w:val="single" w:sz="8" w:color="3F000B"/>
              <w:right w:val="single" w:sz="8" w:color="DADADA"/>
            </w:tcBorders>
            <w:shd w:val="clear" w:color="auto" w:fill="3F000B"/>
          </w:tcPr>
          <w:p>
            <w:pPr>
              <w:ind w:left="940"/>
              <w:spacing w:after="0"/>
              <w:rPr>
                <w:sz w:val="20"/>
                <w:szCs w:val="20"/>
                <w:color w:val="auto"/>
              </w:rPr>
            </w:pPr>
            <w:r>
              <w:rPr>
                <w:rFonts w:ascii="Arial" w:cs="Arial" w:eastAsia="Arial" w:hAnsi="Arial"/>
                <w:sz w:val="18"/>
                <w:szCs w:val="18"/>
                <w:b w:val="1"/>
                <w:bCs w:val="1"/>
                <w:color w:val="FFFFFF"/>
              </w:rPr>
              <w:t>Name</w:t>
            </w:r>
          </w:p>
        </w:tc>
        <w:tc>
          <w:tcPr>
            <w:tcW w:w="1120" w:type="dxa"/>
            <w:vAlign w:val="bottom"/>
            <w:tcBorders>
              <w:bottom w:val="single" w:sz="8" w:color="3F000B"/>
            </w:tcBorders>
            <w:shd w:val="clear" w:color="auto" w:fill="3F000B"/>
          </w:tcPr>
          <w:p>
            <w:pPr>
              <w:jc w:val="center"/>
              <w:ind w:left="170"/>
              <w:spacing w:after="0"/>
              <w:rPr>
                <w:sz w:val="20"/>
                <w:szCs w:val="20"/>
                <w:color w:val="auto"/>
              </w:rPr>
            </w:pPr>
            <w:r>
              <w:rPr>
                <w:rFonts w:ascii="Arial" w:cs="Arial" w:eastAsia="Arial" w:hAnsi="Arial"/>
                <w:sz w:val="18"/>
                <w:szCs w:val="18"/>
                <w:b w:val="1"/>
                <w:bCs w:val="1"/>
                <w:color w:val="FFFFFF"/>
                <w:w w:val="99"/>
              </w:rPr>
              <w:t>($)</w:t>
            </w:r>
          </w:p>
        </w:tc>
        <w:tc>
          <w:tcPr>
            <w:tcW w:w="280" w:type="dxa"/>
            <w:vAlign w:val="bottom"/>
            <w:tcBorders>
              <w:bottom w:val="single" w:sz="8" w:color="3F000B"/>
              <w:right w:val="single" w:sz="8" w:color="DADADA"/>
            </w:tcBorders>
            <w:shd w:val="clear" w:color="auto" w:fill="3F000B"/>
          </w:tcPr>
          <w:p>
            <w:pPr>
              <w:spacing w:after="0"/>
              <w:rPr>
                <w:sz w:val="24"/>
                <w:szCs w:val="24"/>
                <w:color w:val="auto"/>
              </w:rPr>
            </w:pPr>
          </w:p>
        </w:tc>
        <w:tc>
          <w:tcPr>
            <w:tcW w:w="14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5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38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5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c>
          <w:tcPr>
            <w:tcW w:w="1400" w:type="dxa"/>
            <w:vAlign w:val="bottom"/>
            <w:tcBorders>
              <w:bottom w:val="single" w:sz="8" w:color="3F000B"/>
              <w:right w:val="single" w:sz="8" w:color="3F000B"/>
            </w:tcBorders>
            <w:shd w:val="clear" w:color="auto" w:fill="3F000B"/>
          </w:tcPr>
          <w:p>
            <w:pPr>
              <w:jc w:val="right"/>
              <w:ind w:right="51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43"/>
        </w:trPr>
        <w:tc>
          <w:tcPr>
            <w:tcW w:w="2340" w:type="dxa"/>
            <w:vAlign w:val="bottom"/>
            <w:tcBorders>
              <w:left w:val="single" w:sz="8" w:color="3F000B"/>
              <w:right w:val="single" w:sz="8" w:color="542121"/>
            </w:tcBorders>
          </w:tcPr>
          <w:p>
            <w:pPr>
              <w:ind w:left="40"/>
              <w:spacing w:after="0"/>
              <w:rPr>
                <w:sz w:val="20"/>
                <w:szCs w:val="20"/>
                <w:color w:val="auto"/>
              </w:rPr>
            </w:pPr>
            <w:r>
              <w:rPr>
                <w:rFonts w:ascii="Arial" w:cs="Arial" w:eastAsia="Arial" w:hAnsi="Arial"/>
                <w:sz w:val="18"/>
                <w:szCs w:val="18"/>
                <w:color w:val="auto"/>
              </w:rPr>
              <w:t>Ms. Buck</w:t>
            </w:r>
          </w:p>
        </w:tc>
        <w:tc>
          <w:tcPr>
            <w:tcW w:w="1120" w:type="dxa"/>
            <w:vAlign w:val="bottom"/>
          </w:tcPr>
          <w:p>
            <w:pPr>
              <w:spacing w:after="0"/>
              <w:rPr>
                <w:sz w:val="21"/>
                <w:szCs w:val="21"/>
                <w:color w:val="auto"/>
              </w:rPr>
            </w:pPr>
          </w:p>
        </w:tc>
        <w:tc>
          <w:tcPr>
            <w:tcW w:w="280" w:type="dxa"/>
            <w:vAlign w:val="bottom"/>
            <w:tcBorders>
              <w:right w:val="single" w:sz="8" w:color="542121"/>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2,009,406</w:t>
            </w:r>
          </w:p>
        </w:tc>
        <w:tc>
          <w:tcPr>
            <w:tcW w:w="156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2,009,406</w:t>
            </w:r>
          </w:p>
        </w:tc>
        <w:tc>
          <w:tcPr>
            <w:tcW w:w="0" w:type="dxa"/>
            <w:vAlign w:val="bottom"/>
          </w:tcPr>
          <w:p>
            <w:pPr>
              <w:spacing w:after="0"/>
              <w:rPr>
                <w:sz w:val="1"/>
                <w:szCs w:val="1"/>
                <w:color w:val="auto"/>
              </w:rPr>
            </w:pPr>
          </w:p>
        </w:tc>
      </w:tr>
      <w:tr>
        <w:trPr>
          <w:trHeight w:val="27"/>
        </w:trPr>
        <w:tc>
          <w:tcPr>
            <w:tcW w:w="2340" w:type="dxa"/>
            <w:vAlign w:val="bottom"/>
            <w:tcBorders>
              <w:left w:val="single" w:sz="8" w:color="3F000B"/>
              <w:right w:val="single" w:sz="8" w:color="542121"/>
            </w:tcBorders>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Borders>
              <w:right w:val="single" w:sz="8" w:color="542121"/>
            </w:tcBorders>
          </w:tcPr>
          <w:p>
            <w:pPr>
              <w:spacing w:after="0"/>
              <w:rPr>
                <w:sz w:val="2"/>
                <w:szCs w:val="2"/>
                <w:color w:val="auto"/>
              </w:rPr>
            </w:pPr>
          </w:p>
        </w:tc>
        <w:tc>
          <w:tcPr>
            <w:tcW w:w="1400" w:type="dxa"/>
            <w:vAlign w:val="bottom"/>
            <w:tcBorders>
              <w:right w:val="single" w:sz="8" w:color="542121"/>
            </w:tcBorders>
          </w:tcPr>
          <w:p>
            <w:pPr>
              <w:spacing w:after="0"/>
              <w:rPr>
                <w:sz w:val="2"/>
                <w:szCs w:val="2"/>
                <w:color w:val="auto"/>
              </w:rPr>
            </w:pPr>
          </w:p>
        </w:tc>
        <w:tc>
          <w:tcPr>
            <w:tcW w:w="1560" w:type="dxa"/>
            <w:vAlign w:val="bottom"/>
            <w:tcBorders>
              <w:right w:val="single" w:sz="8" w:color="542121"/>
            </w:tcBorders>
          </w:tcPr>
          <w:p>
            <w:pPr>
              <w:spacing w:after="0"/>
              <w:rPr>
                <w:sz w:val="2"/>
                <w:szCs w:val="2"/>
                <w:color w:val="auto"/>
              </w:rPr>
            </w:pPr>
          </w:p>
        </w:tc>
        <w:tc>
          <w:tcPr>
            <w:tcW w:w="1380" w:type="dxa"/>
            <w:vAlign w:val="bottom"/>
            <w:tcBorders>
              <w:right w:val="single" w:sz="8" w:color="542121"/>
            </w:tcBorders>
          </w:tcPr>
          <w:p>
            <w:pPr>
              <w:spacing w:after="0"/>
              <w:rPr>
                <w:sz w:val="2"/>
                <w:szCs w:val="2"/>
                <w:color w:val="auto"/>
              </w:rPr>
            </w:pPr>
          </w:p>
        </w:tc>
        <w:tc>
          <w:tcPr>
            <w:tcW w:w="1500" w:type="dxa"/>
            <w:vAlign w:val="bottom"/>
            <w:tcBorders>
              <w:right w:val="single" w:sz="8" w:color="542121"/>
            </w:tcBorders>
          </w:tcPr>
          <w:p>
            <w:pPr>
              <w:spacing w:after="0"/>
              <w:rPr>
                <w:sz w:val="2"/>
                <w:szCs w:val="2"/>
                <w:color w:val="auto"/>
              </w:rPr>
            </w:pPr>
          </w:p>
        </w:tc>
        <w:tc>
          <w:tcPr>
            <w:tcW w:w="1400" w:type="dxa"/>
            <w:vAlign w:val="bottom"/>
            <w:tcBorders>
              <w:right w:val="single" w:sz="8" w:color="54212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left w:val="single" w:sz="8" w:color="3F000B"/>
              <w:bottom w:val="single" w:sz="8" w:color="DADADA"/>
              <w:right w:val="single" w:sz="8" w:color="542121"/>
            </w:tcBorders>
            <w:shd w:val="clear" w:color="auto" w:fill="DADADA"/>
          </w:tcPr>
          <w:p>
            <w:pPr>
              <w:ind w:left="40"/>
              <w:spacing w:after="0"/>
              <w:rPr>
                <w:sz w:val="20"/>
                <w:szCs w:val="20"/>
                <w:color w:val="auto"/>
              </w:rPr>
            </w:pPr>
            <w:r>
              <w:rPr>
                <w:rFonts w:ascii="Arial" w:cs="Arial" w:eastAsia="Arial" w:hAnsi="Arial"/>
                <w:sz w:val="18"/>
                <w:szCs w:val="18"/>
                <w:color w:val="auto"/>
              </w:rPr>
              <w:t>Mr. Voskuil</w:t>
            </w:r>
          </w:p>
        </w:tc>
        <w:tc>
          <w:tcPr>
            <w:tcW w:w="1120" w:type="dxa"/>
            <w:vAlign w:val="bottom"/>
            <w:tcBorders>
              <w:bottom w:val="single" w:sz="8" w:color="DADADA"/>
            </w:tcBorders>
            <w:shd w:val="clear" w:color="auto" w:fill="DADADA"/>
          </w:tcPr>
          <w:p>
            <w:pPr>
              <w:spacing w:after="0"/>
              <w:rPr>
                <w:sz w:val="21"/>
                <w:szCs w:val="21"/>
                <w:color w:val="auto"/>
              </w:rPr>
            </w:pPr>
          </w:p>
        </w:tc>
        <w:tc>
          <w:tcPr>
            <w:tcW w:w="280" w:type="dxa"/>
            <w:vAlign w:val="bottom"/>
            <w:tcBorders>
              <w:bottom w:val="single" w:sz="8" w:color="DADADA"/>
              <w:right w:val="single" w:sz="8" w:color="542121"/>
            </w:tcBorders>
            <w:shd w:val="clear" w:color="auto" w:fill="DADADA"/>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ADADA"/>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1,286,721</w:t>
            </w:r>
          </w:p>
        </w:tc>
        <w:tc>
          <w:tcPr>
            <w:tcW w:w="1560" w:type="dxa"/>
            <w:vAlign w:val="bottom"/>
            <w:tcBorders>
              <w:bottom w:val="single" w:sz="8" w:color="DADADA"/>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1,828,692</w:t>
            </w:r>
          </w:p>
        </w:tc>
        <w:tc>
          <w:tcPr>
            <w:tcW w:w="15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331,137</w:t>
            </w:r>
          </w:p>
        </w:tc>
        <w:tc>
          <w:tcPr>
            <w:tcW w:w="14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3,446,550</w:t>
            </w:r>
          </w:p>
        </w:tc>
        <w:tc>
          <w:tcPr>
            <w:tcW w:w="0" w:type="dxa"/>
            <w:vAlign w:val="bottom"/>
          </w:tcPr>
          <w:p>
            <w:pPr>
              <w:spacing w:after="0"/>
              <w:rPr>
                <w:sz w:val="1"/>
                <w:szCs w:val="1"/>
                <w:color w:val="auto"/>
              </w:rPr>
            </w:pPr>
          </w:p>
        </w:tc>
      </w:tr>
      <w:tr>
        <w:trPr>
          <w:trHeight w:val="270"/>
        </w:trPr>
        <w:tc>
          <w:tcPr>
            <w:tcW w:w="2340" w:type="dxa"/>
            <w:vAlign w:val="bottom"/>
            <w:tcBorders>
              <w:left w:val="single" w:sz="8" w:color="3F000B"/>
              <w:right w:val="single" w:sz="8" w:color="542121"/>
            </w:tcBorders>
          </w:tcPr>
          <w:p>
            <w:pPr>
              <w:ind w:left="40"/>
              <w:spacing w:after="0"/>
              <w:rPr>
                <w:sz w:val="20"/>
                <w:szCs w:val="20"/>
                <w:color w:val="auto"/>
              </w:rPr>
            </w:pPr>
            <w:r>
              <w:rPr>
                <w:rFonts w:ascii="Arial" w:cs="Arial" w:eastAsia="Arial" w:hAnsi="Arial"/>
                <w:sz w:val="18"/>
                <w:szCs w:val="18"/>
                <w:color w:val="auto"/>
              </w:rPr>
              <w:t>Mr. Raup</w:t>
            </w:r>
          </w:p>
        </w:tc>
        <w:tc>
          <w:tcPr>
            <w:tcW w:w="1120" w:type="dxa"/>
            <w:vAlign w:val="bottom"/>
          </w:tcPr>
          <w:p>
            <w:pPr>
              <w:spacing w:after="0"/>
              <w:rPr>
                <w:sz w:val="23"/>
                <w:szCs w:val="23"/>
                <w:color w:val="auto"/>
              </w:rPr>
            </w:pPr>
          </w:p>
        </w:tc>
        <w:tc>
          <w:tcPr>
            <w:tcW w:w="280" w:type="dxa"/>
            <w:vAlign w:val="bottom"/>
            <w:tcBorders>
              <w:right w:val="single" w:sz="8" w:color="542121"/>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413,281</w:t>
            </w:r>
          </w:p>
        </w:tc>
        <w:tc>
          <w:tcPr>
            <w:tcW w:w="1560" w:type="dxa"/>
            <w:vAlign w:val="bottom"/>
            <w:tcBorders>
              <w:right w:val="single" w:sz="8" w:color="542121"/>
            </w:tcBorders>
          </w:tcPr>
          <w:p>
            <w:pPr>
              <w:jc w:val="right"/>
              <w:ind w:right="10"/>
              <w:spacing w:after="0"/>
              <w:rPr>
                <w:sz w:val="20"/>
                <w:szCs w:val="20"/>
                <w:color w:val="auto"/>
              </w:rPr>
            </w:pPr>
            <w:r>
              <w:rPr>
                <w:rFonts w:ascii="Arial" w:cs="Arial" w:eastAsia="Arial" w:hAnsi="Arial"/>
                <w:sz w:val="18"/>
                <w:szCs w:val="18"/>
                <w:color w:val="auto"/>
              </w:rPr>
              <w:t>142,852</w:t>
            </w:r>
          </w:p>
        </w:tc>
        <w:tc>
          <w:tcPr>
            <w:tcW w:w="138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404,917</w:t>
            </w:r>
          </w:p>
        </w:tc>
        <w:tc>
          <w:tcPr>
            <w:tcW w:w="15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12,913</w:t>
            </w:r>
          </w:p>
        </w:tc>
        <w:tc>
          <w:tcPr>
            <w:tcW w:w="1400" w:type="dxa"/>
            <w:vAlign w:val="bottom"/>
            <w:tcBorders>
              <w:right w:val="single" w:sz="8" w:color="542121"/>
            </w:tcBorders>
          </w:tcPr>
          <w:p>
            <w:pPr>
              <w:jc w:val="right"/>
              <w:spacing w:after="0"/>
              <w:rPr>
                <w:sz w:val="20"/>
                <w:szCs w:val="20"/>
                <w:color w:val="auto"/>
              </w:rPr>
            </w:pPr>
            <w:r>
              <w:rPr>
                <w:rFonts w:ascii="Arial" w:cs="Arial" w:eastAsia="Arial" w:hAnsi="Arial"/>
                <w:sz w:val="18"/>
                <w:szCs w:val="18"/>
                <w:color w:val="auto"/>
              </w:rPr>
              <w:t>973,963</w:t>
            </w:r>
          </w:p>
        </w:tc>
        <w:tc>
          <w:tcPr>
            <w:tcW w:w="0" w:type="dxa"/>
            <w:vAlign w:val="bottom"/>
          </w:tcPr>
          <w:p>
            <w:pPr>
              <w:spacing w:after="0"/>
              <w:rPr>
                <w:sz w:val="1"/>
                <w:szCs w:val="1"/>
                <w:color w:val="auto"/>
              </w:rPr>
            </w:pPr>
          </w:p>
        </w:tc>
      </w:tr>
      <w:tr>
        <w:trPr>
          <w:trHeight w:val="250"/>
        </w:trPr>
        <w:tc>
          <w:tcPr>
            <w:tcW w:w="2340" w:type="dxa"/>
            <w:vAlign w:val="bottom"/>
            <w:tcBorders>
              <w:left w:val="single" w:sz="8" w:color="3F000B"/>
              <w:bottom w:val="single" w:sz="8" w:color="DADADA"/>
              <w:right w:val="single" w:sz="8" w:color="542121"/>
            </w:tcBorders>
            <w:shd w:val="clear" w:color="auto" w:fill="DADADA"/>
          </w:tcPr>
          <w:p>
            <w:pPr>
              <w:ind w:left="40"/>
              <w:spacing w:after="0"/>
              <w:rPr>
                <w:sz w:val="20"/>
                <w:szCs w:val="20"/>
                <w:color w:val="auto"/>
              </w:rPr>
            </w:pPr>
            <w:r>
              <w:rPr>
                <w:rFonts w:ascii="Arial" w:cs="Arial" w:eastAsia="Arial" w:hAnsi="Arial"/>
                <w:sz w:val="18"/>
                <w:szCs w:val="18"/>
                <w:color w:val="auto"/>
              </w:rPr>
              <w:t>Mr. Reiman</w:t>
            </w:r>
          </w:p>
        </w:tc>
        <w:tc>
          <w:tcPr>
            <w:tcW w:w="1120" w:type="dxa"/>
            <w:vAlign w:val="bottom"/>
            <w:tcBorders>
              <w:bottom w:val="single" w:sz="8" w:color="DADADA"/>
            </w:tcBorders>
            <w:shd w:val="clear" w:color="auto" w:fill="DADADA"/>
          </w:tcPr>
          <w:p>
            <w:pPr>
              <w:spacing w:after="0"/>
              <w:rPr>
                <w:sz w:val="21"/>
                <w:szCs w:val="21"/>
                <w:color w:val="auto"/>
              </w:rPr>
            </w:pPr>
          </w:p>
        </w:tc>
        <w:tc>
          <w:tcPr>
            <w:tcW w:w="280" w:type="dxa"/>
            <w:vAlign w:val="bottom"/>
            <w:tcBorders>
              <w:bottom w:val="single" w:sz="8" w:color="DADADA"/>
              <w:right w:val="single" w:sz="8" w:color="542121"/>
            </w:tcBorders>
            <w:shd w:val="clear" w:color="auto" w:fill="DADADA"/>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ADADA"/>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436,815</w:t>
            </w:r>
          </w:p>
        </w:tc>
        <w:tc>
          <w:tcPr>
            <w:tcW w:w="1560" w:type="dxa"/>
            <w:vAlign w:val="bottom"/>
            <w:tcBorders>
              <w:bottom w:val="single" w:sz="8" w:color="DADADA"/>
              <w:right w:val="single" w:sz="8" w:color="542121"/>
            </w:tcBorders>
            <w:shd w:val="clear" w:color="auto" w:fill="DADADA"/>
          </w:tcPr>
          <w:p>
            <w:pPr>
              <w:jc w:val="right"/>
              <w:ind w:right="10"/>
              <w:spacing w:after="0"/>
              <w:rPr>
                <w:sz w:val="20"/>
                <w:szCs w:val="20"/>
                <w:color w:val="auto"/>
              </w:rPr>
            </w:pPr>
            <w:r>
              <w:rPr>
                <w:rFonts w:ascii="Arial" w:cs="Arial" w:eastAsia="Arial" w:hAnsi="Arial"/>
                <w:sz w:val="18"/>
                <w:szCs w:val="18"/>
                <w:color w:val="auto"/>
              </w:rPr>
              <w:t>122,096</w:t>
            </w:r>
          </w:p>
        </w:tc>
        <w:tc>
          <w:tcPr>
            <w:tcW w:w="138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438,420</w:t>
            </w:r>
          </w:p>
        </w:tc>
        <w:tc>
          <w:tcPr>
            <w:tcW w:w="15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80,174</w:t>
            </w:r>
          </w:p>
        </w:tc>
        <w:tc>
          <w:tcPr>
            <w:tcW w:w="1400" w:type="dxa"/>
            <w:vAlign w:val="bottom"/>
            <w:tcBorders>
              <w:bottom w:val="single" w:sz="8" w:color="DADADA"/>
              <w:right w:val="single" w:sz="8" w:color="542121"/>
            </w:tcBorders>
            <w:shd w:val="clear" w:color="auto" w:fill="DADADA"/>
          </w:tcPr>
          <w:p>
            <w:pPr>
              <w:jc w:val="right"/>
              <w:spacing w:after="0"/>
              <w:rPr>
                <w:sz w:val="20"/>
                <w:szCs w:val="20"/>
                <w:color w:val="auto"/>
              </w:rPr>
            </w:pPr>
            <w:r>
              <w:rPr>
                <w:rFonts w:ascii="Arial" w:cs="Arial" w:eastAsia="Arial" w:hAnsi="Arial"/>
                <w:sz w:val="18"/>
                <w:szCs w:val="18"/>
                <w:color w:val="auto"/>
              </w:rPr>
              <w:t>1,077,505</w:t>
            </w:r>
          </w:p>
        </w:tc>
        <w:tc>
          <w:tcPr>
            <w:tcW w:w="0" w:type="dxa"/>
            <w:vAlign w:val="bottom"/>
          </w:tcPr>
          <w:p>
            <w:pPr>
              <w:spacing w:after="0"/>
              <w:rPr>
                <w:sz w:val="1"/>
                <w:szCs w:val="1"/>
                <w:color w:val="auto"/>
              </w:rPr>
            </w:pPr>
          </w:p>
        </w:tc>
      </w:tr>
      <w:tr>
        <w:trPr>
          <w:trHeight w:val="243"/>
        </w:trPr>
        <w:tc>
          <w:tcPr>
            <w:tcW w:w="23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Mr. Atkins</w:t>
            </w:r>
          </w:p>
        </w:tc>
        <w:tc>
          <w:tcPr>
            <w:tcW w:w="1120" w:type="dxa"/>
            <w:vAlign w:val="bottom"/>
          </w:tcPr>
          <w:p>
            <w:pPr>
              <w:spacing w:after="0"/>
              <w:rPr>
                <w:sz w:val="21"/>
                <w:szCs w:val="21"/>
                <w:color w:val="auto"/>
              </w:rPr>
            </w:pPr>
          </w:p>
        </w:tc>
        <w:tc>
          <w:tcPr>
            <w:tcW w:w="280" w:type="dxa"/>
            <w:vAlign w:val="bottom"/>
            <w:tcBorders>
              <w:right w:val="single" w:sz="8" w:color="3F000B"/>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1,027,911</w:t>
            </w:r>
          </w:p>
        </w:tc>
        <w:tc>
          <w:tcPr>
            <w:tcW w:w="1560" w:type="dxa"/>
            <w:vAlign w:val="bottom"/>
            <w:tcBorders>
              <w:right w:val="single" w:sz="8" w:color="3F000B"/>
            </w:tcBorders>
          </w:tcPr>
          <w:p>
            <w:pPr>
              <w:jc w:val="right"/>
              <w:ind w:right="10"/>
              <w:spacing w:after="0"/>
              <w:rPr>
                <w:sz w:val="20"/>
                <w:szCs w:val="20"/>
                <w:color w:val="auto"/>
              </w:rPr>
            </w:pPr>
            <w:r>
              <w:rPr>
                <w:rFonts w:ascii="Arial" w:cs="Arial" w:eastAsia="Arial" w:hAnsi="Arial"/>
                <w:sz w:val="18"/>
                <w:szCs w:val="18"/>
                <w:color w:val="auto"/>
              </w:rPr>
              <w:t>297,031</w:t>
            </w:r>
          </w:p>
        </w:tc>
        <w:tc>
          <w:tcPr>
            <w:tcW w:w="138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737,376</w:t>
            </w:r>
          </w:p>
        </w:tc>
        <w:tc>
          <w:tcPr>
            <w:tcW w:w="150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282,988</w:t>
            </w:r>
          </w:p>
        </w:tc>
        <w:tc>
          <w:tcPr>
            <w:tcW w:w="140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2,345,306</w:t>
            </w:r>
          </w:p>
        </w:tc>
        <w:tc>
          <w:tcPr>
            <w:tcW w:w="0" w:type="dxa"/>
            <w:vAlign w:val="bottom"/>
          </w:tcPr>
          <w:p>
            <w:pPr>
              <w:spacing w:after="0"/>
              <w:rPr>
                <w:sz w:val="1"/>
                <w:szCs w:val="1"/>
                <w:color w:val="auto"/>
              </w:rPr>
            </w:pPr>
          </w:p>
        </w:tc>
      </w:tr>
      <w:tr>
        <w:trPr>
          <w:trHeight w:val="27"/>
        </w:trPr>
        <w:tc>
          <w:tcPr>
            <w:tcW w:w="2340" w:type="dxa"/>
            <w:vAlign w:val="bottom"/>
            <w:tcBorders>
              <w:left w:val="single" w:sz="8" w:color="3F000B"/>
              <w:bottom w:val="single" w:sz="8" w:color="3F000B"/>
              <w:right w:val="single" w:sz="8" w:color="3F000B"/>
            </w:tcBorders>
          </w:tcPr>
          <w:p>
            <w:pPr>
              <w:spacing w:after="0"/>
              <w:rPr>
                <w:sz w:val="2"/>
                <w:szCs w:val="2"/>
                <w:color w:val="auto"/>
              </w:rPr>
            </w:pPr>
          </w:p>
        </w:tc>
        <w:tc>
          <w:tcPr>
            <w:tcW w:w="1120" w:type="dxa"/>
            <w:vAlign w:val="bottom"/>
            <w:tcBorders>
              <w:bottom w:val="single" w:sz="8" w:color="3F000B"/>
            </w:tcBorders>
          </w:tcPr>
          <w:p>
            <w:pPr>
              <w:spacing w:after="0"/>
              <w:rPr>
                <w:sz w:val="2"/>
                <w:szCs w:val="2"/>
                <w:color w:val="auto"/>
              </w:rPr>
            </w:pPr>
          </w:p>
        </w:tc>
        <w:tc>
          <w:tcPr>
            <w:tcW w:w="280" w:type="dxa"/>
            <w:vAlign w:val="bottom"/>
            <w:tcBorders>
              <w:bottom w:val="single" w:sz="8" w:color="3F000B"/>
              <w:right w:val="single" w:sz="8" w:color="3F000B"/>
            </w:tcBorders>
          </w:tcPr>
          <w:p>
            <w:pPr>
              <w:spacing w:after="0"/>
              <w:rPr>
                <w:sz w:val="2"/>
                <w:szCs w:val="2"/>
                <w:color w:val="auto"/>
              </w:rPr>
            </w:pPr>
          </w:p>
        </w:tc>
        <w:tc>
          <w:tcPr>
            <w:tcW w:w="1400" w:type="dxa"/>
            <w:vAlign w:val="bottom"/>
            <w:tcBorders>
              <w:bottom w:val="single" w:sz="8" w:color="3F000B"/>
              <w:right w:val="single" w:sz="8" w:color="3F000B"/>
            </w:tcBorders>
          </w:tcPr>
          <w:p>
            <w:pPr>
              <w:spacing w:after="0"/>
              <w:rPr>
                <w:sz w:val="2"/>
                <w:szCs w:val="2"/>
                <w:color w:val="auto"/>
              </w:rPr>
            </w:pPr>
          </w:p>
        </w:tc>
        <w:tc>
          <w:tcPr>
            <w:tcW w:w="1560" w:type="dxa"/>
            <w:vAlign w:val="bottom"/>
            <w:tcBorders>
              <w:bottom w:val="single" w:sz="8" w:color="3F000B"/>
              <w:right w:val="single" w:sz="8" w:color="3F000B"/>
            </w:tcBorders>
          </w:tcPr>
          <w:p>
            <w:pPr>
              <w:spacing w:after="0"/>
              <w:rPr>
                <w:sz w:val="2"/>
                <w:szCs w:val="2"/>
                <w:color w:val="auto"/>
              </w:rPr>
            </w:pPr>
          </w:p>
        </w:tc>
        <w:tc>
          <w:tcPr>
            <w:tcW w:w="1380" w:type="dxa"/>
            <w:vAlign w:val="bottom"/>
            <w:tcBorders>
              <w:bottom w:val="single" w:sz="8" w:color="3F000B"/>
              <w:right w:val="single" w:sz="8" w:color="3F000B"/>
            </w:tcBorders>
          </w:tcPr>
          <w:p>
            <w:pPr>
              <w:spacing w:after="0"/>
              <w:rPr>
                <w:sz w:val="2"/>
                <w:szCs w:val="2"/>
                <w:color w:val="auto"/>
              </w:rPr>
            </w:pPr>
          </w:p>
        </w:tc>
        <w:tc>
          <w:tcPr>
            <w:tcW w:w="1500" w:type="dxa"/>
            <w:vAlign w:val="bottom"/>
            <w:tcBorders>
              <w:bottom w:val="single" w:sz="8" w:color="3F000B"/>
              <w:right w:val="single" w:sz="8" w:color="3F000B"/>
            </w:tcBorders>
          </w:tcPr>
          <w:p>
            <w:pPr>
              <w:spacing w:after="0"/>
              <w:rPr>
                <w:sz w:val="2"/>
                <w:szCs w:val="2"/>
                <w:color w:val="auto"/>
              </w:rPr>
            </w:pPr>
          </w:p>
        </w:tc>
        <w:tc>
          <w:tcPr>
            <w:tcW w:w="1400" w:type="dxa"/>
            <w:vAlign w:val="bottom"/>
            <w:tcBorders>
              <w:bottom w:val="single" w:sz="8" w:color="3F000B"/>
              <w:right w:val="single" w:sz="8" w:color="3F000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40" w:right="440" w:hanging="332"/>
        <w:spacing w:after="0" w:line="273" w:lineRule="auto"/>
        <w:tabs>
          <w:tab w:leader="none" w:pos="332" w:val="left"/>
        </w:tabs>
        <w:numPr>
          <w:ilvl w:val="0"/>
          <w:numId w:val="163"/>
        </w:numPr>
        <w:rPr>
          <w:rFonts w:ascii="Arial" w:cs="Arial" w:eastAsia="Arial" w:hAnsi="Arial"/>
          <w:sz w:val="14"/>
          <w:szCs w:val="14"/>
          <w:color w:val="auto"/>
        </w:rPr>
      </w:pPr>
      <w:r>
        <w:rPr>
          <w:rFonts w:ascii="Arial" w:cs="Arial" w:eastAsia="Arial" w:hAnsi="Arial"/>
          <w:sz w:val="14"/>
          <w:szCs w:val="14"/>
          <w:color w:val="auto"/>
        </w:rPr>
        <w:t>For all NEOs, the amount of the OHIP award earned for 2020 was greater than target. Therefore, no incremental amount attributable to that program would have been payable upon a Change in Control.</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Amounts reflect vesting of PSUs awarded, as follows:</w:t>
      </w:r>
    </w:p>
    <w:p>
      <w:pPr>
        <w:spacing w:after="0" w:line="109" w:lineRule="exact"/>
        <w:rPr>
          <w:rFonts w:ascii="Arial" w:cs="Arial" w:eastAsia="Arial" w:hAnsi="Arial"/>
          <w:sz w:val="14"/>
          <w:szCs w:val="14"/>
          <w:color w:val="auto"/>
        </w:rPr>
      </w:pPr>
    </w:p>
    <w:p>
      <w:pPr>
        <w:ind w:left="500" w:right="380" w:hanging="168"/>
        <w:spacing w:after="0" w:line="312" w:lineRule="auto"/>
        <w:tabs>
          <w:tab w:leader="none" w:pos="568" w:val="left"/>
        </w:tabs>
        <w:numPr>
          <w:ilvl w:val="1"/>
          <w:numId w:val="163"/>
        </w:numPr>
        <w:rPr>
          <w:rFonts w:ascii="Arial" w:cs="Arial" w:eastAsia="Arial" w:hAnsi="Arial"/>
          <w:sz w:val="13"/>
          <w:szCs w:val="13"/>
          <w:color w:val="auto"/>
        </w:rPr>
      </w:pPr>
      <w:r>
        <w:rPr>
          <w:rFonts w:ascii="Arial" w:cs="Arial" w:eastAsia="Arial" w:hAnsi="Arial"/>
          <w:sz w:val="13"/>
          <w:szCs w:val="13"/>
          <w:color w:val="auto"/>
        </w:rPr>
        <w:t>For the performance cycle which ended on December 31, 2020, the difference between a value per PSU of $155.12, the highest closing price for our Common Stock on the NYSE during the last 60 days of 2020, and a value per PSU of $152.33, the closing price of our Common Stock on the NYSE on December 31, 2020, the last trading day of 2020;</w:t>
      </w:r>
    </w:p>
    <w:p>
      <w:pPr>
        <w:spacing w:after="0" w:line="43" w:lineRule="exact"/>
        <w:rPr>
          <w:rFonts w:ascii="Arial" w:cs="Arial" w:eastAsia="Arial" w:hAnsi="Arial"/>
          <w:sz w:val="13"/>
          <w:szCs w:val="13"/>
          <w:color w:val="auto"/>
        </w:rPr>
      </w:pPr>
    </w:p>
    <w:p>
      <w:pPr>
        <w:ind w:left="500" w:hanging="168"/>
        <w:spacing w:after="0" w:line="273" w:lineRule="auto"/>
        <w:tabs>
          <w:tab w:leader="none" w:pos="604" w:val="left"/>
        </w:tabs>
        <w:numPr>
          <w:ilvl w:val="1"/>
          <w:numId w:val="163"/>
        </w:numPr>
        <w:rPr>
          <w:rFonts w:ascii="Arial" w:cs="Arial" w:eastAsia="Arial" w:hAnsi="Arial"/>
          <w:sz w:val="14"/>
          <w:szCs w:val="14"/>
          <w:color w:val="auto"/>
        </w:rPr>
      </w:pPr>
      <w:r>
        <w:rPr>
          <w:rFonts w:ascii="Arial" w:cs="Arial" w:eastAsia="Arial" w:hAnsi="Arial"/>
          <w:sz w:val="14"/>
          <w:szCs w:val="14"/>
          <w:color w:val="auto"/>
        </w:rPr>
        <w:t>For the performance cycle ending December 31, 2021, at target performance, with a value per PSU of $155.12, the highest closing price for our Common Stock on the NYSE during the last 60 days of 2020; and</w:t>
      </w:r>
    </w:p>
    <w:p>
      <w:pPr>
        <w:spacing w:after="0" w:line="65" w:lineRule="exact"/>
        <w:rPr>
          <w:rFonts w:ascii="Arial" w:cs="Arial" w:eastAsia="Arial" w:hAnsi="Arial"/>
          <w:sz w:val="14"/>
          <w:szCs w:val="14"/>
          <w:color w:val="auto"/>
        </w:rPr>
      </w:pPr>
    </w:p>
    <w:p>
      <w:pPr>
        <w:ind w:left="500" w:right="20" w:hanging="168"/>
        <w:spacing w:after="0" w:line="273" w:lineRule="auto"/>
        <w:tabs>
          <w:tab w:leader="none" w:pos="568" w:val="left"/>
        </w:tabs>
        <w:numPr>
          <w:ilvl w:val="1"/>
          <w:numId w:val="163"/>
        </w:numPr>
        <w:rPr>
          <w:rFonts w:ascii="Arial" w:cs="Arial" w:eastAsia="Arial" w:hAnsi="Arial"/>
          <w:sz w:val="14"/>
          <w:szCs w:val="14"/>
          <w:color w:val="auto"/>
        </w:rPr>
      </w:pPr>
      <w:r>
        <w:rPr>
          <w:rFonts w:ascii="Arial" w:cs="Arial" w:eastAsia="Arial" w:hAnsi="Arial"/>
          <w:sz w:val="14"/>
          <w:szCs w:val="14"/>
          <w:color w:val="auto"/>
        </w:rPr>
        <w:t>For the performance cycle ending December 31, 2022, one-third of the contingent target units awarded, at target performance, with a value per PSU of $155.12, the highest closing price for our Common Stock on the NYSE during the last 60 days of 2020.</w:t>
      </w:r>
    </w:p>
    <w:p>
      <w:pPr>
        <w:spacing w:after="0" w:line="66" w:lineRule="exact"/>
        <w:rPr>
          <w:sz w:val="20"/>
          <w:szCs w:val="20"/>
          <w:color w:val="auto"/>
        </w:rPr>
      </w:pPr>
    </w:p>
    <w:p>
      <w:pPr>
        <w:ind w:left="340" w:right="100" w:hanging="179"/>
        <w:spacing w:after="0" w:line="270" w:lineRule="auto"/>
        <w:rPr>
          <w:sz w:val="20"/>
          <w:szCs w:val="20"/>
          <w:color w:val="auto"/>
        </w:rPr>
      </w:pPr>
      <w:r>
        <w:rPr>
          <w:rFonts w:ascii="Arial" w:cs="Arial" w:eastAsia="Arial" w:hAnsi="Arial"/>
          <w:sz w:val="13"/>
          <w:szCs w:val="13"/>
          <w:color w:val="auto"/>
        </w:rPr>
        <w:t>Because Ms. Buck was retirement eligible as of December 31, 2020, as of that date she had already vested in a portion of the PSU awards for the performance cycles ending December 31, 2021 and December 31, 2022. Accordingly, with respect to Ms. Buck, the amount for the performance cycle ending December 31, 2021, reflects only (i) an incremental payment of the portion of the PSU award that would vest upon a Change in Control if the awards were not continued as Replacement Awards (</w:t>
      </w:r>
      <w:r>
        <w:rPr>
          <w:rFonts w:ascii="Arial" w:cs="Arial" w:eastAsia="Arial" w:hAnsi="Arial"/>
          <w:sz w:val="13"/>
          <w:szCs w:val="13"/>
          <w:i w:val="1"/>
          <w:iCs w:val="1"/>
          <w:color w:val="auto"/>
        </w:rPr>
        <w:t>i.e.,</w:t>
      </w:r>
      <w:r>
        <w:rPr>
          <w:rFonts w:ascii="Arial" w:cs="Arial" w:eastAsia="Arial" w:hAnsi="Arial"/>
          <w:sz w:val="13"/>
          <w:szCs w:val="13"/>
          <w:color w:val="auto"/>
        </w:rPr>
        <w:t xml:space="preserve"> 1/3 of the total award) and (ii) an incremental benefit equal to the difference between a value per PSU of $155.12, the highest closing price of our Common Stock on the NYSE during the last 60 days of 2020, and a value per PSU of $152.33, the closing price of our Common Stock on the NYSE on December 31, 2020, the last trading day of 2020, while the amount for the performance cycle ending December 31, 2022, reflects only an incremental benefit equal to the difference between a value per PSU of $155.12 and a value per PSU of $152.33.</w:t>
      </w:r>
    </w:p>
    <w:p>
      <w:pPr>
        <w:spacing w:after="0" w:line="71"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Reflects the value of equity awards that would have vested and become payable to each NEO over and above amounts that would have already vested.</w:t>
      </w:r>
    </w:p>
    <w:p>
      <w:pPr>
        <w:spacing w:after="0" w:line="109" w:lineRule="exact"/>
        <w:rPr>
          <w:rFonts w:ascii="Arial" w:cs="Arial" w:eastAsia="Arial" w:hAnsi="Arial"/>
          <w:sz w:val="14"/>
          <w:szCs w:val="14"/>
          <w:color w:val="auto"/>
        </w:rPr>
      </w:pPr>
    </w:p>
    <w:p>
      <w:pPr>
        <w:ind w:left="340" w:right="100" w:hanging="332"/>
        <w:spacing w:after="0" w:line="252" w:lineRule="auto"/>
        <w:tabs>
          <w:tab w:leader="none" w:pos="332" w:val="left"/>
        </w:tabs>
        <w:numPr>
          <w:ilvl w:val="0"/>
          <w:numId w:val="164"/>
        </w:numPr>
        <w:rPr>
          <w:rFonts w:ascii="Arial" w:cs="Arial" w:eastAsia="Arial" w:hAnsi="Arial"/>
          <w:sz w:val="14"/>
          <w:szCs w:val="14"/>
          <w:color w:val="auto"/>
        </w:rPr>
      </w:pPr>
      <w:r>
        <w:rPr>
          <w:rFonts w:ascii="Arial" w:cs="Arial" w:eastAsia="Arial" w:hAnsi="Arial"/>
          <w:sz w:val="14"/>
          <w:szCs w:val="14"/>
          <w:color w:val="auto"/>
        </w:rPr>
        <w:t>Reflects the full vesting value of DB SERP benefits and more favorable early retirement discount factors as provided under the EBPP 3A. Ms. Buck is fully vested in her DB SERP benefit and the more favorable early retirement factors do not apply to the CEO, so no additional benefit is applicable. For Messrs. Atkins, Raup and Reiman, the amount includes the vesting of their respective DC SERP benefits. Mr. Reiman is fully vested in his CLRP benefit so no additional benefit is applicable. For Mr. Voskuil, the amount includes the vesting of his DC SERP benefit, 401(k), Supplemental 401(k) Match, CRC and Supplemental CRC.</w:t>
      </w:r>
    </w:p>
    <w:p>
      <w:pPr>
        <w:spacing w:after="0" w:line="79" w:lineRule="exact"/>
        <w:rPr>
          <w:rFonts w:ascii="Arial" w:cs="Arial" w:eastAsia="Arial" w:hAnsi="Arial"/>
          <w:sz w:val="14"/>
          <w:szCs w:val="14"/>
          <w:color w:val="auto"/>
        </w:rPr>
      </w:pPr>
    </w:p>
    <w:p>
      <w:pPr>
        <w:ind w:left="340" w:right="80" w:hanging="332"/>
        <w:spacing w:after="0" w:line="273" w:lineRule="auto"/>
        <w:tabs>
          <w:tab w:leader="none" w:pos="332" w:val="left"/>
        </w:tabs>
        <w:numPr>
          <w:ilvl w:val="0"/>
          <w:numId w:val="164"/>
        </w:numPr>
        <w:rPr>
          <w:rFonts w:ascii="Arial" w:cs="Arial" w:eastAsia="Arial" w:hAnsi="Arial"/>
          <w:sz w:val="14"/>
          <w:szCs w:val="14"/>
          <w:color w:val="auto"/>
        </w:rPr>
      </w:pPr>
      <w:r>
        <w:rPr>
          <w:rFonts w:ascii="Arial" w:cs="Arial" w:eastAsia="Arial" w:hAnsi="Arial"/>
          <w:sz w:val="14"/>
          <w:szCs w:val="14"/>
          <w:color w:val="auto"/>
        </w:rPr>
        <w:t>For any given executive, the total payments made in the event of a Change in Control would be reduced to the “safe harbor” limit under IRC Section 280G if such reduction would result in a greater after-tax benefit for the executive.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3F000B"/>
        </w:rPr>
        <w:t>Termination without Cause or Resignation for Good Reason after Change in Control</w:t>
      </w:r>
    </w:p>
    <w:p>
      <w:pPr>
        <w:spacing w:after="0" w:line="15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If a NEO’s employment is terminated by the Company without Cause or by the NEO for Good Reason within two years after a Change in Control, we pay severance benefits under the EBPP 3A to assist the NEO in transitioning to new employment. These severance benefits as of December 31, 2020, consist of:</w:t>
      </w:r>
    </w:p>
    <w:p>
      <w:pPr>
        <w:spacing w:after="0" w:line="76" w:lineRule="exact"/>
        <w:rPr>
          <w:sz w:val="20"/>
          <w:szCs w:val="20"/>
          <w:color w:val="auto"/>
        </w:rPr>
      </w:pPr>
    </w:p>
    <w:p>
      <w:pPr>
        <w:ind w:left="660" w:right="3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lump sum cash payment equal to two (or, if less, the number of full and fractional years from the date of termination to the executive’s 65th birthday, but not less than one) times: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executive’s base salary; and</w:t>
      </w:r>
    </w:p>
    <w:p>
      <w:pPr>
        <w:spacing w:after="0" w:line="63" w:lineRule="exact"/>
        <w:rPr>
          <w:rFonts w:ascii="Arial" w:cs="Arial" w:eastAsia="Arial" w:hAnsi="Arial"/>
          <w:sz w:val="18"/>
          <w:szCs w:val="18"/>
          <w:color w:val="auto"/>
        </w:rPr>
      </w:pPr>
    </w:p>
    <w:p>
      <w:pPr>
        <w:ind w:left="1300" w:right="220" w:hanging="320"/>
        <w:spacing w:after="0" w:line="277" w:lineRule="auto"/>
        <w:tabs>
          <w:tab w:leader="none" w:pos="1296"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highest OHIP award payment paid or payable during the three years preceding the year of the Change in Control (but not less than the OHIP target award for the year of the termination) (“Highest OHIP”);</w:t>
      </w:r>
    </w:p>
    <w:p>
      <w:pPr>
        <w:spacing w:after="0" w:line="8" w:lineRule="exact"/>
        <w:rPr>
          <w:rFonts w:ascii="Arial" w:cs="Arial" w:eastAsia="Arial" w:hAnsi="Arial"/>
          <w:sz w:val="18"/>
          <w:szCs w:val="18"/>
          <w:color w:val="auto"/>
        </w:rPr>
      </w:pPr>
    </w:p>
    <w:p>
      <w:pPr>
        <w:jc w:val="both"/>
        <w:ind w:left="660" w:right="80" w:hanging="328"/>
        <w:spacing w:after="0" w:line="263"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replacement PSU awards, a lump sum cash payment equal to the target PSU grant for the performance cycle ending in the year of the Change in Control, determined based upon the greater of target or actual performance through the date of the Change in Control, with each PSU valued at the Transaction Value;</w:t>
      </w: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0"/>
          </w:cols>
          <w:pgMar w:left="320" w:top="1057" w:right="359" w:bottom="1440" w:gutter="0" w:footer="0" w:header="0"/>
          <w:type w:val="continuous"/>
        </w:sectPr>
      </w:pPr>
    </w:p>
    <w:bookmarkStart w:id="85" w:name="page86"/>
    <w:bookmarkEnd w:id="85"/>
    <w:p>
      <w:pPr>
        <w:ind w:left="660" w:right="20" w:hanging="328"/>
        <w:spacing w:after="0" w:line="259"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replacement PSU awards, a lump sum cash payment equal to the target PSU grant for the second year of the performance cycle and a prorated portion of the target PSU grant for the first year of the performance cycle at the time of the Change in Control, with each PSU valued at the higher of the Transaction Value and the highest closing price of our Common Stock from the date of the Change of Control until the NEO’s separation from service;</w:t>
      </w:r>
    </w:p>
    <w:p>
      <w:pPr>
        <w:spacing w:after="0" w:line="24"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replacement stock options and RSU awards (including accrued cash credits equivalent to dividends that would have been earned had the executive held Common Stock instead of RSUs), full vesting of all unvested stock options and RSUs;</w:t>
      </w:r>
    </w:p>
    <w:p>
      <w:pPr>
        <w:spacing w:after="0" w:line="8" w:lineRule="exact"/>
        <w:rPr>
          <w:rFonts w:ascii="Arial" w:cs="Arial" w:eastAsia="Arial" w:hAnsi="Arial"/>
          <w:sz w:val="18"/>
          <w:szCs w:val="18"/>
          <w:color w:val="auto"/>
        </w:rPr>
      </w:pPr>
    </w:p>
    <w:p>
      <w:pPr>
        <w:ind w:left="660" w:right="60" w:hanging="328"/>
        <w:spacing w:after="0" w:line="298" w:lineRule="auto"/>
        <w:tabs>
          <w:tab w:leader="none" w:pos="6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Continuation of medical, dental, vision and life benefits for 24 months (or, if less, the number of months until the executive attains age 65, but not less than 12 months), or payment of the value of such benefits if continuation is not permitted under the terms of the applicable plan;</w:t>
      </w:r>
    </w:p>
    <w:p>
      <w:pPr>
        <w:ind w:left="660" w:right="40" w:hanging="328"/>
        <w:spacing w:after="0" w:line="273" w:lineRule="auto"/>
        <w:tabs>
          <w:tab w:leader="none" w:pos="65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For executives who participate in the pension plan and do not participate in the DB SERP, a lump sum equal to their pay credit percentage under that plan times the sum of their base salary and Highest OHIP times the number of years in their severance period (two, or, if less, the number of full and fractional years from the date of termination to the executive’s 65th birthday, but not less than one). For executives who do not participate in the pension plan, a lump sum equal to the CRC rate times the sum of their base salary and Highest OHIP times the number of years in their severance period (two, or, if less, the number of full and fractional years from the date of termination to the executive’s 65th birthday, but not less than one). IRS limitations imposed on the 401(k) and pension plans will not apply for this purpose;</w:t>
      </w:r>
    </w:p>
    <w:p>
      <w:pPr>
        <w:spacing w:after="0" w:line="15" w:lineRule="exact"/>
        <w:rPr>
          <w:rFonts w:ascii="Arial" w:cs="Arial" w:eastAsia="Arial" w:hAnsi="Arial"/>
          <w:sz w:val="17"/>
          <w:szCs w:val="17"/>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Outplacement services up to $35,000 and reimbursement for financial counseling and tax preparation services for two years;</w:t>
      </w:r>
    </w:p>
    <w:p>
      <w:pPr>
        <w:spacing w:after="0" w:line="63"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enhanced matching contribution cash payment equal to the 401(k) matching contribution rate of 4.5% multiplied by the executive’s base salary and Highest OHIP calculated as if such amounts were paid during the years in the executive’s severance period. For this purpose, the IRS limitations imposed on the 401(k) plan do not apply;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executives who participate in the DB SERP, an enhanced benefit reflecting an additional two years of credit; and</w:t>
      </w:r>
    </w:p>
    <w:p>
      <w:pPr>
        <w:spacing w:after="0" w:line="63" w:lineRule="exact"/>
        <w:rPr>
          <w:rFonts w:ascii="Arial" w:cs="Arial" w:eastAsia="Arial" w:hAnsi="Arial"/>
          <w:sz w:val="18"/>
          <w:szCs w:val="18"/>
          <w:color w:val="auto"/>
        </w:rPr>
      </w:pPr>
    </w:p>
    <w:p>
      <w:pPr>
        <w:ind w:left="660" w:right="140" w:hanging="328"/>
        <w:spacing w:after="0" w:line="316" w:lineRule="auto"/>
        <w:tabs>
          <w:tab w:leader="none" w:pos="6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executives who participate in the DC SERP, an enhanced benefit reflecting a cash payment equal to the applicable percentage rate multiplied by his or her base salary and Highest OHIP calculated as if such amounts were paid during the years in the executive’s severance period.</w:t>
      </w:r>
    </w:p>
    <w:p>
      <w:pPr>
        <w:spacing w:after="0" w:line="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table provides amounts that would have vested and become payable to each NEO over and above amounts they would have received upon a termination by the Company without Cause or by the NEO for Good Reason, assuming a Change in Control occurred and the executive’s employment terminated on December 31, 2020:</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760" w:type="dxa"/>
            <w:vAlign w:val="bottom"/>
            <w:tcBorders>
              <w:top w:val="single" w:sz="8" w:color="3F000B"/>
              <w:left w:val="single" w:sz="8" w:color="3F000B"/>
              <w:right w:val="single" w:sz="8" w:color="DADADA"/>
            </w:tcBorders>
            <w:shd w:val="clear" w:color="auto" w:fill="3F000B"/>
          </w:tcPr>
          <w:p>
            <w:pPr>
              <w:spacing w:after="0"/>
              <w:rPr>
                <w:sz w:val="14"/>
                <w:szCs w:val="14"/>
                <w:color w:val="auto"/>
              </w:rPr>
            </w:pPr>
          </w:p>
        </w:tc>
        <w:tc>
          <w:tcPr>
            <w:tcW w:w="1180" w:type="dxa"/>
            <w:vAlign w:val="bottom"/>
            <w:tcBorders>
              <w:top w:val="single" w:sz="8" w:color="3F000B"/>
              <w:right w:val="single" w:sz="8" w:color="DADADA"/>
            </w:tcBorders>
            <w:shd w:val="clear" w:color="auto" w:fill="3F000B"/>
          </w:tcPr>
          <w:p>
            <w:pPr>
              <w:spacing w:after="0"/>
              <w:rPr>
                <w:sz w:val="14"/>
                <w:szCs w:val="14"/>
                <w:color w:val="auto"/>
              </w:rPr>
            </w:pPr>
          </w:p>
        </w:tc>
        <w:tc>
          <w:tcPr>
            <w:tcW w:w="1200" w:type="dxa"/>
            <w:vAlign w:val="bottom"/>
            <w:tcBorders>
              <w:top w:val="single" w:sz="8" w:color="3F000B"/>
              <w:right w:val="single" w:sz="8" w:color="DADADA"/>
            </w:tcBorders>
            <w:shd w:val="clear" w:color="auto" w:fill="3F000B"/>
          </w:tcPr>
          <w:p>
            <w:pPr>
              <w:spacing w:after="0"/>
              <w:rPr>
                <w:sz w:val="14"/>
                <w:szCs w:val="14"/>
                <w:color w:val="auto"/>
              </w:rPr>
            </w:pPr>
          </w:p>
        </w:tc>
        <w:tc>
          <w:tcPr>
            <w:tcW w:w="1160" w:type="dxa"/>
            <w:vAlign w:val="bottom"/>
            <w:tcBorders>
              <w:top w:val="single" w:sz="8" w:color="3F000B"/>
              <w:right w:val="single" w:sz="8" w:color="DADADA"/>
            </w:tcBorders>
            <w:shd w:val="clear" w:color="auto" w:fill="3F000B"/>
          </w:tcPr>
          <w:p>
            <w:pPr>
              <w:spacing w:after="0"/>
              <w:rPr>
                <w:sz w:val="14"/>
                <w:szCs w:val="14"/>
                <w:color w:val="auto"/>
              </w:rPr>
            </w:pPr>
          </w:p>
        </w:tc>
        <w:tc>
          <w:tcPr>
            <w:tcW w:w="1200" w:type="dxa"/>
            <w:vAlign w:val="bottom"/>
            <w:tcBorders>
              <w:top w:val="single" w:sz="8" w:color="3F000B"/>
              <w:right w:val="single" w:sz="8" w:color="DADADA"/>
            </w:tcBorders>
            <w:shd w:val="clear" w:color="auto" w:fill="3F000B"/>
          </w:tcPr>
          <w:p>
            <w:pPr>
              <w:spacing w:after="0"/>
              <w:rPr>
                <w:sz w:val="14"/>
                <w:szCs w:val="14"/>
                <w:color w:val="auto"/>
              </w:rPr>
            </w:pPr>
          </w:p>
        </w:tc>
        <w:tc>
          <w:tcPr>
            <w:tcW w:w="1160" w:type="dxa"/>
            <w:vAlign w:val="bottom"/>
            <w:tcBorders>
              <w:top w:val="single" w:sz="8" w:color="3F000B"/>
              <w:right w:val="single" w:sz="8" w:color="DADADA"/>
            </w:tcBorders>
            <w:shd w:val="clear" w:color="auto" w:fill="3F000B"/>
          </w:tcPr>
          <w:p>
            <w:pPr>
              <w:spacing w:after="0"/>
              <w:rPr>
                <w:sz w:val="14"/>
                <w:szCs w:val="14"/>
                <w:color w:val="auto"/>
              </w:rPr>
            </w:pPr>
          </w:p>
        </w:tc>
        <w:tc>
          <w:tcPr>
            <w:tcW w:w="1200" w:type="dxa"/>
            <w:vAlign w:val="bottom"/>
            <w:tcBorders>
              <w:top w:val="single" w:sz="8" w:color="3F000B"/>
              <w:right w:val="single" w:sz="8" w:color="DADADA"/>
            </w:tcBorders>
            <w:shd w:val="clear" w:color="auto" w:fill="3F000B"/>
          </w:tcPr>
          <w:p>
            <w:pPr>
              <w:spacing w:after="0"/>
              <w:rPr>
                <w:sz w:val="14"/>
                <w:szCs w:val="14"/>
                <w:color w:val="auto"/>
              </w:rPr>
            </w:pPr>
          </w:p>
        </w:tc>
        <w:tc>
          <w:tcPr>
            <w:tcW w:w="1180" w:type="dxa"/>
            <w:vAlign w:val="bottom"/>
            <w:tcBorders>
              <w:top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Value of</w:t>
            </w:r>
          </w:p>
        </w:tc>
        <w:tc>
          <w:tcPr>
            <w:tcW w:w="1200" w:type="dxa"/>
            <w:vAlign w:val="bottom"/>
            <w:tcBorders>
              <w:top w:val="single" w:sz="8" w:color="3F000B"/>
              <w:right w:val="single" w:sz="8" w:color="3F000B"/>
            </w:tcBorders>
            <w:shd w:val="clear" w:color="auto" w:fill="3F000B"/>
          </w:tcPr>
          <w:p>
            <w:pPr>
              <w:spacing w:after="0"/>
              <w:rPr>
                <w:sz w:val="14"/>
                <w:szCs w:val="14"/>
                <w:color w:val="auto"/>
              </w:rPr>
            </w:pPr>
          </w:p>
        </w:tc>
      </w:tr>
      <w:tr>
        <w:trPr>
          <w:trHeight w:val="149"/>
        </w:trPr>
        <w:tc>
          <w:tcPr>
            <w:tcW w:w="1760" w:type="dxa"/>
            <w:vAlign w:val="bottom"/>
            <w:tcBorders>
              <w:left w:val="single" w:sz="8" w:color="3F000B"/>
              <w:right w:val="single" w:sz="8" w:color="DADADA"/>
            </w:tcBorders>
            <w:shd w:val="clear" w:color="auto" w:fill="3F000B"/>
          </w:tcPr>
          <w:p>
            <w:pPr>
              <w:spacing w:after="0"/>
              <w:rPr>
                <w:sz w:val="12"/>
                <w:szCs w:val="12"/>
                <w:color w:val="auto"/>
              </w:rPr>
            </w:pPr>
          </w:p>
        </w:tc>
        <w:tc>
          <w:tcPr>
            <w:tcW w:w="1180" w:type="dxa"/>
            <w:vAlign w:val="bottom"/>
            <w:tcBorders>
              <w:right w:val="single" w:sz="8" w:color="DADADA"/>
            </w:tcBorders>
            <w:shd w:val="clear" w:color="auto" w:fill="3F000B"/>
          </w:tcPr>
          <w:p>
            <w:pPr>
              <w:spacing w:after="0"/>
              <w:rPr>
                <w:sz w:val="12"/>
                <w:szCs w:val="12"/>
                <w:color w:val="auto"/>
              </w:rPr>
            </w:pPr>
          </w:p>
        </w:tc>
        <w:tc>
          <w:tcPr>
            <w:tcW w:w="1200" w:type="dxa"/>
            <w:vAlign w:val="bottom"/>
            <w:tcBorders>
              <w:right w:val="single" w:sz="8" w:color="DADADA"/>
            </w:tcBorders>
            <w:shd w:val="clear" w:color="auto" w:fill="3F000B"/>
          </w:tcPr>
          <w:p>
            <w:pPr>
              <w:spacing w:after="0"/>
              <w:rPr>
                <w:sz w:val="12"/>
                <w:szCs w:val="12"/>
                <w:color w:val="auto"/>
              </w:rPr>
            </w:pPr>
          </w:p>
        </w:tc>
        <w:tc>
          <w:tcPr>
            <w:tcW w:w="1160" w:type="dxa"/>
            <w:vAlign w:val="bottom"/>
            <w:tcBorders>
              <w:right w:val="single" w:sz="8" w:color="DADADA"/>
            </w:tcBorders>
            <w:shd w:val="clear" w:color="auto" w:fill="3F000B"/>
          </w:tcPr>
          <w:p>
            <w:pPr>
              <w:spacing w:after="0"/>
              <w:rPr>
                <w:sz w:val="12"/>
                <w:szCs w:val="12"/>
                <w:color w:val="auto"/>
              </w:rPr>
            </w:pPr>
          </w:p>
        </w:tc>
        <w:tc>
          <w:tcPr>
            <w:tcW w:w="1200" w:type="dxa"/>
            <w:vAlign w:val="bottom"/>
            <w:tcBorders>
              <w:right w:val="single" w:sz="8" w:color="DADADA"/>
            </w:tcBorders>
            <w:shd w:val="clear" w:color="auto" w:fill="3F000B"/>
          </w:tcPr>
          <w:p>
            <w:pPr>
              <w:spacing w:after="0"/>
              <w:rPr>
                <w:sz w:val="12"/>
                <w:szCs w:val="12"/>
                <w:color w:val="auto"/>
              </w:rPr>
            </w:pPr>
          </w:p>
        </w:tc>
        <w:tc>
          <w:tcPr>
            <w:tcW w:w="1160" w:type="dxa"/>
            <w:vAlign w:val="bottom"/>
            <w:tcBorders>
              <w:right w:val="single" w:sz="8" w:color="DADADA"/>
            </w:tcBorders>
            <w:shd w:val="clear" w:color="auto" w:fill="3F000B"/>
          </w:tcPr>
          <w:p>
            <w:pPr>
              <w:spacing w:after="0"/>
              <w:rPr>
                <w:sz w:val="12"/>
                <w:szCs w:val="12"/>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Value of</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Enhanced</w:t>
            </w:r>
          </w:p>
        </w:tc>
        <w:tc>
          <w:tcPr>
            <w:tcW w:w="1200" w:type="dxa"/>
            <w:vAlign w:val="bottom"/>
            <w:tcBorders>
              <w:right w:val="single" w:sz="8" w:color="3F000B"/>
            </w:tcBorders>
            <w:shd w:val="clear" w:color="auto" w:fill="3F000B"/>
          </w:tcPr>
          <w:p>
            <w:pPr>
              <w:spacing w:after="0"/>
              <w:rPr>
                <w:sz w:val="12"/>
                <w:szCs w:val="12"/>
                <w:color w:val="auto"/>
              </w:rPr>
            </w:pPr>
          </w:p>
        </w:tc>
      </w:tr>
      <w:tr>
        <w:trPr>
          <w:trHeight w:val="148"/>
        </w:trPr>
        <w:tc>
          <w:tcPr>
            <w:tcW w:w="1760" w:type="dxa"/>
            <w:vAlign w:val="bottom"/>
            <w:tcBorders>
              <w:left w:val="single" w:sz="8" w:color="3F000B"/>
              <w:right w:val="single" w:sz="8" w:color="DADADA"/>
            </w:tcBorders>
            <w:shd w:val="clear" w:color="auto" w:fill="3F000B"/>
          </w:tcPr>
          <w:p>
            <w:pPr>
              <w:spacing w:after="0"/>
              <w:rPr>
                <w:sz w:val="12"/>
                <w:szCs w:val="12"/>
                <w:color w:val="auto"/>
              </w:rPr>
            </w:pPr>
          </w:p>
        </w:tc>
        <w:tc>
          <w:tcPr>
            <w:tcW w:w="1180" w:type="dxa"/>
            <w:vAlign w:val="bottom"/>
            <w:tcBorders>
              <w:right w:val="single" w:sz="8" w:color="DADADA"/>
            </w:tcBorders>
            <w:shd w:val="clear" w:color="auto" w:fill="3F000B"/>
          </w:tcPr>
          <w:p>
            <w:pPr>
              <w:spacing w:after="0"/>
              <w:rPr>
                <w:sz w:val="12"/>
                <w:szCs w:val="12"/>
                <w:color w:val="auto"/>
              </w:rPr>
            </w:pPr>
          </w:p>
        </w:tc>
        <w:tc>
          <w:tcPr>
            <w:tcW w:w="1200" w:type="dxa"/>
            <w:vAlign w:val="bottom"/>
            <w:tcBorders>
              <w:right w:val="single" w:sz="8" w:color="DADADA"/>
            </w:tcBorders>
            <w:shd w:val="clear" w:color="auto" w:fill="3F000B"/>
          </w:tcPr>
          <w:p>
            <w:pPr>
              <w:spacing w:after="0"/>
              <w:rPr>
                <w:sz w:val="12"/>
                <w:szCs w:val="12"/>
                <w:color w:val="auto"/>
              </w:rPr>
            </w:pPr>
          </w:p>
        </w:tc>
        <w:tc>
          <w:tcPr>
            <w:tcW w:w="1160" w:type="dxa"/>
            <w:vAlign w:val="bottom"/>
            <w:tcBorders>
              <w:right w:val="single" w:sz="8" w:color="DADADA"/>
            </w:tcBorders>
            <w:shd w:val="clear" w:color="auto" w:fill="3F000B"/>
          </w:tcPr>
          <w:p>
            <w:pPr>
              <w:spacing w:after="0"/>
              <w:rPr>
                <w:sz w:val="12"/>
                <w:szCs w:val="12"/>
                <w:color w:val="auto"/>
              </w:rPr>
            </w:pPr>
          </w:p>
        </w:tc>
        <w:tc>
          <w:tcPr>
            <w:tcW w:w="1200" w:type="dxa"/>
            <w:vAlign w:val="bottom"/>
            <w:tcBorders>
              <w:right w:val="single" w:sz="8" w:color="DADADA"/>
            </w:tcBorders>
            <w:shd w:val="clear" w:color="auto" w:fill="3F000B"/>
          </w:tcPr>
          <w:p>
            <w:pPr>
              <w:spacing w:after="0"/>
              <w:rPr>
                <w:sz w:val="12"/>
                <w:szCs w:val="12"/>
                <w:color w:val="auto"/>
              </w:rPr>
            </w:pPr>
          </w:p>
        </w:tc>
        <w:tc>
          <w:tcPr>
            <w:tcW w:w="1160" w:type="dxa"/>
            <w:vAlign w:val="bottom"/>
            <w:tcBorders>
              <w:right w:val="single" w:sz="8" w:color="DADADA"/>
            </w:tcBorders>
            <w:shd w:val="clear" w:color="auto" w:fill="3F000B"/>
          </w:tcPr>
          <w:p>
            <w:pPr>
              <w:spacing w:after="0"/>
              <w:rPr>
                <w:sz w:val="12"/>
                <w:szCs w:val="12"/>
                <w:color w:val="auto"/>
              </w:rPr>
            </w:pP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Financial</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1"/>
              </w:rPr>
              <w:t>DB SERP/</w:t>
            </w:r>
          </w:p>
        </w:tc>
        <w:tc>
          <w:tcPr>
            <w:tcW w:w="1200" w:type="dxa"/>
            <w:vAlign w:val="bottom"/>
            <w:tcBorders>
              <w:right w:val="single" w:sz="8" w:color="3F000B"/>
            </w:tcBorders>
            <w:shd w:val="clear" w:color="auto" w:fill="3F000B"/>
          </w:tcPr>
          <w:p>
            <w:pPr>
              <w:spacing w:after="0"/>
              <w:rPr>
                <w:sz w:val="12"/>
                <w:szCs w:val="12"/>
                <w:color w:val="auto"/>
              </w:rPr>
            </w:pPr>
          </w:p>
        </w:tc>
      </w:tr>
      <w:tr>
        <w:trPr>
          <w:trHeight w:val="167"/>
        </w:trPr>
        <w:tc>
          <w:tcPr>
            <w:tcW w:w="1760" w:type="dxa"/>
            <w:vAlign w:val="bottom"/>
            <w:tcBorders>
              <w:left w:val="single" w:sz="8" w:color="3F000B"/>
              <w:right w:val="single" w:sz="8" w:color="DADADA"/>
            </w:tcBorders>
            <w:shd w:val="clear" w:color="auto" w:fill="3F000B"/>
          </w:tcPr>
          <w:p>
            <w:pPr>
              <w:spacing w:after="0"/>
              <w:rPr>
                <w:sz w:val="14"/>
                <w:szCs w:val="14"/>
                <w:color w:val="auto"/>
              </w:rPr>
            </w:pP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Lump Sum</w:t>
            </w:r>
          </w:p>
        </w:tc>
        <w:tc>
          <w:tcPr>
            <w:tcW w:w="1200" w:type="dxa"/>
            <w:vAlign w:val="bottom"/>
            <w:tcBorders>
              <w:right w:val="single" w:sz="8" w:color="DADADA"/>
            </w:tcBorders>
            <w:shd w:val="clear" w:color="auto" w:fill="3F000B"/>
          </w:tcPr>
          <w:p>
            <w:pPr>
              <w:spacing w:after="0"/>
              <w:rPr>
                <w:sz w:val="14"/>
                <w:szCs w:val="14"/>
                <w:color w:val="auto"/>
              </w:rPr>
            </w:pPr>
          </w:p>
        </w:tc>
        <w:tc>
          <w:tcPr>
            <w:tcW w:w="1160" w:type="dxa"/>
            <w:vAlign w:val="bottom"/>
            <w:tcBorders>
              <w:right w:val="single" w:sz="8" w:color="DADADA"/>
            </w:tcBorders>
            <w:shd w:val="clear" w:color="auto" w:fill="3F000B"/>
          </w:tcPr>
          <w:p>
            <w:pPr>
              <w:spacing w:after="0"/>
              <w:rPr>
                <w:sz w:val="14"/>
                <w:szCs w:val="14"/>
                <w:color w:val="auto"/>
              </w:rPr>
            </w:pPr>
          </w:p>
        </w:tc>
        <w:tc>
          <w:tcPr>
            <w:tcW w:w="1200" w:type="dxa"/>
            <w:vAlign w:val="bottom"/>
            <w:tcBorders>
              <w:right w:val="single" w:sz="8" w:color="DADADA"/>
            </w:tcBorders>
            <w:shd w:val="clear" w:color="auto" w:fill="3F000B"/>
          </w:tcPr>
          <w:p>
            <w:pPr>
              <w:spacing w:after="0"/>
              <w:rPr>
                <w:sz w:val="14"/>
                <w:szCs w:val="14"/>
                <w:color w:val="auto"/>
              </w:rPr>
            </w:pPr>
          </w:p>
        </w:tc>
        <w:tc>
          <w:tcPr>
            <w:tcW w:w="11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Value of</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Planning</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DC SERP</w:t>
            </w:r>
          </w:p>
        </w:tc>
        <w:tc>
          <w:tcPr>
            <w:tcW w:w="1200" w:type="dxa"/>
            <w:vAlign w:val="bottom"/>
            <w:tcBorders>
              <w:right w:val="single" w:sz="8" w:color="3F000B"/>
            </w:tcBorders>
            <w:shd w:val="clear" w:color="auto" w:fill="3F000B"/>
          </w:tcPr>
          <w:p>
            <w:pPr>
              <w:spacing w:after="0"/>
              <w:rPr>
                <w:sz w:val="14"/>
                <w:szCs w:val="14"/>
                <w:color w:val="auto"/>
              </w:rPr>
            </w:pPr>
          </w:p>
        </w:tc>
      </w:tr>
      <w:tr>
        <w:trPr>
          <w:trHeight w:val="148"/>
        </w:trPr>
        <w:tc>
          <w:tcPr>
            <w:tcW w:w="1760" w:type="dxa"/>
            <w:vAlign w:val="bottom"/>
            <w:tcBorders>
              <w:left w:val="single" w:sz="8" w:color="3F000B"/>
              <w:right w:val="single" w:sz="8" w:color="DADADA"/>
            </w:tcBorders>
            <w:shd w:val="clear" w:color="auto" w:fill="3F000B"/>
          </w:tcPr>
          <w:p>
            <w:pPr>
              <w:spacing w:after="0"/>
              <w:rPr>
                <w:sz w:val="12"/>
                <w:szCs w:val="12"/>
                <w:color w:val="auto"/>
              </w:rPr>
            </w:pP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Cash</w:t>
            </w:r>
          </w:p>
        </w:tc>
        <w:tc>
          <w:tcPr>
            <w:tcW w:w="1200" w:type="dxa"/>
            <w:vAlign w:val="bottom"/>
            <w:tcBorders>
              <w:right w:val="single" w:sz="8" w:color="DADADA"/>
            </w:tcBorders>
            <w:shd w:val="clear" w:color="auto" w:fill="3F000B"/>
          </w:tcPr>
          <w:p>
            <w:pPr>
              <w:spacing w:after="0"/>
              <w:rPr>
                <w:sz w:val="12"/>
                <w:szCs w:val="12"/>
                <w:color w:val="auto"/>
              </w:rPr>
            </w:pPr>
          </w:p>
        </w:tc>
        <w:tc>
          <w:tcPr>
            <w:tcW w:w="11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Vesting</w:t>
            </w:r>
          </w:p>
        </w:tc>
        <w:tc>
          <w:tcPr>
            <w:tcW w:w="1200" w:type="dxa"/>
            <w:vAlign w:val="bottom"/>
            <w:tcBorders>
              <w:right w:val="single" w:sz="8" w:color="DADADA"/>
            </w:tcBorders>
            <w:shd w:val="clear" w:color="auto" w:fill="3F000B"/>
          </w:tcPr>
          <w:p>
            <w:pPr>
              <w:spacing w:after="0"/>
              <w:rPr>
                <w:sz w:val="12"/>
                <w:szCs w:val="12"/>
                <w:color w:val="auto"/>
              </w:rPr>
            </w:pPr>
          </w:p>
        </w:tc>
        <w:tc>
          <w:tcPr>
            <w:tcW w:w="11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Medical and</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4"/>
              </w:rPr>
              <w:t>and</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and</w:t>
            </w:r>
          </w:p>
        </w:tc>
        <w:tc>
          <w:tcPr>
            <w:tcW w:w="1200" w:type="dxa"/>
            <w:vAlign w:val="bottom"/>
            <w:tcBorders>
              <w:right w:val="single" w:sz="8" w:color="3F000B"/>
            </w:tcBorders>
            <w:shd w:val="clear" w:color="auto" w:fill="3F000B"/>
          </w:tcPr>
          <w:p>
            <w:pPr>
              <w:spacing w:after="0"/>
              <w:rPr>
                <w:sz w:val="12"/>
                <w:szCs w:val="12"/>
                <w:color w:val="auto"/>
              </w:rPr>
            </w:pPr>
          </w:p>
        </w:tc>
      </w:tr>
      <w:tr>
        <w:trPr>
          <w:trHeight w:val="149"/>
        </w:trPr>
        <w:tc>
          <w:tcPr>
            <w:tcW w:w="1760" w:type="dxa"/>
            <w:vAlign w:val="bottom"/>
            <w:tcBorders>
              <w:left w:val="single" w:sz="8" w:color="3F000B"/>
              <w:right w:val="single" w:sz="8" w:color="DADADA"/>
            </w:tcBorders>
            <w:shd w:val="clear" w:color="auto" w:fill="3F000B"/>
          </w:tcPr>
          <w:p>
            <w:pPr>
              <w:spacing w:after="0"/>
              <w:rPr>
                <w:sz w:val="12"/>
                <w:szCs w:val="12"/>
                <w:color w:val="auto"/>
              </w:rPr>
            </w:pP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2"/>
              </w:rPr>
              <w:t>Severance</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PSU Related</w:t>
            </w:r>
          </w:p>
        </w:tc>
        <w:tc>
          <w:tcPr>
            <w:tcW w:w="11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of Stock</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Vesting of</w:t>
            </w:r>
          </w:p>
        </w:tc>
        <w:tc>
          <w:tcPr>
            <w:tcW w:w="11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Other Benefits</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9"/>
              </w:rPr>
              <w:t>Outplace-</w:t>
            </w: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90"/>
              </w:rPr>
              <w:t>401(k)</w:t>
            </w:r>
          </w:p>
        </w:tc>
        <w:tc>
          <w:tcPr>
            <w:tcW w:w="1200" w:type="dxa"/>
            <w:vAlign w:val="bottom"/>
            <w:tcBorders>
              <w:right w:val="single" w:sz="8" w:color="3F000B"/>
            </w:tcBorders>
            <w:shd w:val="clear" w:color="auto" w:fill="3F000B"/>
          </w:tcPr>
          <w:p>
            <w:pPr>
              <w:spacing w:after="0"/>
              <w:rPr>
                <w:sz w:val="12"/>
                <w:szCs w:val="12"/>
                <w:color w:val="auto"/>
              </w:rPr>
            </w:pPr>
          </w:p>
        </w:tc>
      </w:tr>
      <w:tr>
        <w:trPr>
          <w:trHeight w:val="148"/>
        </w:trPr>
        <w:tc>
          <w:tcPr>
            <w:tcW w:w="1760" w:type="dxa"/>
            <w:vAlign w:val="bottom"/>
            <w:tcBorders>
              <w:left w:val="single" w:sz="8" w:color="3F000B"/>
              <w:right w:val="single" w:sz="8" w:color="DADADA"/>
            </w:tcBorders>
            <w:shd w:val="clear" w:color="auto" w:fill="3F000B"/>
          </w:tcPr>
          <w:p>
            <w:pPr>
              <w:spacing w:after="0"/>
              <w:rPr>
                <w:sz w:val="12"/>
                <w:szCs w:val="12"/>
                <w:color w:val="auto"/>
              </w:rPr>
            </w:pPr>
          </w:p>
        </w:tc>
        <w:tc>
          <w:tcPr>
            <w:tcW w:w="118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8"/>
              </w:rPr>
              <w:t>Payment</w:t>
            </w:r>
          </w:p>
        </w:tc>
        <w:tc>
          <w:tcPr>
            <w:tcW w:w="1200" w:type="dxa"/>
            <w:vAlign w:val="bottom"/>
            <w:tcBorders>
              <w:right w:val="single" w:sz="8" w:color="DADADA"/>
            </w:tcBorders>
            <w:shd w:val="clear" w:color="auto" w:fill="3F000B"/>
          </w:tcPr>
          <w:p>
            <w:pPr>
              <w:jc w:val="center"/>
              <w:spacing w:after="0" w:line="148" w:lineRule="exact"/>
              <w:rPr>
                <w:sz w:val="20"/>
                <w:szCs w:val="20"/>
                <w:color w:val="auto"/>
              </w:rPr>
            </w:pPr>
            <w:r>
              <w:rPr>
                <w:rFonts w:ascii="Arial" w:cs="Arial" w:eastAsia="Arial" w:hAnsi="Arial"/>
                <w:sz w:val="13"/>
                <w:szCs w:val="13"/>
                <w:b w:val="1"/>
                <w:bCs w:val="1"/>
                <w:color w:val="FFFFFF"/>
                <w:w w:val="83"/>
              </w:rPr>
              <w:t>Payments</w:t>
            </w:r>
            <w:r>
              <w:rPr>
                <w:rFonts w:ascii="Arial" w:cs="Arial" w:eastAsia="Arial" w:hAnsi="Arial"/>
                <w:sz w:val="16"/>
                <w:szCs w:val="16"/>
                <w:b w:val="1"/>
                <w:bCs w:val="1"/>
                <w:color w:val="FFFFFF"/>
                <w:w w:val="83"/>
                <w:vertAlign w:val="superscript"/>
              </w:rPr>
              <w:t>(1)</w:t>
            </w:r>
          </w:p>
        </w:tc>
        <w:tc>
          <w:tcPr>
            <w:tcW w:w="11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5"/>
              </w:rPr>
              <w:t>Options</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6"/>
              </w:rPr>
              <w:t>RSUs</w:t>
            </w:r>
          </w:p>
        </w:tc>
        <w:tc>
          <w:tcPr>
            <w:tcW w:w="11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Continuation</w:t>
            </w:r>
          </w:p>
        </w:tc>
        <w:tc>
          <w:tcPr>
            <w:tcW w:w="120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3"/>
              </w:rPr>
              <w:t>ment</w:t>
            </w:r>
          </w:p>
        </w:tc>
        <w:tc>
          <w:tcPr>
            <w:tcW w:w="1180" w:type="dxa"/>
            <w:vAlign w:val="bottom"/>
            <w:tcBorders>
              <w:right w:val="single" w:sz="8" w:color="DADADA"/>
            </w:tcBorders>
            <w:shd w:val="clear" w:color="auto" w:fill="3F000B"/>
          </w:tcPr>
          <w:p>
            <w:pPr>
              <w:jc w:val="center"/>
              <w:spacing w:after="0" w:line="148" w:lineRule="exact"/>
              <w:rPr>
                <w:sz w:val="20"/>
                <w:szCs w:val="20"/>
                <w:color w:val="auto"/>
              </w:rPr>
            </w:pPr>
            <w:r>
              <w:rPr>
                <w:rFonts w:ascii="Arial" w:cs="Arial" w:eastAsia="Arial" w:hAnsi="Arial"/>
                <w:sz w:val="13"/>
                <w:szCs w:val="13"/>
                <w:b w:val="1"/>
                <w:bCs w:val="1"/>
                <w:color w:val="FFFFFF"/>
                <w:w w:val="83"/>
              </w:rPr>
              <w:t>Benefit</w:t>
            </w:r>
            <w:r>
              <w:rPr>
                <w:rFonts w:ascii="Arial" w:cs="Arial" w:eastAsia="Arial" w:hAnsi="Arial"/>
                <w:sz w:val="16"/>
                <w:szCs w:val="16"/>
                <w:b w:val="1"/>
                <w:bCs w:val="1"/>
                <w:color w:val="FFFFFF"/>
                <w:w w:val="83"/>
                <w:vertAlign w:val="superscript"/>
              </w:rPr>
              <w:t>(2)</w:t>
            </w:r>
          </w:p>
        </w:tc>
        <w:tc>
          <w:tcPr>
            <w:tcW w:w="1200" w:type="dxa"/>
            <w:vAlign w:val="bottom"/>
            <w:tcBorders>
              <w:right w:val="single" w:sz="8" w:color="3F000B"/>
            </w:tcBorders>
            <w:shd w:val="clear" w:color="auto" w:fill="3F000B"/>
          </w:tcPr>
          <w:p>
            <w:pPr>
              <w:jc w:val="right"/>
              <w:ind w:right="357"/>
              <w:spacing w:after="0" w:line="148" w:lineRule="exact"/>
              <w:rPr>
                <w:sz w:val="20"/>
                <w:szCs w:val="20"/>
                <w:color w:val="auto"/>
              </w:rPr>
            </w:pPr>
            <w:r>
              <w:rPr>
                <w:rFonts w:ascii="Arial" w:cs="Arial" w:eastAsia="Arial" w:hAnsi="Arial"/>
                <w:sz w:val="13"/>
                <w:szCs w:val="13"/>
                <w:b w:val="1"/>
                <w:bCs w:val="1"/>
                <w:color w:val="FFFFFF"/>
              </w:rPr>
              <w:t>Total</w:t>
            </w:r>
            <w:r>
              <w:rPr>
                <w:rFonts w:ascii="Arial" w:cs="Arial" w:eastAsia="Arial" w:hAnsi="Arial"/>
                <w:sz w:val="16"/>
                <w:szCs w:val="16"/>
                <w:b w:val="1"/>
                <w:bCs w:val="1"/>
                <w:color w:val="FFFFFF"/>
                <w:vertAlign w:val="superscript"/>
              </w:rPr>
              <w:t>(3)</w:t>
            </w:r>
          </w:p>
        </w:tc>
      </w:tr>
      <w:tr>
        <w:trPr>
          <w:trHeight w:val="210"/>
        </w:trPr>
        <w:tc>
          <w:tcPr>
            <w:tcW w:w="1760" w:type="dxa"/>
            <w:vAlign w:val="bottom"/>
            <w:tcBorders>
              <w:left w:val="single" w:sz="8" w:color="3F000B"/>
              <w:bottom w:val="single" w:sz="8" w:color="3F000B"/>
              <w:right w:val="single" w:sz="8" w:color="DADADA"/>
            </w:tcBorders>
            <w:shd w:val="clear" w:color="auto" w:fill="3F000B"/>
          </w:tcPr>
          <w:p>
            <w:pPr>
              <w:ind w:left="720"/>
              <w:spacing w:after="0"/>
              <w:rPr>
                <w:sz w:val="20"/>
                <w:szCs w:val="20"/>
                <w:color w:val="auto"/>
              </w:rPr>
            </w:pPr>
            <w:r>
              <w:rPr>
                <w:rFonts w:ascii="Arial" w:cs="Arial" w:eastAsia="Arial" w:hAnsi="Arial"/>
                <w:sz w:val="13"/>
                <w:szCs w:val="13"/>
                <w:b w:val="1"/>
                <w:bCs w:val="1"/>
                <w:color w:val="FFFFFF"/>
              </w:rPr>
              <w:t>Name</w:t>
            </w:r>
          </w:p>
        </w:tc>
        <w:tc>
          <w:tcPr>
            <w:tcW w:w="118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2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2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20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w w:val="87"/>
              </w:rPr>
              <w:t>($)</w:t>
            </w:r>
          </w:p>
        </w:tc>
        <w:tc>
          <w:tcPr>
            <w:tcW w:w="118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3F000B"/>
              <w:right w:val="single" w:sz="8" w:color="3F000B"/>
            </w:tcBorders>
            <w:shd w:val="clear" w:color="auto" w:fill="3F000B"/>
          </w:tcPr>
          <w:p>
            <w:pPr>
              <w:jc w:val="right"/>
              <w:ind w:right="497"/>
              <w:spacing w:after="0"/>
              <w:rPr>
                <w:sz w:val="20"/>
                <w:szCs w:val="20"/>
                <w:color w:val="auto"/>
              </w:rPr>
            </w:pPr>
            <w:r>
              <w:rPr>
                <w:rFonts w:ascii="Arial" w:cs="Arial" w:eastAsia="Arial" w:hAnsi="Arial"/>
                <w:sz w:val="13"/>
                <w:szCs w:val="13"/>
                <w:b w:val="1"/>
                <w:bCs w:val="1"/>
                <w:color w:val="FFFFFF"/>
              </w:rPr>
              <w:t>($)</w:t>
            </w:r>
          </w:p>
        </w:tc>
      </w:tr>
      <w:tr>
        <w:trPr>
          <w:trHeight w:val="173"/>
        </w:trPr>
        <w:tc>
          <w:tcPr>
            <w:tcW w:w="17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Ms. Buck</w:t>
            </w:r>
          </w:p>
        </w:tc>
        <w:tc>
          <w:tcPr>
            <w:tcW w:w="11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1,804,086</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2,009,406</w:t>
            </w:r>
          </w:p>
        </w:tc>
        <w:tc>
          <w:tcPr>
            <w:tcW w:w="11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7,317,201</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11,130,693</w:t>
            </w:r>
          </w:p>
        </w:tc>
      </w:tr>
      <w:tr>
        <w:trPr>
          <w:trHeight w:val="30"/>
        </w:trPr>
        <w:tc>
          <w:tcPr>
            <w:tcW w:w="1760" w:type="dxa"/>
            <w:vAlign w:val="bottom"/>
            <w:tcBorders>
              <w:left w:val="single" w:sz="8" w:color="3F000B"/>
              <w:right w:val="single" w:sz="8" w:color="3F000B"/>
            </w:tcBorders>
          </w:tcPr>
          <w:p>
            <w:pPr>
              <w:spacing w:after="0"/>
              <w:rPr>
                <w:sz w:val="2"/>
                <w:szCs w:val="2"/>
                <w:color w:val="auto"/>
              </w:rPr>
            </w:pPr>
          </w:p>
        </w:tc>
        <w:tc>
          <w:tcPr>
            <w:tcW w:w="1180" w:type="dxa"/>
            <w:vAlign w:val="bottom"/>
            <w:tcBorders>
              <w:right w:val="single" w:sz="8" w:color="3F000B"/>
            </w:tcBorders>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160" w:type="dxa"/>
            <w:vAlign w:val="bottom"/>
            <w:tcBorders>
              <w:right w:val="single" w:sz="8" w:color="3F000B"/>
            </w:tcBorders>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c>
          <w:tcPr>
            <w:tcW w:w="1180" w:type="dxa"/>
            <w:vAlign w:val="bottom"/>
            <w:tcBorders>
              <w:right w:val="single" w:sz="8" w:color="3F000B"/>
            </w:tcBorders>
          </w:tcPr>
          <w:p>
            <w:pPr>
              <w:spacing w:after="0"/>
              <w:rPr>
                <w:sz w:val="2"/>
                <w:szCs w:val="2"/>
                <w:color w:val="auto"/>
              </w:rPr>
            </w:pPr>
          </w:p>
        </w:tc>
        <w:tc>
          <w:tcPr>
            <w:tcW w:w="1200" w:type="dxa"/>
            <w:vAlign w:val="bottom"/>
            <w:tcBorders>
              <w:right w:val="single" w:sz="8" w:color="3F000B"/>
            </w:tcBorders>
          </w:tcPr>
          <w:p>
            <w:pPr>
              <w:spacing w:after="0"/>
              <w:rPr>
                <w:sz w:val="2"/>
                <w:szCs w:val="2"/>
                <w:color w:val="auto"/>
              </w:rPr>
            </w:pPr>
          </w:p>
        </w:tc>
      </w:tr>
      <w:tr>
        <w:trPr>
          <w:trHeight w:val="183"/>
        </w:trPr>
        <w:tc>
          <w:tcPr>
            <w:tcW w:w="176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Voskuil</w:t>
            </w:r>
          </w:p>
        </w:tc>
        <w:tc>
          <w:tcPr>
            <w:tcW w:w="118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624,375</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1,286,721</w:t>
            </w:r>
          </w:p>
        </w:tc>
        <w:tc>
          <w:tcPr>
            <w:tcW w:w="11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714,104</w:t>
            </w:r>
          </w:p>
        </w:tc>
        <w:tc>
          <w:tcPr>
            <w:tcW w:w="11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10,549</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8,250</w:t>
            </w:r>
          </w:p>
        </w:tc>
        <w:tc>
          <w:tcPr>
            <w:tcW w:w="118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499,500</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3,143,499</w:t>
            </w:r>
          </w:p>
        </w:tc>
      </w:tr>
      <w:tr>
        <w:trPr>
          <w:trHeight w:val="194"/>
        </w:trPr>
        <w:tc>
          <w:tcPr>
            <w:tcW w:w="17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Raup</w:t>
            </w:r>
          </w:p>
        </w:tc>
        <w:tc>
          <w:tcPr>
            <w:tcW w:w="11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425,000</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413,281</w:t>
            </w:r>
          </w:p>
        </w:tc>
        <w:tc>
          <w:tcPr>
            <w:tcW w:w="11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19,113</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151,995</w:t>
            </w:r>
          </w:p>
        </w:tc>
        <w:tc>
          <w:tcPr>
            <w:tcW w:w="116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10,100</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8,250</w:t>
            </w:r>
          </w:p>
        </w:tc>
        <w:tc>
          <w:tcPr>
            <w:tcW w:w="11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340,000</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1,367,739</w:t>
            </w:r>
          </w:p>
        </w:tc>
      </w:tr>
      <w:tr>
        <w:trPr>
          <w:trHeight w:val="191"/>
        </w:trPr>
        <w:tc>
          <w:tcPr>
            <w:tcW w:w="1760" w:type="dxa"/>
            <w:vAlign w:val="bottom"/>
            <w:tcBorders>
              <w:left w:val="single" w:sz="8" w:color="3F000B"/>
              <w:bottom w:val="single" w:sz="8" w:color="DADADA"/>
              <w:right w:val="single" w:sz="8" w:color="3F000B"/>
            </w:tcBorders>
            <w:shd w:val="clear" w:color="auto" w:fill="DADADA"/>
          </w:tcPr>
          <w:p>
            <w:pPr>
              <w:ind w:left="40"/>
              <w:spacing w:after="0"/>
              <w:rPr>
                <w:sz w:val="20"/>
                <w:szCs w:val="20"/>
                <w:color w:val="auto"/>
              </w:rPr>
            </w:pPr>
            <w:r>
              <w:rPr>
                <w:rFonts w:ascii="Arial" w:cs="Arial" w:eastAsia="Arial" w:hAnsi="Arial"/>
                <w:sz w:val="13"/>
                <w:szCs w:val="13"/>
                <w:color w:val="auto"/>
              </w:rPr>
              <w:t>Mr. Reiman</w:t>
            </w:r>
          </w:p>
        </w:tc>
        <w:tc>
          <w:tcPr>
            <w:tcW w:w="118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423,225</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436,815</w:t>
            </w:r>
          </w:p>
        </w:tc>
        <w:tc>
          <w:tcPr>
            <w:tcW w:w="116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16,358</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168,253</w:t>
            </w:r>
          </w:p>
        </w:tc>
        <w:tc>
          <w:tcPr>
            <w:tcW w:w="11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3"/>
                <w:szCs w:val="13"/>
                <w:color w:val="auto"/>
              </w:rPr>
              <w:t>10,404</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8,250</w:t>
            </w:r>
          </w:p>
        </w:tc>
        <w:tc>
          <w:tcPr>
            <w:tcW w:w="118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338,580</w:t>
            </w:r>
          </w:p>
        </w:tc>
        <w:tc>
          <w:tcPr>
            <w:tcW w:w="1200" w:type="dxa"/>
            <w:vAlign w:val="bottom"/>
            <w:tcBorders>
              <w:bottom w:val="single" w:sz="8" w:color="DADADA"/>
              <w:right w:val="single" w:sz="8" w:color="3F000B"/>
            </w:tcBorders>
            <w:shd w:val="clear" w:color="auto" w:fill="DADADA"/>
          </w:tcPr>
          <w:p>
            <w:pPr>
              <w:jc w:val="right"/>
              <w:ind w:right="17"/>
              <w:spacing w:after="0"/>
              <w:rPr>
                <w:sz w:val="20"/>
                <w:szCs w:val="20"/>
                <w:color w:val="auto"/>
              </w:rPr>
            </w:pPr>
            <w:r>
              <w:rPr>
                <w:rFonts w:ascii="Arial" w:cs="Arial" w:eastAsia="Arial" w:hAnsi="Arial"/>
                <w:sz w:val="13"/>
                <w:szCs w:val="13"/>
                <w:color w:val="auto"/>
              </w:rPr>
              <w:t>1,401,885</w:t>
            </w:r>
          </w:p>
        </w:tc>
      </w:tr>
      <w:tr>
        <w:trPr>
          <w:trHeight w:val="173"/>
        </w:trPr>
        <w:tc>
          <w:tcPr>
            <w:tcW w:w="176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3"/>
                <w:szCs w:val="13"/>
                <w:color w:val="auto"/>
              </w:rPr>
              <w:t>Mr. Atkins</w:t>
            </w:r>
          </w:p>
        </w:tc>
        <w:tc>
          <w:tcPr>
            <w:tcW w:w="11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722,133</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1,027,911</w:t>
            </w:r>
          </w:p>
        </w:tc>
        <w:tc>
          <w:tcPr>
            <w:tcW w:w="116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104,274</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267,052</w:t>
            </w:r>
          </w:p>
        </w:tc>
        <w:tc>
          <w:tcPr>
            <w:tcW w:w="1160" w:type="dxa"/>
            <w:vAlign w:val="bottom"/>
            <w:tcBorders>
              <w:right w:val="single" w:sz="8" w:color="3F000B"/>
            </w:tcBorders>
          </w:tcPr>
          <w:p>
            <w:pPr>
              <w:jc w:val="right"/>
              <w:spacing w:after="0"/>
              <w:rPr>
                <w:sz w:val="20"/>
                <w:szCs w:val="20"/>
                <w:color w:val="auto"/>
              </w:rPr>
            </w:pPr>
            <w:r>
              <w:rPr>
                <w:rFonts w:ascii="Arial" w:cs="Arial" w:eastAsia="Arial" w:hAnsi="Arial"/>
                <w:sz w:val="13"/>
                <w:szCs w:val="13"/>
                <w:color w:val="auto"/>
              </w:rPr>
              <w:t>10,473</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8,250</w:t>
            </w:r>
          </w:p>
        </w:tc>
        <w:tc>
          <w:tcPr>
            <w:tcW w:w="118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444,842</w:t>
            </w:r>
          </w:p>
        </w:tc>
        <w:tc>
          <w:tcPr>
            <w:tcW w:w="1200" w:type="dxa"/>
            <w:vAlign w:val="bottom"/>
            <w:tcBorders>
              <w:right w:val="single" w:sz="8" w:color="3F000B"/>
            </w:tcBorders>
          </w:tcPr>
          <w:p>
            <w:pPr>
              <w:jc w:val="right"/>
              <w:ind w:right="17"/>
              <w:spacing w:after="0"/>
              <w:rPr>
                <w:sz w:val="20"/>
                <w:szCs w:val="20"/>
                <w:color w:val="auto"/>
              </w:rPr>
            </w:pPr>
            <w:r>
              <w:rPr>
                <w:rFonts w:ascii="Arial" w:cs="Arial" w:eastAsia="Arial" w:hAnsi="Arial"/>
                <w:sz w:val="13"/>
                <w:szCs w:val="13"/>
                <w:color w:val="auto"/>
              </w:rPr>
              <w:t>2,584,935</w:t>
            </w:r>
          </w:p>
        </w:tc>
      </w:tr>
      <w:tr>
        <w:trPr>
          <w:trHeight w:val="30"/>
        </w:trPr>
        <w:tc>
          <w:tcPr>
            <w:tcW w:w="1760" w:type="dxa"/>
            <w:vAlign w:val="bottom"/>
            <w:tcBorders>
              <w:left w:val="single" w:sz="8" w:color="3F000B"/>
              <w:bottom w:val="single" w:sz="8" w:color="3F000B"/>
              <w:right w:val="single" w:sz="8" w:color="3F000B"/>
            </w:tcBorders>
          </w:tcPr>
          <w:p>
            <w:pPr>
              <w:spacing w:after="0"/>
              <w:rPr>
                <w:sz w:val="2"/>
                <w:szCs w:val="2"/>
                <w:color w:val="auto"/>
              </w:rPr>
            </w:pPr>
          </w:p>
        </w:tc>
        <w:tc>
          <w:tcPr>
            <w:tcW w:w="1180" w:type="dxa"/>
            <w:vAlign w:val="bottom"/>
            <w:tcBorders>
              <w:bottom w:val="single" w:sz="8" w:color="3F000B"/>
              <w:right w:val="single" w:sz="8" w:color="3F000B"/>
            </w:tcBorders>
          </w:tcPr>
          <w:p>
            <w:pPr>
              <w:spacing w:after="0"/>
              <w:rPr>
                <w:sz w:val="2"/>
                <w:szCs w:val="2"/>
                <w:color w:val="auto"/>
              </w:rPr>
            </w:pPr>
          </w:p>
        </w:tc>
        <w:tc>
          <w:tcPr>
            <w:tcW w:w="120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1200" w:type="dxa"/>
            <w:vAlign w:val="bottom"/>
            <w:tcBorders>
              <w:bottom w:val="single" w:sz="8" w:color="3F000B"/>
              <w:right w:val="single" w:sz="8" w:color="3F000B"/>
            </w:tcBorders>
          </w:tcPr>
          <w:p>
            <w:pPr>
              <w:spacing w:after="0"/>
              <w:rPr>
                <w:sz w:val="2"/>
                <w:szCs w:val="2"/>
                <w:color w:val="auto"/>
              </w:rPr>
            </w:pPr>
          </w:p>
        </w:tc>
        <w:tc>
          <w:tcPr>
            <w:tcW w:w="1160" w:type="dxa"/>
            <w:vAlign w:val="bottom"/>
            <w:tcBorders>
              <w:bottom w:val="single" w:sz="8" w:color="3F000B"/>
              <w:right w:val="single" w:sz="8" w:color="3F000B"/>
            </w:tcBorders>
          </w:tcPr>
          <w:p>
            <w:pPr>
              <w:spacing w:after="0"/>
              <w:rPr>
                <w:sz w:val="2"/>
                <w:szCs w:val="2"/>
                <w:color w:val="auto"/>
              </w:rPr>
            </w:pPr>
          </w:p>
        </w:tc>
        <w:tc>
          <w:tcPr>
            <w:tcW w:w="1200" w:type="dxa"/>
            <w:vAlign w:val="bottom"/>
            <w:tcBorders>
              <w:bottom w:val="single" w:sz="8" w:color="3F000B"/>
              <w:right w:val="single" w:sz="8" w:color="3F000B"/>
            </w:tcBorders>
          </w:tcPr>
          <w:p>
            <w:pPr>
              <w:spacing w:after="0"/>
              <w:rPr>
                <w:sz w:val="2"/>
                <w:szCs w:val="2"/>
                <w:color w:val="auto"/>
              </w:rPr>
            </w:pPr>
          </w:p>
        </w:tc>
        <w:tc>
          <w:tcPr>
            <w:tcW w:w="1180" w:type="dxa"/>
            <w:vAlign w:val="bottom"/>
            <w:tcBorders>
              <w:bottom w:val="single" w:sz="8" w:color="3F000B"/>
              <w:right w:val="single" w:sz="8" w:color="3F000B"/>
            </w:tcBorders>
          </w:tcPr>
          <w:p>
            <w:pPr>
              <w:spacing w:after="0"/>
              <w:rPr>
                <w:sz w:val="2"/>
                <w:szCs w:val="2"/>
                <w:color w:val="auto"/>
              </w:rPr>
            </w:pPr>
          </w:p>
        </w:tc>
        <w:tc>
          <w:tcPr>
            <w:tcW w:w="1200" w:type="dxa"/>
            <w:vAlign w:val="bottom"/>
            <w:tcBorders>
              <w:bottom w:val="single" w:sz="8" w:color="3F000B"/>
              <w:right w:val="single" w:sz="8" w:color="3F000B"/>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ind w:left="320" w:hanging="312"/>
        <w:spacing w:after="0"/>
        <w:tabs>
          <w:tab w:leader="none" w:pos="3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Amounts reflect vesting of PSUs awarded as described in footnote (2) to the Change in Control table.</w:t>
      </w:r>
    </w:p>
    <w:p>
      <w:pPr>
        <w:spacing w:after="0" w:line="109" w:lineRule="exact"/>
        <w:rPr>
          <w:rFonts w:ascii="Arial" w:cs="Arial" w:eastAsia="Arial" w:hAnsi="Arial"/>
          <w:sz w:val="14"/>
          <w:szCs w:val="14"/>
          <w:color w:val="auto"/>
        </w:rPr>
      </w:pPr>
    </w:p>
    <w:p>
      <w:pPr>
        <w:ind w:left="340" w:right="60" w:hanging="332"/>
        <w:spacing w:after="0" w:line="252"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For Ms. Buck, this value reflects the amounts of enhanced DB SERP, 401(k) Match and Supplemental 401(k) Match over a 24-month period. For Messrs. Atkins, Raup and Voskuil, the value reflects the amounts of enhanced DC SERP, CRC, Supplemental CRC, 401(k) Match and Supplemental 401(k) Match that would have been paid had they remained employees for 24 months after their termination. For Mr. Reiman, the value reflects the amounts of enhanced DC SERP, pension plan credits, 401(k) Match and Supplemental 401(k) Match that would have been paid had he remained an employee for 24 months after his termination.</w:t>
      </w:r>
    </w:p>
    <w:p>
      <w:pPr>
        <w:spacing w:after="0" w:line="79" w:lineRule="exact"/>
        <w:rPr>
          <w:rFonts w:ascii="Arial" w:cs="Arial" w:eastAsia="Arial" w:hAnsi="Arial"/>
          <w:sz w:val="14"/>
          <w:szCs w:val="14"/>
          <w:color w:val="auto"/>
        </w:rPr>
      </w:pPr>
    </w:p>
    <w:p>
      <w:pPr>
        <w:ind w:left="340" w:right="20" w:hanging="332"/>
        <w:spacing w:after="0" w:line="273" w:lineRule="auto"/>
        <w:tabs>
          <w:tab w:leader="none" w:pos="332" w:val="left"/>
        </w:tabs>
        <w:numPr>
          <w:ilvl w:val="0"/>
          <w:numId w:val="167"/>
        </w:numPr>
        <w:rPr>
          <w:rFonts w:ascii="Arial" w:cs="Arial" w:eastAsia="Arial" w:hAnsi="Arial"/>
          <w:sz w:val="14"/>
          <w:szCs w:val="14"/>
          <w:color w:val="auto"/>
        </w:rPr>
      </w:pPr>
      <w:r>
        <w:rPr>
          <w:rFonts w:ascii="Arial" w:cs="Arial" w:eastAsia="Arial" w:hAnsi="Arial"/>
          <w:sz w:val="14"/>
          <w:szCs w:val="14"/>
          <w:color w:val="auto"/>
        </w:rPr>
        <w:t>For any given executive the total payments made in the event of termination after a Change in Control would be reduced to the “safe harbor” limit under IRC Section 280G if such reduction would result in a greater after-tax benefit for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949" w:right="35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3F000B"/>
        </w:rPr>
        <w:t>Separation Payments under Confidential Separation Agreement and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4000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00040" cy="8890"/>
                    </a:xfrm>
                    <a:prstGeom prst="rect">
                      <a:avLst/>
                    </a:prstGeom>
                    <a:noFill/>
                  </pic:spPr>
                </pic:pic>
              </a:graphicData>
            </a:graphic>
          </wp:anchor>
        </w:drawing>
      </w:r>
    </w:p>
    <w:p>
      <w:pPr>
        <w:spacing w:after="0" w:line="19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On December 18, 2019, we announced that Mr. Walling, then Senior Vice President, Chief Human Resources Officer, had informed the Company of his intention to retire effective in early 2020. In connection with his retirement, Mr. Walling entered into a Confidential Separation Agreement and General Release pursuant to which he received or will receive certain payments and benefits, including the following:</w:t>
      </w:r>
    </w:p>
    <w:p>
      <w:pPr>
        <w:spacing w:after="0" w:line="57" w:lineRule="exact"/>
        <w:rPr>
          <w:sz w:val="20"/>
          <w:szCs w:val="20"/>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lump sum cash separation payment equal to $798,120;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Payment of his 2020 OHIP award ($398,827) and eligibility to receive a pro rata 2021 OHIP award, depending on Company performance;</w:t>
      </w:r>
    </w:p>
    <w:p>
      <w:pPr>
        <w:spacing w:after="0" w:line="74"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Retirement treatment for stock options, RSUs and PSUs, which resulted in accelerated vesting of 12,030 stock options, accelerated vesting and distribution of 3,655 RSUs and a non-forfeitable right to receive 10,368 contingent target PSUs;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Health and welfare benefit continuation for 18 months;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lump sum distribution of vested amounts under the Deferred Compensation Plan, including the DC SERP, equal to $5,893,655;</w:t>
      </w:r>
    </w:p>
    <w:p>
      <w:pPr>
        <w:spacing w:after="0" w:line="63"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Reimbursement for financial counseling and tax preparation for a maximum of 18 months following his separation (maximum reimbursement of $15,000 for financial counseling and $1,500 for tax preparation in 2020 and $10,000 for financial counseling and $1,000 for tax preparation in 2021);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Outplacement services equal to $35,000.</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Under the terms of the Confidential Separation Agreement and General Release, Mr. Walling remains subject to all of the terms and conditions of his ECRCA with the Company, dated as of March 21, 2013, that survive the termination of his employment with the Company. In consideration of the payments and benefits provided to Mr. Walling under the Confidential Separation Agreement and General Release, he executed a release of all claims against the Company.</w:t>
      </w:r>
    </w:p>
    <w:p>
      <w:pPr>
        <w:spacing w:after="0" w:line="13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Also on December 18, 2019, we announced that Ms. West, then Senior Vice President, Chief Growth Officer, would be retiring effective February 29, 2020. In connection with her retirement, Ms. West entered into a Confidential Separation Agreement and General Release pursuant to which she received or will receive certain payments and benefits, including the following:</w:t>
      </w:r>
    </w:p>
    <w:p>
      <w:pPr>
        <w:spacing w:after="0" w:line="76"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lump sum cash separation payment equal to $1,054,530;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Payment of her 2020 OHIP award ($602,237) and eligibility to receive a pro rata 2021 OHIP award, depending on Company performance;</w:t>
      </w:r>
    </w:p>
    <w:p>
      <w:pPr>
        <w:spacing w:after="0" w:line="74" w:lineRule="exact"/>
        <w:rPr>
          <w:rFonts w:ascii="Arial" w:cs="Arial" w:eastAsia="Arial" w:hAnsi="Arial"/>
          <w:sz w:val="17"/>
          <w:szCs w:val="17"/>
          <w:color w:val="auto"/>
        </w:rPr>
      </w:pPr>
    </w:p>
    <w:p>
      <w:pPr>
        <w:ind w:left="660" w:right="800" w:hanging="328"/>
        <w:spacing w:after="0" w:line="277"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Pro-rated vesting for stock options and RSUs, which resulted in accelerated vesting of 21,218 stock options and accelerated vesting and distribution of 17,460 RSUs;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Health and welfare benefit continuation for 18 months;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lump sum distribution of vested amounts under the Deferred Compensation Plan, equal to $175,675;</w:t>
      </w:r>
    </w:p>
    <w:p>
      <w:pPr>
        <w:spacing w:after="0" w:line="63"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Reimbursement for financial counseling and tax preparation for a maximum of 18 months following her separation (maximum reimbursement of $15,000 for financial counseling and $1,500 for tax preparation in 2020 and $10,000 for financial counseling and $1,000 for tax preparation in 2021);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Outplacement services equal to $35,000.</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Under the terms of the Confidential Separation Agreement and General Release, Ms. West remains subject to all of the terms and conditions of her ECRCA with the Company, dated as of May 1, 2017, that survive the termination of her employment with the Company. In consideration of the payments and benefits provided to Ms. West under the Confidential Separation Agreement and General Release, she executed a release of all claims against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1940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94050" cy="8255"/>
                    </a:xfrm>
                    <a:prstGeom prst="rect">
                      <a:avLst/>
                    </a:prstGeom>
                    <a:noFill/>
                  </pic:spPr>
                </pic:pic>
              </a:graphicData>
            </a:graphic>
          </wp:anchor>
        </w:drawing>
      </w:r>
    </w:p>
    <w:p>
      <w:pPr>
        <w:spacing w:after="0" w:line="14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annual total compensation of our CEO for fiscal year 2020 was $19,115,059. The median of the annual total compensation for all employees, excluding the CEO, for fiscal year 2020 was $30,322. As a result, we estimate that the ratio of the annual total compensation of our CEO to the annual total compensation of the median employee for fiscal year 2020 was 630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111" w:right="359" w:bottom="1440" w:gutter="0" w:footer="0" w:header="0"/>
        </w:sectPr>
      </w:pPr>
    </w:p>
    <w:bookmarkStart w:id="87" w:name="page88"/>
    <w:bookmarkEnd w:id="87"/>
    <w:p>
      <w:pPr>
        <w:spacing w:after="0" w:line="255" w:lineRule="auto"/>
        <w:rPr>
          <w:sz w:val="20"/>
          <w:szCs w:val="20"/>
          <w:color w:val="auto"/>
        </w:rPr>
      </w:pPr>
      <w:r>
        <w:rPr>
          <w:rFonts w:ascii="Arial" w:cs="Arial" w:eastAsia="Arial" w:hAnsi="Arial"/>
          <w:sz w:val="18"/>
          <w:szCs w:val="18"/>
          <w:color w:val="auto"/>
        </w:rPr>
        <w:t>We believe there have been no changes to our employee population and compensation arrangements (including the compensation arrangements of the median employee used in fiscal 2019) that we believe would result in a significant change to our pay ratio. Accordingly, as permitted under SEC rules, we are using the same median employee for the pay ratio for fiscal year 2020. We identified the median employee using base salary, including overtime, earned in the first nine months of 2019 for all employees, excluding our CEO, as of October 8, 2019, the second Tuesday in October in 2019. We calculated annual total compensation for the median employee using the same methodology used for calculating the total compensation of our NEOs as set forth in the 2020 Summary Compensation Table.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34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34435"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all of the Company’s equity compensation plans as of December 31, 2020:</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819"/>
        </w:trPr>
        <w:tc>
          <w:tcPr>
            <w:tcW w:w="3740" w:type="dxa"/>
            <w:vAlign w:val="bottom"/>
            <w:tcBorders>
              <w:top w:val="single" w:sz="8" w:color="3F000B"/>
              <w:left w:val="single" w:sz="8" w:color="542121"/>
              <w:right w:val="single" w:sz="8" w:color="3F000B"/>
            </w:tcBorders>
            <w:shd w:val="clear" w:color="auto" w:fill="3F000B"/>
          </w:tcPr>
          <w:p>
            <w:pPr>
              <w:spacing w:after="0"/>
              <w:rPr>
                <w:sz w:val="24"/>
                <w:szCs w:val="24"/>
                <w:color w:val="auto"/>
              </w:rPr>
            </w:pPr>
          </w:p>
        </w:tc>
        <w:tc>
          <w:tcPr>
            <w:tcW w:w="2560" w:type="dxa"/>
            <w:vAlign w:val="bottom"/>
            <w:tcBorders>
              <w:top w:val="single" w:sz="8" w:color="3F000B"/>
              <w:right w:val="single" w:sz="8" w:color="DADADA"/>
            </w:tcBorders>
            <w:shd w:val="clear" w:color="auto" w:fill="3F000B"/>
          </w:tcPr>
          <w:p>
            <w:pPr>
              <w:spacing w:after="0"/>
              <w:rPr>
                <w:sz w:val="24"/>
                <w:szCs w:val="24"/>
                <w:color w:val="auto"/>
              </w:rPr>
            </w:pPr>
          </w:p>
        </w:tc>
        <w:tc>
          <w:tcPr>
            <w:tcW w:w="2360" w:type="dxa"/>
            <w:vAlign w:val="bottom"/>
            <w:tcBorders>
              <w:top w:val="single" w:sz="8" w:color="3F000B"/>
              <w:right w:val="single" w:sz="8" w:color="DADADA"/>
            </w:tcBorders>
            <w:shd w:val="clear" w:color="auto" w:fill="3F000B"/>
          </w:tcPr>
          <w:p>
            <w:pPr>
              <w:spacing w:after="0"/>
              <w:rPr>
                <w:sz w:val="24"/>
                <w:szCs w:val="24"/>
                <w:color w:val="auto"/>
              </w:rPr>
            </w:pPr>
          </w:p>
        </w:tc>
        <w:tc>
          <w:tcPr>
            <w:tcW w:w="2560" w:type="dxa"/>
            <w:vAlign w:val="bottom"/>
            <w:tcBorders>
              <w:top w:val="single" w:sz="8" w:color="3F000B"/>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Number of securities remaining</w:t>
            </w:r>
          </w:p>
        </w:tc>
      </w:tr>
      <w:tr>
        <w:trPr>
          <w:trHeight w:val="216"/>
        </w:trPr>
        <w:tc>
          <w:tcPr>
            <w:tcW w:w="3740" w:type="dxa"/>
            <w:vAlign w:val="bottom"/>
            <w:tcBorders>
              <w:left w:val="single" w:sz="8" w:color="542121"/>
              <w:right w:val="single" w:sz="8" w:color="3F000B"/>
            </w:tcBorders>
            <w:shd w:val="clear" w:color="auto" w:fill="3F000B"/>
          </w:tcPr>
          <w:p>
            <w:pPr>
              <w:spacing w:after="0"/>
              <w:rPr>
                <w:sz w:val="18"/>
                <w:szCs w:val="18"/>
                <w:color w:val="auto"/>
              </w:rPr>
            </w:pPr>
          </w:p>
        </w:tc>
        <w:tc>
          <w:tcPr>
            <w:tcW w:w="25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Number of securities to be</w:t>
            </w:r>
          </w:p>
        </w:tc>
        <w:tc>
          <w:tcPr>
            <w:tcW w:w="2360" w:type="dxa"/>
            <w:vAlign w:val="bottom"/>
            <w:tcBorders>
              <w:right w:val="single" w:sz="8" w:color="DADADA"/>
            </w:tcBorders>
            <w:shd w:val="clear" w:color="auto" w:fill="3F000B"/>
          </w:tcPr>
          <w:p>
            <w:pPr>
              <w:spacing w:after="0"/>
              <w:rPr>
                <w:sz w:val="18"/>
                <w:szCs w:val="18"/>
                <w:color w:val="auto"/>
              </w:rPr>
            </w:pPr>
          </w:p>
        </w:tc>
        <w:tc>
          <w:tcPr>
            <w:tcW w:w="256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available for future issuance</w:t>
            </w:r>
          </w:p>
        </w:tc>
      </w:tr>
      <w:tr>
        <w:trPr>
          <w:trHeight w:val="216"/>
        </w:trPr>
        <w:tc>
          <w:tcPr>
            <w:tcW w:w="3740" w:type="dxa"/>
            <w:vAlign w:val="bottom"/>
            <w:tcBorders>
              <w:left w:val="single" w:sz="8" w:color="542121"/>
              <w:right w:val="single" w:sz="8" w:color="3F000B"/>
            </w:tcBorders>
            <w:shd w:val="clear" w:color="auto" w:fill="3F000B"/>
          </w:tcPr>
          <w:p>
            <w:pPr>
              <w:spacing w:after="0"/>
              <w:rPr>
                <w:sz w:val="18"/>
                <w:szCs w:val="18"/>
                <w:color w:val="auto"/>
              </w:rPr>
            </w:pPr>
          </w:p>
        </w:tc>
        <w:tc>
          <w:tcPr>
            <w:tcW w:w="25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4"/>
              </w:rPr>
              <w:t>issued upon exercise of</w:t>
            </w:r>
          </w:p>
        </w:tc>
        <w:tc>
          <w:tcPr>
            <w:tcW w:w="23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Weighted-average exercise</w:t>
            </w:r>
          </w:p>
        </w:tc>
        <w:tc>
          <w:tcPr>
            <w:tcW w:w="256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8"/>
              </w:rPr>
              <w:t>under equity compensation</w:t>
            </w:r>
          </w:p>
        </w:tc>
      </w:tr>
      <w:tr>
        <w:trPr>
          <w:trHeight w:val="216"/>
        </w:trPr>
        <w:tc>
          <w:tcPr>
            <w:tcW w:w="3740" w:type="dxa"/>
            <w:vAlign w:val="bottom"/>
            <w:tcBorders>
              <w:left w:val="single" w:sz="8" w:color="542121"/>
              <w:right w:val="single" w:sz="8" w:color="3F000B"/>
            </w:tcBorders>
            <w:shd w:val="clear" w:color="auto" w:fill="3F000B"/>
          </w:tcPr>
          <w:p>
            <w:pPr>
              <w:spacing w:after="0"/>
              <w:rPr>
                <w:sz w:val="18"/>
                <w:szCs w:val="18"/>
                <w:color w:val="auto"/>
              </w:rPr>
            </w:pPr>
          </w:p>
        </w:tc>
        <w:tc>
          <w:tcPr>
            <w:tcW w:w="25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9"/>
              </w:rPr>
              <w:t>outstanding options, warrants</w:t>
            </w:r>
          </w:p>
        </w:tc>
        <w:tc>
          <w:tcPr>
            <w:tcW w:w="23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price of outstanding options,</w:t>
            </w:r>
          </w:p>
        </w:tc>
        <w:tc>
          <w:tcPr>
            <w:tcW w:w="256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87"/>
              </w:rPr>
              <w:t>plans (excluding securities</w:t>
            </w:r>
          </w:p>
        </w:tc>
      </w:tr>
      <w:tr>
        <w:trPr>
          <w:trHeight w:val="216"/>
        </w:trPr>
        <w:tc>
          <w:tcPr>
            <w:tcW w:w="3740" w:type="dxa"/>
            <w:vAlign w:val="bottom"/>
            <w:tcBorders>
              <w:left w:val="single" w:sz="8" w:color="542121"/>
              <w:right w:val="single" w:sz="8" w:color="3F000B"/>
            </w:tcBorders>
            <w:shd w:val="clear" w:color="auto" w:fill="3F000B"/>
          </w:tcPr>
          <w:p>
            <w:pPr>
              <w:spacing w:after="0"/>
              <w:rPr>
                <w:sz w:val="18"/>
                <w:szCs w:val="18"/>
                <w:color w:val="auto"/>
              </w:rPr>
            </w:pPr>
          </w:p>
        </w:tc>
        <w:tc>
          <w:tcPr>
            <w:tcW w:w="2560" w:type="dxa"/>
            <w:vAlign w:val="bottom"/>
            <w:tcBorders>
              <w:right w:val="single" w:sz="8" w:color="DADADA"/>
            </w:tcBorders>
            <w:shd w:val="clear" w:color="auto" w:fill="3F000B"/>
          </w:tcPr>
          <w:p>
            <w:pPr>
              <w:jc w:val="right"/>
              <w:ind w:right="830"/>
              <w:spacing w:after="0"/>
              <w:rPr>
                <w:sz w:val="20"/>
                <w:szCs w:val="20"/>
                <w:color w:val="auto"/>
              </w:rPr>
            </w:pPr>
            <w:r>
              <w:rPr>
                <w:rFonts w:ascii="Arial" w:cs="Arial" w:eastAsia="Arial" w:hAnsi="Arial"/>
                <w:sz w:val="18"/>
                <w:szCs w:val="18"/>
                <w:b w:val="1"/>
                <w:bCs w:val="1"/>
                <w:color w:val="FFFFFF"/>
              </w:rPr>
              <w:t>and rights</w:t>
            </w:r>
          </w:p>
        </w:tc>
        <w:tc>
          <w:tcPr>
            <w:tcW w:w="23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warrants and rights</w:t>
            </w:r>
          </w:p>
        </w:tc>
        <w:tc>
          <w:tcPr>
            <w:tcW w:w="2560" w:type="dxa"/>
            <w:vAlign w:val="bottom"/>
            <w:tcBorders>
              <w:right w:val="single" w:sz="8" w:color="542121"/>
            </w:tcBorders>
            <w:shd w:val="clear" w:color="auto" w:fill="3F000B"/>
          </w:tcPr>
          <w:p>
            <w:pPr>
              <w:jc w:val="right"/>
              <w:ind w:right="330"/>
              <w:spacing w:after="0"/>
              <w:rPr>
                <w:sz w:val="20"/>
                <w:szCs w:val="20"/>
                <w:color w:val="auto"/>
              </w:rPr>
            </w:pPr>
            <w:r>
              <w:rPr>
                <w:rFonts w:ascii="Arial" w:cs="Arial" w:eastAsia="Arial" w:hAnsi="Arial"/>
                <w:sz w:val="18"/>
                <w:szCs w:val="18"/>
                <w:b w:val="1"/>
                <w:bCs w:val="1"/>
                <w:color w:val="FFFFFF"/>
              </w:rPr>
              <w:t>reflected in column (a))</w:t>
            </w:r>
          </w:p>
        </w:tc>
      </w:tr>
      <w:tr>
        <w:trPr>
          <w:trHeight w:val="234"/>
        </w:trPr>
        <w:tc>
          <w:tcPr>
            <w:tcW w:w="3740" w:type="dxa"/>
            <w:vAlign w:val="bottom"/>
            <w:tcBorders>
              <w:left w:val="single" w:sz="8" w:color="542121"/>
              <w:right w:val="single" w:sz="8" w:color="3F000B"/>
            </w:tcBorders>
            <w:shd w:val="clear" w:color="auto" w:fill="3F000B"/>
          </w:tcPr>
          <w:p>
            <w:pPr>
              <w:spacing w:after="0"/>
              <w:rPr>
                <w:sz w:val="20"/>
                <w:szCs w:val="20"/>
                <w:color w:val="auto"/>
              </w:rPr>
            </w:pPr>
          </w:p>
        </w:tc>
        <w:tc>
          <w:tcPr>
            <w:tcW w:w="25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2360" w:type="dxa"/>
            <w:vAlign w:val="bottom"/>
            <w:tcBorders>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w:t>
            </w:r>
          </w:p>
        </w:tc>
        <w:tc>
          <w:tcPr>
            <w:tcW w:w="2560" w:type="dxa"/>
            <w:vAlign w:val="bottom"/>
            <w:tcBorders>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w:t>
            </w:r>
          </w:p>
        </w:tc>
      </w:tr>
      <w:tr>
        <w:trPr>
          <w:trHeight w:val="34"/>
        </w:trPr>
        <w:tc>
          <w:tcPr>
            <w:tcW w:w="3740" w:type="dxa"/>
            <w:vAlign w:val="bottom"/>
            <w:tcBorders>
              <w:left w:val="single" w:sz="8" w:color="542121"/>
              <w:right w:val="single" w:sz="8" w:color="3F000B"/>
            </w:tcBorders>
            <w:shd w:val="clear" w:color="auto" w:fill="3F000B"/>
          </w:tcPr>
          <w:p>
            <w:pPr>
              <w:spacing w:after="0"/>
              <w:rPr>
                <w:sz w:val="2"/>
                <w:szCs w:val="2"/>
                <w:color w:val="auto"/>
              </w:rPr>
            </w:pPr>
          </w:p>
        </w:tc>
        <w:tc>
          <w:tcPr>
            <w:tcW w:w="2560" w:type="dxa"/>
            <w:vAlign w:val="bottom"/>
            <w:tcBorders>
              <w:right w:val="single" w:sz="8" w:color="DADADA"/>
            </w:tcBorders>
            <w:shd w:val="clear" w:color="auto" w:fill="3F000B"/>
          </w:tcPr>
          <w:p>
            <w:pPr>
              <w:spacing w:after="0"/>
              <w:rPr>
                <w:sz w:val="2"/>
                <w:szCs w:val="2"/>
                <w:color w:val="auto"/>
              </w:rPr>
            </w:pPr>
          </w:p>
        </w:tc>
        <w:tc>
          <w:tcPr>
            <w:tcW w:w="2360" w:type="dxa"/>
            <w:vAlign w:val="bottom"/>
            <w:tcBorders>
              <w:right w:val="single" w:sz="8" w:color="DADADA"/>
            </w:tcBorders>
            <w:shd w:val="clear" w:color="auto" w:fill="3F000B"/>
          </w:tcPr>
          <w:p>
            <w:pPr>
              <w:spacing w:after="0"/>
              <w:rPr>
                <w:sz w:val="2"/>
                <w:szCs w:val="2"/>
                <w:color w:val="auto"/>
              </w:rPr>
            </w:pPr>
          </w:p>
        </w:tc>
        <w:tc>
          <w:tcPr>
            <w:tcW w:w="2560" w:type="dxa"/>
            <w:vAlign w:val="bottom"/>
            <w:tcBorders>
              <w:right w:val="single" w:sz="8" w:color="542121"/>
            </w:tcBorders>
            <w:shd w:val="clear" w:color="auto" w:fill="3F000B"/>
          </w:tcPr>
          <w:p>
            <w:pPr>
              <w:spacing w:after="0"/>
              <w:rPr>
                <w:sz w:val="2"/>
                <w:szCs w:val="2"/>
                <w:color w:val="auto"/>
              </w:rPr>
            </w:pPr>
          </w:p>
        </w:tc>
      </w:tr>
      <w:tr>
        <w:trPr>
          <w:trHeight w:val="282"/>
        </w:trPr>
        <w:tc>
          <w:tcPr>
            <w:tcW w:w="3740" w:type="dxa"/>
            <w:vAlign w:val="bottom"/>
            <w:tcBorders>
              <w:left w:val="single" w:sz="8" w:color="542121"/>
              <w:bottom w:val="single" w:sz="8" w:color="3F000B"/>
              <w:right w:val="single" w:sz="8" w:color="3F000B"/>
            </w:tcBorders>
            <w:shd w:val="clear" w:color="auto" w:fill="3F000B"/>
          </w:tcPr>
          <w:p>
            <w:pPr>
              <w:ind w:left="1320"/>
              <w:spacing w:after="0"/>
              <w:rPr>
                <w:sz w:val="20"/>
                <w:szCs w:val="20"/>
                <w:color w:val="auto"/>
              </w:rPr>
            </w:pPr>
            <w:r>
              <w:rPr>
                <w:rFonts w:ascii="Arial" w:cs="Arial" w:eastAsia="Arial" w:hAnsi="Arial"/>
                <w:sz w:val="18"/>
                <w:szCs w:val="18"/>
                <w:b w:val="1"/>
                <w:bCs w:val="1"/>
                <w:color w:val="FFFFFF"/>
              </w:rPr>
              <w:t>Plan Category</w:t>
            </w:r>
          </w:p>
        </w:tc>
        <w:tc>
          <w:tcPr>
            <w:tcW w:w="25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9"/>
              </w:rPr>
              <w:t>(a)</w:t>
            </w:r>
          </w:p>
        </w:tc>
        <w:tc>
          <w:tcPr>
            <w:tcW w:w="2360" w:type="dxa"/>
            <w:vAlign w:val="bottom"/>
            <w:tcBorders>
              <w:bottom w:val="single" w:sz="8" w:color="3F000B"/>
              <w:right w:val="single" w:sz="8" w:color="DADADA"/>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5"/>
              </w:rPr>
              <w:t>(b)</w:t>
            </w:r>
          </w:p>
        </w:tc>
        <w:tc>
          <w:tcPr>
            <w:tcW w:w="2560" w:type="dxa"/>
            <w:vAlign w:val="bottom"/>
            <w:tcBorders>
              <w:bottom w:val="single" w:sz="8" w:color="3F000B"/>
              <w:right w:val="single" w:sz="8" w:color="542121"/>
            </w:tcBorders>
            <w:shd w:val="clear" w:color="auto" w:fill="3F000B"/>
          </w:tcPr>
          <w:p>
            <w:pPr>
              <w:jc w:val="center"/>
              <w:spacing w:after="0"/>
              <w:rPr>
                <w:sz w:val="20"/>
                <w:szCs w:val="20"/>
                <w:color w:val="auto"/>
              </w:rPr>
            </w:pPr>
            <w:r>
              <w:rPr>
                <w:rFonts w:ascii="Arial" w:cs="Arial" w:eastAsia="Arial" w:hAnsi="Arial"/>
                <w:sz w:val="18"/>
                <w:szCs w:val="18"/>
                <w:b w:val="1"/>
                <w:bCs w:val="1"/>
                <w:color w:val="FFFFFF"/>
                <w:w w:val="90"/>
              </w:rPr>
              <w:t>(c)</w:t>
            </w:r>
          </w:p>
        </w:tc>
      </w:tr>
      <w:tr>
        <w:trPr>
          <w:trHeight w:val="217"/>
        </w:trPr>
        <w:tc>
          <w:tcPr>
            <w:tcW w:w="3740" w:type="dxa"/>
            <w:vAlign w:val="bottom"/>
            <w:tcBorders>
              <w:top w:val="single" w:sz="8" w:color="3F000B"/>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w w:val="94"/>
              </w:rPr>
              <w:t>Equity compensation plans approved by security</w:t>
            </w:r>
          </w:p>
        </w:tc>
        <w:tc>
          <w:tcPr>
            <w:tcW w:w="2560" w:type="dxa"/>
            <w:vAlign w:val="bottom"/>
            <w:tcBorders>
              <w:top w:val="single" w:sz="8" w:color="3F000B"/>
              <w:right w:val="single" w:sz="8" w:color="3F000B"/>
            </w:tcBorders>
          </w:tcPr>
          <w:p>
            <w:pPr>
              <w:spacing w:after="0"/>
              <w:rPr>
                <w:sz w:val="18"/>
                <w:szCs w:val="18"/>
                <w:color w:val="auto"/>
              </w:rPr>
            </w:pPr>
          </w:p>
        </w:tc>
        <w:tc>
          <w:tcPr>
            <w:tcW w:w="2360" w:type="dxa"/>
            <w:vAlign w:val="bottom"/>
            <w:tcBorders>
              <w:top w:val="single" w:sz="8" w:color="3F000B"/>
              <w:right w:val="single" w:sz="8" w:color="3F000B"/>
            </w:tcBorders>
          </w:tcPr>
          <w:p>
            <w:pPr>
              <w:spacing w:after="0"/>
              <w:rPr>
                <w:sz w:val="18"/>
                <w:szCs w:val="18"/>
                <w:color w:val="auto"/>
              </w:rPr>
            </w:pPr>
          </w:p>
        </w:tc>
        <w:tc>
          <w:tcPr>
            <w:tcW w:w="2560" w:type="dxa"/>
            <w:vAlign w:val="bottom"/>
            <w:tcBorders>
              <w:top w:val="single" w:sz="8" w:color="3F000B"/>
              <w:right w:val="single" w:sz="8" w:color="3F000B"/>
            </w:tcBorders>
          </w:tcPr>
          <w:p>
            <w:pPr>
              <w:spacing w:after="0"/>
              <w:rPr>
                <w:sz w:val="18"/>
                <w:szCs w:val="18"/>
                <w:color w:val="auto"/>
              </w:rPr>
            </w:pPr>
          </w:p>
        </w:tc>
      </w:tr>
      <w:tr>
        <w:trPr>
          <w:trHeight w:val="263"/>
        </w:trPr>
        <w:tc>
          <w:tcPr>
            <w:tcW w:w="3740" w:type="dxa"/>
            <w:vAlign w:val="bottom"/>
            <w:tcBorders>
              <w:left w:val="single" w:sz="8" w:color="3F000B"/>
              <w:right w:val="single" w:sz="8" w:color="3F000B"/>
            </w:tcBorders>
          </w:tcPr>
          <w:p>
            <w:pPr>
              <w:ind w:left="40"/>
              <w:spacing w:after="0" w:line="263" w:lineRule="exact"/>
              <w:rPr>
                <w:sz w:val="20"/>
                <w:szCs w:val="20"/>
                <w:color w:val="auto"/>
              </w:rPr>
            </w:pPr>
            <w:r>
              <w:rPr>
                <w:rFonts w:ascii="Arial" w:cs="Arial" w:eastAsia="Arial" w:hAnsi="Arial"/>
                <w:sz w:val="18"/>
                <w:szCs w:val="18"/>
                <w:color w:val="auto"/>
              </w:rPr>
              <w:t>holders</w:t>
            </w:r>
            <w:r>
              <w:rPr>
                <w:rFonts w:ascii="Arial" w:cs="Arial" w:eastAsia="Arial" w:hAnsi="Arial"/>
                <w:sz w:val="23"/>
                <w:szCs w:val="23"/>
                <w:color w:val="auto"/>
                <w:vertAlign w:val="superscript"/>
              </w:rPr>
              <w:t>(1)</w:t>
            </w:r>
          </w:p>
        </w:tc>
        <w:tc>
          <w:tcPr>
            <w:tcW w:w="2560" w:type="dxa"/>
            <w:vAlign w:val="bottom"/>
            <w:tcBorders>
              <w:right w:val="single" w:sz="8" w:color="3F000B"/>
            </w:tcBorders>
          </w:tcPr>
          <w:p>
            <w:pPr>
              <w:spacing w:after="0"/>
              <w:rPr>
                <w:sz w:val="22"/>
                <w:szCs w:val="22"/>
                <w:color w:val="auto"/>
              </w:rPr>
            </w:pPr>
          </w:p>
        </w:tc>
        <w:tc>
          <w:tcPr>
            <w:tcW w:w="2360" w:type="dxa"/>
            <w:vAlign w:val="bottom"/>
            <w:tcBorders>
              <w:right w:val="single" w:sz="8" w:color="3F000B"/>
            </w:tcBorders>
          </w:tcPr>
          <w:p>
            <w:pPr>
              <w:spacing w:after="0"/>
              <w:rPr>
                <w:sz w:val="22"/>
                <w:szCs w:val="22"/>
                <w:color w:val="auto"/>
              </w:rPr>
            </w:pPr>
          </w:p>
        </w:tc>
        <w:tc>
          <w:tcPr>
            <w:tcW w:w="2560" w:type="dxa"/>
            <w:vAlign w:val="bottom"/>
            <w:tcBorders>
              <w:right w:val="single" w:sz="8" w:color="3F000B"/>
            </w:tcBorders>
          </w:tcPr>
          <w:p>
            <w:pPr>
              <w:spacing w:after="0"/>
              <w:rPr>
                <w:sz w:val="22"/>
                <w:szCs w:val="22"/>
                <w:color w:val="auto"/>
              </w:rPr>
            </w:pPr>
          </w:p>
        </w:tc>
      </w:tr>
      <w:tr>
        <w:trPr>
          <w:trHeight w:val="250"/>
        </w:trPr>
        <w:tc>
          <w:tcPr>
            <w:tcW w:w="3740" w:type="dxa"/>
            <w:vAlign w:val="bottom"/>
            <w:tcBorders>
              <w:left w:val="single" w:sz="8" w:color="3F000B"/>
              <w:bottom w:val="single" w:sz="8" w:color="DADADA"/>
              <w:right w:val="single" w:sz="8" w:color="3F000B"/>
            </w:tcBorders>
            <w:shd w:val="clear" w:color="auto" w:fill="DADADA"/>
          </w:tcPr>
          <w:p>
            <w:pPr>
              <w:ind w:left="280"/>
              <w:spacing w:after="0"/>
              <w:rPr>
                <w:sz w:val="20"/>
                <w:szCs w:val="20"/>
                <w:color w:val="auto"/>
              </w:rPr>
            </w:pPr>
            <w:r>
              <w:rPr>
                <w:rFonts w:ascii="Arial" w:cs="Arial" w:eastAsia="Arial" w:hAnsi="Arial"/>
                <w:sz w:val="18"/>
                <w:szCs w:val="18"/>
                <w:color w:val="auto"/>
              </w:rPr>
              <w:t>Stock Options</w:t>
            </w:r>
          </w:p>
        </w:tc>
        <w:tc>
          <w:tcPr>
            <w:tcW w:w="25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1,839,811</w:t>
            </w:r>
          </w:p>
        </w:tc>
        <w:tc>
          <w:tcPr>
            <w:tcW w:w="23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99.72</w:t>
            </w:r>
          </w:p>
        </w:tc>
        <w:tc>
          <w:tcPr>
            <w:tcW w:w="2560" w:type="dxa"/>
            <w:vAlign w:val="bottom"/>
            <w:tcBorders>
              <w:bottom w:val="single" w:sz="8" w:color="DADADA"/>
              <w:right w:val="single" w:sz="8" w:color="3F000B"/>
            </w:tcBorders>
            <w:shd w:val="clear" w:color="auto" w:fill="DADADA"/>
          </w:tcPr>
          <w:p>
            <w:pPr>
              <w:spacing w:after="0"/>
              <w:rPr>
                <w:sz w:val="21"/>
                <w:szCs w:val="21"/>
                <w:color w:val="auto"/>
              </w:rPr>
            </w:pPr>
          </w:p>
        </w:tc>
      </w:tr>
      <w:tr>
        <w:trPr>
          <w:trHeight w:val="229"/>
        </w:trPr>
        <w:tc>
          <w:tcPr>
            <w:tcW w:w="3740" w:type="dxa"/>
            <w:vAlign w:val="bottom"/>
            <w:tcBorders>
              <w:left w:val="single" w:sz="8" w:color="3F000B"/>
              <w:right w:val="single" w:sz="8" w:color="3F000B"/>
            </w:tcBorders>
          </w:tcPr>
          <w:p>
            <w:pPr>
              <w:ind w:left="280"/>
              <w:spacing w:after="0"/>
              <w:rPr>
                <w:sz w:val="20"/>
                <w:szCs w:val="20"/>
                <w:color w:val="auto"/>
              </w:rPr>
            </w:pPr>
            <w:r>
              <w:rPr>
                <w:rFonts w:ascii="Arial" w:cs="Arial" w:eastAsia="Arial" w:hAnsi="Arial"/>
                <w:sz w:val="18"/>
                <w:szCs w:val="18"/>
                <w:color w:val="auto"/>
                <w:w w:val="92"/>
              </w:rPr>
              <w:t>Performance Stock Units and Restricted Stock</w:t>
            </w:r>
          </w:p>
        </w:tc>
        <w:tc>
          <w:tcPr>
            <w:tcW w:w="2560" w:type="dxa"/>
            <w:vAlign w:val="bottom"/>
            <w:tcBorders>
              <w:right w:val="single" w:sz="8" w:color="3F000B"/>
            </w:tcBorders>
          </w:tcPr>
          <w:p>
            <w:pPr>
              <w:spacing w:after="0"/>
              <w:rPr>
                <w:sz w:val="19"/>
                <w:szCs w:val="19"/>
                <w:color w:val="auto"/>
              </w:rPr>
            </w:pPr>
          </w:p>
        </w:tc>
        <w:tc>
          <w:tcPr>
            <w:tcW w:w="2360" w:type="dxa"/>
            <w:vAlign w:val="bottom"/>
            <w:tcBorders>
              <w:right w:val="single" w:sz="8" w:color="3F000B"/>
            </w:tcBorders>
          </w:tcPr>
          <w:p>
            <w:pPr>
              <w:spacing w:after="0"/>
              <w:rPr>
                <w:sz w:val="19"/>
                <w:szCs w:val="19"/>
                <w:color w:val="auto"/>
              </w:rPr>
            </w:pPr>
          </w:p>
        </w:tc>
        <w:tc>
          <w:tcPr>
            <w:tcW w:w="2560" w:type="dxa"/>
            <w:vAlign w:val="bottom"/>
            <w:tcBorders>
              <w:right w:val="single" w:sz="8" w:color="3F000B"/>
            </w:tcBorders>
          </w:tcPr>
          <w:p>
            <w:pPr>
              <w:spacing w:after="0"/>
              <w:rPr>
                <w:sz w:val="19"/>
                <w:szCs w:val="19"/>
                <w:color w:val="auto"/>
              </w:rPr>
            </w:pPr>
          </w:p>
        </w:tc>
      </w:tr>
      <w:tr>
        <w:trPr>
          <w:trHeight w:val="230"/>
        </w:trPr>
        <w:tc>
          <w:tcPr>
            <w:tcW w:w="3740" w:type="dxa"/>
            <w:vAlign w:val="bottom"/>
            <w:tcBorders>
              <w:left w:val="single" w:sz="8" w:color="3F000B"/>
              <w:right w:val="single" w:sz="8" w:color="3F000B"/>
            </w:tcBorders>
          </w:tcPr>
          <w:p>
            <w:pPr>
              <w:ind w:left="280"/>
              <w:spacing w:after="0"/>
              <w:rPr>
                <w:sz w:val="20"/>
                <w:szCs w:val="20"/>
                <w:color w:val="auto"/>
              </w:rPr>
            </w:pPr>
            <w:r>
              <w:rPr>
                <w:rFonts w:ascii="Arial" w:cs="Arial" w:eastAsia="Arial" w:hAnsi="Arial"/>
                <w:sz w:val="18"/>
                <w:szCs w:val="18"/>
                <w:color w:val="auto"/>
              </w:rPr>
              <w:t>Units</w:t>
            </w:r>
          </w:p>
        </w:tc>
        <w:tc>
          <w:tcPr>
            <w:tcW w:w="25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1,053,332</w:t>
            </w:r>
          </w:p>
        </w:tc>
        <w:tc>
          <w:tcPr>
            <w:tcW w:w="23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N/A</w:t>
            </w:r>
          </w:p>
        </w:tc>
        <w:tc>
          <w:tcPr>
            <w:tcW w:w="2560" w:type="dxa"/>
            <w:vAlign w:val="bottom"/>
            <w:tcBorders>
              <w:right w:val="single" w:sz="8" w:color="3F000B"/>
            </w:tcBorders>
          </w:tcPr>
          <w:p>
            <w:pPr>
              <w:spacing w:after="0"/>
              <w:rPr>
                <w:sz w:val="20"/>
                <w:szCs w:val="20"/>
                <w:color w:val="auto"/>
              </w:rPr>
            </w:pPr>
          </w:p>
        </w:tc>
      </w:tr>
      <w:tr>
        <w:trPr>
          <w:trHeight w:val="27"/>
        </w:trPr>
        <w:tc>
          <w:tcPr>
            <w:tcW w:w="3740" w:type="dxa"/>
            <w:vAlign w:val="bottom"/>
            <w:tcBorders>
              <w:left w:val="single" w:sz="8" w:color="3F000B"/>
              <w:right w:val="single" w:sz="8" w:color="3F000B"/>
            </w:tcBorders>
          </w:tcPr>
          <w:p>
            <w:pPr>
              <w:spacing w:after="0"/>
              <w:rPr>
                <w:sz w:val="2"/>
                <w:szCs w:val="2"/>
                <w:color w:val="auto"/>
              </w:rPr>
            </w:pPr>
          </w:p>
        </w:tc>
        <w:tc>
          <w:tcPr>
            <w:tcW w:w="2560" w:type="dxa"/>
            <w:vAlign w:val="bottom"/>
            <w:tcBorders>
              <w:right w:val="single" w:sz="8" w:color="3F000B"/>
            </w:tcBorders>
          </w:tcPr>
          <w:p>
            <w:pPr>
              <w:spacing w:after="0"/>
              <w:rPr>
                <w:sz w:val="2"/>
                <w:szCs w:val="2"/>
                <w:color w:val="auto"/>
              </w:rPr>
            </w:pPr>
          </w:p>
        </w:tc>
        <w:tc>
          <w:tcPr>
            <w:tcW w:w="2360" w:type="dxa"/>
            <w:vAlign w:val="bottom"/>
            <w:tcBorders>
              <w:right w:val="single" w:sz="8" w:color="3F000B"/>
            </w:tcBorders>
          </w:tcPr>
          <w:p>
            <w:pPr>
              <w:spacing w:after="0"/>
              <w:rPr>
                <w:sz w:val="2"/>
                <w:szCs w:val="2"/>
                <w:color w:val="auto"/>
              </w:rPr>
            </w:pPr>
          </w:p>
        </w:tc>
        <w:tc>
          <w:tcPr>
            <w:tcW w:w="2560" w:type="dxa"/>
            <w:vAlign w:val="bottom"/>
            <w:tcBorders>
              <w:right w:val="single" w:sz="8" w:color="3F000B"/>
            </w:tcBorders>
          </w:tcPr>
          <w:p>
            <w:pPr>
              <w:spacing w:after="0"/>
              <w:rPr>
                <w:sz w:val="2"/>
                <w:szCs w:val="2"/>
                <w:color w:val="auto"/>
              </w:rPr>
            </w:pPr>
          </w:p>
        </w:tc>
      </w:tr>
      <w:tr>
        <w:trPr>
          <w:trHeight w:val="250"/>
        </w:trPr>
        <w:tc>
          <w:tcPr>
            <w:tcW w:w="3740" w:type="dxa"/>
            <w:vAlign w:val="bottom"/>
            <w:tcBorders>
              <w:left w:val="single" w:sz="8" w:color="3F000B"/>
              <w:bottom w:val="single" w:sz="8" w:color="DADADA"/>
              <w:right w:val="single" w:sz="8" w:color="3F000B"/>
            </w:tcBorders>
            <w:shd w:val="clear" w:color="auto" w:fill="DADADA"/>
          </w:tcPr>
          <w:p>
            <w:pPr>
              <w:ind w:left="120"/>
              <w:spacing w:after="0"/>
              <w:rPr>
                <w:sz w:val="20"/>
                <w:szCs w:val="20"/>
                <w:color w:val="auto"/>
              </w:rPr>
            </w:pPr>
            <w:r>
              <w:rPr>
                <w:rFonts w:ascii="Arial" w:cs="Arial" w:eastAsia="Arial" w:hAnsi="Arial"/>
                <w:sz w:val="18"/>
                <w:szCs w:val="18"/>
                <w:color w:val="auto"/>
              </w:rPr>
              <w:t>Subtotal</w:t>
            </w:r>
          </w:p>
        </w:tc>
        <w:tc>
          <w:tcPr>
            <w:tcW w:w="2560" w:type="dxa"/>
            <w:vAlign w:val="bottom"/>
            <w:tcBorders>
              <w:bottom w:val="single" w:sz="8" w:color="DADADA"/>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2,893,143</w:t>
            </w:r>
          </w:p>
        </w:tc>
        <w:tc>
          <w:tcPr>
            <w:tcW w:w="23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99.72</w:t>
            </w:r>
          </w:p>
        </w:tc>
        <w:tc>
          <w:tcPr>
            <w:tcW w:w="2560" w:type="dxa"/>
            <w:vAlign w:val="bottom"/>
            <w:tcBorders>
              <w:bottom w:val="single" w:sz="8" w:color="DADADA"/>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9,137,386</w:t>
            </w:r>
          </w:p>
        </w:tc>
      </w:tr>
      <w:tr>
        <w:trPr>
          <w:trHeight w:val="229"/>
        </w:trPr>
        <w:tc>
          <w:tcPr>
            <w:tcW w:w="37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2560" w:type="dxa"/>
            <w:vAlign w:val="bottom"/>
            <w:tcBorders>
              <w:right w:val="single" w:sz="8" w:color="3F000B"/>
            </w:tcBorders>
          </w:tcPr>
          <w:p>
            <w:pPr>
              <w:spacing w:after="0"/>
              <w:rPr>
                <w:sz w:val="19"/>
                <w:szCs w:val="19"/>
                <w:color w:val="auto"/>
              </w:rPr>
            </w:pPr>
          </w:p>
        </w:tc>
        <w:tc>
          <w:tcPr>
            <w:tcW w:w="2360" w:type="dxa"/>
            <w:vAlign w:val="bottom"/>
            <w:tcBorders>
              <w:right w:val="single" w:sz="8" w:color="3F000B"/>
            </w:tcBorders>
          </w:tcPr>
          <w:p>
            <w:pPr>
              <w:spacing w:after="0"/>
              <w:rPr>
                <w:sz w:val="19"/>
                <w:szCs w:val="19"/>
                <w:color w:val="auto"/>
              </w:rPr>
            </w:pPr>
          </w:p>
        </w:tc>
        <w:tc>
          <w:tcPr>
            <w:tcW w:w="2560" w:type="dxa"/>
            <w:vAlign w:val="bottom"/>
            <w:tcBorders>
              <w:right w:val="single" w:sz="8" w:color="3F000B"/>
            </w:tcBorders>
          </w:tcPr>
          <w:p>
            <w:pPr>
              <w:spacing w:after="0"/>
              <w:rPr>
                <w:sz w:val="19"/>
                <w:szCs w:val="19"/>
                <w:color w:val="auto"/>
              </w:rPr>
            </w:pPr>
          </w:p>
        </w:tc>
      </w:tr>
      <w:tr>
        <w:trPr>
          <w:trHeight w:val="230"/>
        </w:trPr>
        <w:tc>
          <w:tcPr>
            <w:tcW w:w="3740" w:type="dxa"/>
            <w:vAlign w:val="bottom"/>
            <w:tcBorders>
              <w:left w:val="single" w:sz="8" w:color="3F000B"/>
              <w:right w:val="single" w:sz="8" w:color="3F000B"/>
            </w:tcBorders>
          </w:tcPr>
          <w:p>
            <w:pPr>
              <w:ind w:left="40"/>
              <w:spacing w:after="0"/>
              <w:rPr>
                <w:sz w:val="20"/>
                <w:szCs w:val="20"/>
                <w:color w:val="auto"/>
              </w:rPr>
            </w:pPr>
            <w:r>
              <w:rPr>
                <w:rFonts w:ascii="Arial" w:cs="Arial" w:eastAsia="Arial" w:hAnsi="Arial"/>
                <w:sz w:val="18"/>
                <w:szCs w:val="18"/>
                <w:color w:val="auto"/>
              </w:rPr>
              <w:t>security holders</w:t>
            </w:r>
          </w:p>
        </w:tc>
        <w:tc>
          <w:tcPr>
            <w:tcW w:w="25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N/A</w:t>
            </w:r>
          </w:p>
        </w:tc>
        <w:tc>
          <w:tcPr>
            <w:tcW w:w="23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N/A</w:t>
            </w:r>
          </w:p>
        </w:tc>
        <w:tc>
          <w:tcPr>
            <w:tcW w:w="2560" w:type="dxa"/>
            <w:vAlign w:val="bottom"/>
            <w:tcBorders>
              <w:right w:val="single" w:sz="8" w:color="3F000B"/>
            </w:tcBorders>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3740" w:type="dxa"/>
            <w:vAlign w:val="bottom"/>
            <w:tcBorders>
              <w:left w:val="single" w:sz="8" w:color="3F000B"/>
              <w:right w:val="single" w:sz="8" w:color="3F000B"/>
            </w:tcBorders>
          </w:tcPr>
          <w:p>
            <w:pPr>
              <w:spacing w:after="0"/>
              <w:rPr>
                <w:sz w:val="2"/>
                <w:szCs w:val="2"/>
                <w:color w:val="auto"/>
              </w:rPr>
            </w:pPr>
          </w:p>
        </w:tc>
        <w:tc>
          <w:tcPr>
            <w:tcW w:w="2560" w:type="dxa"/>
            <w:vAlign w:val="bottom"/>
            <w:tcBorders>
              <w:right w:val="single" w:sz="8" w:color="3F000B"/>
            </w:tcBorders>
          </w:tcPr>
          <w:p>
            <w:pPr>
              <w:spacing w:after="0"/>
              <w:rPr>
                <w:sz w:val="2"/>
                <w:szCs w:val="2"/>
                <w:color w:val="auto"/>
              </w:rPr>
            </w:pPr>
          </w:p>
        </w:tc>
        <w:tc>
          <w:tcPr>
            <w:tcW w:w="2360" w:type="dxa"/>
            <w:vAlign w:val="bottom"/>
            <w:tcBorders>
              <w:right w:val="single" w:sz="8" w:color="3F000B"/>
            </w:tcBorders>
          </w:tcPr>
          <w:p>
            <w:pPr>
              <w:spacing w:after="0"/>
              <w:rPr>
                <w:sz w:val="2"/>
                <w:szCs w:val="2"/>
                <w:color w:val="auto"/>
              </w:rPr>
            </w:pPr>
          </w:p>
        </w:tc>
        <w:tc>
          <w:tcPr>
            <w:tcW w:w="2560" w:type="dxa"/>
            <w:vAlign w:val="bottom"/>
            <w:tcBorders>
              <w:right w:val="single" w:sz="8" w:color="3F000B"/>
            </w:tcBorders>
          </w:tcPr>
          <w:p>
            <w:pPr>
              <w:spacing w:after="0"/>
              <w:rPr>
                <w:sz w:val="2"/>
                <w:szCs w:val="2"/>
                <w:color w:val="auto"/>
              </w:rPr>
            </w:pPr>
          </w:p>
        </w:tc>
      </w:tr>
      <w:tr>
        <w:trPr>
          <w:trHeight w:val="270"/>
        </w:trPr>
        <w:tc>
          <w:tcPr>
            <w:tcW w:w="3740" w:type="dxa"/>
            <w:vAlign w:val="bottom"/>
            <w:tcBorders>
              <w:left w:val="single" w:sz="8" w:color="3F000B"/>
              <w:bottom w:val="single" w:sz="8" w:color="3F000B"/>
              <w:right w:val="single" w:sz="8" w:color="3F000B"/>
            </w:tcBorders>
            <w:shd w:val="clear" w:color="auto" w:fill="DADADA"/>
          </w:tcPr>
          <w:p>
            <w:pPr>
              <w:ind w:left="40"/>
              <w:spacing w:after="0"/>
              <w:rPr>
                <w:sz w:val="20"/>
                <w:szCs w:val="20"/>
                <w:color w:val="auto"/>
              </w:rPr>
            </w:pPr>
            <w:r>
              <w:rPr>
                <w:rFonts w:ascii="Arial" w:cs="Arial" w:eastAsia="Arial" w:hAnsi="Arial"/>
                <w:sz w:val="18"/>
                <w:szCs w:val="18"/>
                <w:b w:val="1"/>
                <w:bCs w:val="1"/>
                <w:color w:val="auto"/>
              </w:rPr>
              <w:t>Total</w:t>
            </w:r>
          </w:p>
        </w:tc>
        <w:tc>
          <w:tcPr>
            <w:tcW w:w="2560" w:type="dxa"/>
            <w:vAlign w:val="bottom"/>
            <w:tcBorders>
              <w:bottom w:val="single" w:sz="8" w:color="3F000B"/>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2,893,143</w:t>
            </w:r>
          </w:p>
        </w:tc>
        <w:tc>
          <w:tcPr>
            <w:tcW w:w="2360" w:type="dxa"/>
            <w:vAlign w:val="bottom"/>
            <w:tcBorders>
              <w:bottom w:val="single" w:sz="8" w:color="3F000B"/>
              <w:right w:val="single" w:sz="8" w:color="3F000B"/>
            </w:tcBorders>
            <w:shd w:val="clear" w:color="auto" w:fill="DADADA"/>
          </w:tcPr>
          <w:p>
            <w:pPr>
              <w:jc w:val="right"/>
              <w:spacing w:after="0"/>
              <w:rPr>
                <w:sz w:val="20"/>
                <w:szCs w:val="20"/>
                <w:color w:val="auto"/>
              </w:rPr>
            </w:pPr>
            <w:r>
              <w:rPr>
                <w:rFonts w:ascii="Arial" w:cs="Arial" w:eastAsia="Arial" w:hAnsi="Arial"/>
                <w:sz w:val="18"/>
                <w:szCs w:val="18"/>
                <w:color w:val="auto"/>
              </w:rPr>
              <w:t>99.72</w:t>
            </w:r>
            <w:r>
              <w:rPr>
                <w:rFonts w:ascii="Arial" w:cs="Arial" w:eastAsia="Arial" w:hAnsi="Arial"/>
                <w:sz w:val="23"/>
                <w:szCs w:val="23"/>
                <w:color w:val="auto"/>
                <w:vertAlign w:val="superscript"/>
              </w:rPr>
              <w:t>(2)</w:t>
            </w:r>
          </w:p>
        </w:tc>
        <w:tc>
          <w:tcPr>
            <w:tcW w:w="2560" w:type="dxa"/>
            <w:vAlign w:val="bottom"/>
            <w:tcBorders>
              <w:bottom w:val="single" w:sz="8" w:color="3F000B"/>
              <w:right w:val="single" w:sz="8" w:color="3F000B"/>
            </w:tcBorders>
            <w:shd w:val="clear" w:color="auto" w:fill="DADADA"/>
          </w:tcPr>
          <w:p>
            <w:pPr>
              <w:jc w:val="right"/>
              <w:ind w:right="10"/>
              <w:spacing w:after="0"/>
              <w:rPr>
                <w:sz w:val="20"/>
                <w:szCs w:val="20"/>
                <w:color w:val="auto"/>
              </w:rPr>
            </w:pPr>
            <w:r>
              <w:rPr>
                <w:rFonts w:ascii="Arial" w:cs="Arial" w:eastAsia="Arial" w:hAnsi="Arial"/>
                <w:sz w:val="18"/>
                <w:szCs w:val="18"/>
                <w:color w:val="auto"/>
              </w:rPr>
              <w:t>9,137,386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F000B"/>
        </w:rPr>
        <w:t>____________________</w:t>
      </w:r>
    </w:p>
    <w:p>
      <w:pPr>
        <w:spacing w:after="0" w:line="117" w:lineRule="exact"/>
        <w:rPr>
          <w:sz w:val="20"/>
          <w:szCs w:val="20"/>
          <w:color w:val="auto"/>
        </w:rPr>
      </w:pPr>
    </w:p>
    <w:p>
      <w:pPr>
        <w:jc w:val="both"/>
        <w:ind w:left="340" w:right="180" w:hanging="332"/>
        <w:spacing w:after="0" w:line="252" w:lineRule="auto"/>
        <w:tabs>
          <w:tab w:leader="none" w:pos="2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Includes amounts earned or paid in cash or shares of Common Stock at the election of the director or deferred by the director under the Directors’ Compensation Plan. Column (a) includes stock options, PSUs and RSUs granted under the EICP. Of the securities available for future issuances under the EICP in column (c), 5,321,495 were available for awards of stock options and 3,815,891 were available for full-value awards such as PSUs, performance stock, RSUs, restricted stock and other stock-based awards. Securities available for future issuance of full-value awards may also be used for stock option awards.</w:t>
      </w:r>
    </w:p>
    <w:p>
      <w:pPr>
        <w:spacing w:after="0" w:line="79" w:lineRule="exact"/>
        <w:rPr>
          <w:rFonts w:ascii="Arial" w:cs="Arial" w:eastAsia="Arial" w:hAnsi="Arial"/>
          <w:sz w:val="14"/>
          <w:szCs w:val="14"/>
          <w:color w:val="auto"/>
        </w:rPr>
      </w:pPr>
    </w:p>
    <w:p>
      <w:pPr>
        <w:ind w:left="220" w:hanging="212"/>
        <w:spacing w:after="0"/>
        <w:tabs>
          <w:tab w:leader="none" w:pos="2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Weighted-average exercise price of outstanding stock options only.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057" w:right="33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328"/>
        </w:trPr>
        <w:tc>
          <w:tcPr>
            <w:tcW w:w="1420" w:type="dxa"/>
            <w:vAlign w:val="bottom"/>
          </w:tcPr>
          <w:p>
            <w:pPr>
              <w:spacing w:after="0"/>
              <w:rPr>
                <w:sz w:val="24"/>
                <w:szCs w:val="24"/>
                <w:color w:val="auto"/>
              </w:rPr>
            </w:pPr>
          </w:p>
        </w:tc>
        <w:tc>
          <w:tcPr>
            <w:tcW w:w="9800" w:type="dxa"/>
            <w:vAlign w:val="bottom"/>
          </w:tcPr>
          <w:p>
            <w:pPr>
              <w:jc w:val="center"/>
              <w:ind w:right="1274"/>
              <w:spacing w:after="0"/>
              <w:rPr>
                <w:sz w:val="20"/>
                <w:szCs w:val="20"/>
                <w:color w:val="auto"/>
              </w:rPr>
            </w:pPr>
            <w:r>
              <w:rPr>
                <w:rFonts w:ascii="Arial" w:cs="Arial" w:eastAsia="Arial" w:hAnsi="Arial"/>
                <w:sz w:val="25"/>
                <w:szCs w:val="25"/>
                <w:b w:val="1"/>
                <w:bCs w:val="1"/>
                <w:color w:val="3F000B"/>
              </w:rPr>
              <w:t>PROPOSAL NO. 3 – ADVISE ON NAMED EXECUTIVE</w:t>
            </w: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9800" w:type="dxa"/>
            <w:vAlign w:val="bottom"/>
          </w:tcPr>
          <w:p>
            <w:pPr>
              <w:jc w:val="center"/>
              <w:ind w:right="1254"/>
              <w:spacing w:after="0"/>
              <w:rPr>
                <w:sz w:val="20"/>
                <w:szCs w:val="20"/>
                <w:color w:val="auto"/>
              </w:rPr>
            </w:pPr>
            <w:r>
              <w:rPr>
                <w:rFonts w:ascii="Arial" w:cs="Arial" w:eastAsia="Arial" w:hAnsi="Arial"/>
                <w:sz w:val="25"/>
                <w:szCs w:val="25"/>
                <w:b w:val="1"/>
                <w:bCs w:val="1"/>
                <w:color w:val="3F000B"/>
              </w:rPr>
              <w:t>OFFICER COMPENSATION</w:t>
            </w:r>
          </w:p>
        </w:tc>
        <w:tc>
          <w:tcPr>
            <w:tcW w:w="0" w:type="dxa"/>
            <w:vAlign w:val="bottom"/>
          </w:tcPr>
          <w:p>
            <w:pPr>
              <w:spacing w:after="0"/>
              <w:rPr>
                <w:sz w:val="1"/>
                <w:szCs w:val="1"/>
                <w:color w:val="auto"/>
              </w:rPr>
            </w:pPr>
          </w:p>
        </w:tc>
      </w:tr>
      <w:tr>
        <w:trPr>
          <w:trHeight w:val="491"/>
        </w:trPr>
        <w:tc>
          <w:tcPr>
            <w:tcW w:w="1420" w:type="dxa"/>
            <w:vAlign w:val="bottom"/>
            <w:tcBorders>
              <w:bottom w:val="single" w:sz="8" w:color="542121"/>
            </w:tcBorders>
          </w:tcPr>
          <w:p>
            <w:pPr>
              <w:spacing w:after="0"/>
              <w:rPr>
                <w:sz w:val="24"/>
                <w:szCs w:val="24"/>
                <w:color w:val="auto"/>
              </w:rPr>
            </w:pPr>
          </w:p>
        </w:tc>
        <w:tc>
          <w:tcPr>
            <w:tcW w:w="9800" w:type="dxa"/>
            <w:vAlign w:val="bottom"/>
            <w:tcBorders>
              <w:bottom w:val="single" w:sz="8" w:color="3F000B"/>
            </w:tcBorders>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20" w:type="dxa"/>
            <w:vAlign w:val="bottom"/>
            <w:tcBorders>
              <w:left w:val="single" w:sz="8" w:color="542121"/>
              <w:right w:val="single" w:sz="8" w:color="3F000B"/>
            </w:tcBorders>
            <w:vMerge w:val="restart"/>
          </w:tcPr>
          <w:p>
            <w:pPr>
              <w:ind w:left="260"/>
              <w:spacing w:after="0"/>
              <w:rPr>
                <w:sz w:val="20"/>
                <w:szCs w:val="20"/>
                <w:color w:val="auto"/>
              </w:rPr>
            </w:pPr>
            <w:r>
              <w:rPr>
                <w:rFonts w:ascii="Arial" w:cs="Arial" w:eastAsia="Arial" w:hAnsi="Arial"/>
                <w:sz w:val="86"/>
                <w:szCs w:val="86"/>
                <w:color w:val="542121"/>
              </w:rPr>
              <w:t>ü</w:t>
            </w:r>
          </w:p>
        </w:tc>
        <w:tc>
          <w:tcPr>
            <w:tcW w:w="9800" w:type="dxa"/>
            <w:vAlign w:val="bottom"/>
            <w:shd w:val="clear" w:color="auto" w:fill="3F000B"/>
          </w:tcPr>
          <w:p>
            <w:pPr>
              <w:jc w:val="center"/>
              <w:spacing w:after="0"/>
              <w:rPr>
                <w:sz w:val="20"/>
                <w:szCs w:val="20"/>
                <w:color w:val="auto"/>
              </w:rPr>
            </w:pPr>
            <w:r>
              <w:rPr>
                <w:rFonts w:ascii="Arial" w:cs="Arial" w:eastAsia="Arial" w:hAnsi="Arial"/>
                <w:sz w:val="25"/>
                <w:szCs w:val="25"/>
                <w:color w:val="FFFFFF"/>
                <w:w w:val="91"/>
              </w:rPr>
              <w:t>The Board of Directors unanimously recommends that stockholders</w:t>
            </w:r>
          </w:p>
        </w:tc>
        <w:tc>
          <w:tcPr>
            <w:tcW w:w="0" w:type="dxa"/>
            <w:vAlign w:val="bottom"/>
          </w:tcPr>
          <w:p>
            <w:pPr>
              <w:spacing w:after="0"/>
              <w:rPr>
                <w:sz w:val="1"/>
                <w:szCs w:val="1"/>
                <w:color w:val="auto"/>
              </w:rPr>
            </w:pPr>
          </w:p>
        </w:tc>
      </w:tr>
      <w:tr>
        <w:trPr>
          <w:trHeight w:val="303"/>
        </w:trPr>
        <w:tc>
          <w:tcPr>
            <w:tcW w:w="1420" w:type="dxa"/>
            <w:vAlign w:val="bottom"/>
            <w:tcBorders>
              <w:left w:val="single" w:sz="8" w:color="542121"/>
              <w:right w:val="single" w:sz="8" w:color="3F000B"/>
            </w:tcBorders>
            <w:vMerge w:val="continue"/>
          </w:tcPr>
          <w:p>
            <w:pPr>
              <w:spacing w:after="0"/>
              <w:rPr>
                <w:sz w:val="24"/>
                <w:szCs w:val="24"/>
                <w:color w:val="auto"/>
              </w:rPr>
            </w:pPr>
          </w:p>
        </w:tc>
        <w:tc>
          <w:tcPr>
            <w:tcW w:w="9800" w:type="dxa"/>
            <w:vAlign w:val="bottom"/>
            <w:shd w:val="clear" w:color="auto" w:fill="3F000B"/>
          </w:tcPr>
          <w:p>
            <w:pPr>
              <w:jc w:val="center"/>
              <w:spacing w:after="0"/>
              <w:rPr>
                <w:sz w:val="20"/>
                <w:szCs w:val="20"/>
                <w:color w:val="auto"/>
              </w:rPr>
            </w:pPr>
            <w:r>
              <w:rPr>
                <w:rFonts w:ascii="Arial" w:cs="Arial" w:eastAsia="Arial" w:hAnsi="Arial"/>
                <w:sz w:val="25"/>
                <w:szCs w:val="25"/>
                <w:color w:val="FFFFFF"/>
                <w:w w:val="91"/>
              </w:rPr>
              <w:t xml:space="preserve">vote </w:t>
            </w:r>
            <w:r>
              <w:rPr>
                <w:rFonts w:ascii="Arial" w:cs="Arial" w:eastAsia="Arial" w:hAnsi="Arial"/>
                <w:sz w:val="25"/>
                <w:szCs w:val="25"/>
                <w:b w:val="1"/>
                <w:bCs w:val="1"/>
                <w:color w:val="FFFFFF"/>
                <w:w w:val="91"/>
              </w:rPr>
              <w:t>FOR</w:t>
            </w:r>
            <w:r>
              <w:rPr>
                <w:rFonts w:ascii="Arial" w:cs="Arial" w:eastAsia="Arial" w:hAnsi="Arial"/>
                <w:sz w:val="25"/>
                <w:szCs w:val="25"/>
                <w:color w:val="FFFFFF"/>
                <w:w w:val="91"/>
              </w:rPr>
              <w:t xml:space="preserve"> approval, on a non-binding advisory basis, of the compensation</w:t>
            </w:r>
          </w:p>
        </w:tc>
        <w:tc>
          <w:tcPr>
            <w:tcW w:w="0" w:type="dxa"/>
            <w:vAlign w:val="bottom"/>
          </w:tcPr>
          <w:p>
            <w:pPr>
              <w:spacing w:after="0"/>
              <w:rPr>
                <w:sz w:val="1"/>
                <w:szCs w:val="1"/>
                <w:color w:val="auto"/>
              </w:rPr>
            </w:pPr>
          </w:p>
        </w:tc>
      </w:tr>
      <w:tr>
        <w:trPr>
          <w:trHeight w:val="422"/>
        </w:trPr>
        <w:tc>
          <w:tcPr>
            <w:tcW w:w="1420" w:type="dxa"/>
            <w:vAlign w:val="bottom"/>
            <w:tcBorders>
              <w:left w:val="single" w:sz="8" w:color="542121"/>
              <w:bottom w:val="single" w:sz="8" w:color="542121"/>
              <w:right w:val="single" w:sz="8" w:color="3F000B"/>
            </w:tcBorders>
            <w:vMerge w:val="continue"/>
          </w:tcPr>
          <w:p>
            <w:pPr>
              <w:spacing w:after="0"/>
              <w:rPr>
                <w:sz w:val="24"/>
                <w:szCs w:val="24"/>
                <w:color w:val="auto"/>
              </w:rPr>
            </w:pPr>
          </w:p>
        </w:tc>
        <w:tc>
          <w:tcPr>
            <w:tcW w:w="9800" w:type="dxa"/>
            <w:vAlign w:val="bottom"/>
            <w:tcBorders>
              <w:bottom w:val="single" w:sz="8" w:color="3F000B"/>
            </w:tcBorders>
            <w:shd w:val="clear" w:color="auto" w:fill="3F000B"/>
          </w:tcPr>
          <w:p>
            <w:pPr>
              <w:jc w:val="center"/>
              <w:spacing w:after="0"/>
              <w:rPr>
                <w:sz w:val="20"/>
                <w:szCs w:val="20"/>
                <w:color w:val="auto"/>
              </w:rPr>
            </w:pPr>
            <w:r>
              <w:rPr>
                <w:rFonts w:ascii="Arial" w:cs="Arial" w:eastAsia="Arial" w:hAnsi="Arial"/>
                <w:sz w:val="25"/>
                <w:szCs w:val="25"/>
                <w:color w:val="FFFFFF"/>
                <w:w w:val="91"/>
              </w:rPr>
              <w:t>of the Company’s named executive officers</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In accordance with the Dodd-Frank Wall Street Reform and Consumer Protection Act and related SEC rules, and as required under Section 14A of the Exchange Act, we are providing stockholders an opportunity to conduct an advisory vote regarding the compensation of our NEOs as disclosed in this Proxy Statement.</w:t>
      </w:r>
    </w:p>
    <w:p>
      <w:pPr>
        <w:spacing w:after="0" w:line="13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Prior to submitting your vote, we encourage you to read our Compensation Discussion &amp; Analysis and the accompanying executive compensation tables for details about our executive compensation program, including information about the 2020 compensation of our NEOs.</w:t>
      </w:r>
    </w:p>
    <w:p>
      <w:pPr>
        <w:spacing w:after="0" w:line="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discussed in more detail in the Compensation Discussion &amp; Analysis, we believe our executive compensation program is competitive and governed by pay-for-performance principles. We emphasize compensation opportunities that reward results. Our stock ownership requirements and use of stock-based incentives reinforce the alignment of the interests of our executives with those of our long-term stockholders. In doing so, our executive compensation program supports our strategic objectives and mission.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you to approve the following resolution at the Annual Meeting:</w:t>
      </w:r>
    </w:p>
    <w:p>
      <w:pPr>
        <w:spacing w:after="0" w:line="171" w:lineRule="exact"/>
        <w:rPr>
          <w:sz w:val="20"/>
          <w:szCs w:val="20"/>
          <w:color w:val="auto"/>
        </w:rPr>
      </w:pPr>
    </w:p>
    <w:p>
      <w:pPr>
        <w:ind w:left="660" w:right="240"/>
        <w:spacing w:after="0" w:line="311" w:lineRule="auto"/>
        <w:rPr>
          <w:sz w:val="20"/>
          <w:szCs w:val="20"/>
          <w:color w:val="auto"/>
        </w:rPr>
      </w:pPr>
      <w:r>
        <w:rPr>
          <w:rFonts w:ascii="Arial" w:cs="Arial" w:eastAsia="Arial" w:hAnsi="Arial"/>
          <w:sz w:val="16"/>
          <w:szCs w:val="16"/>
          <w:color w:val="auto"/>
        </w:rPr>
        <w:t>“RESOLVED, that the stockholders of The Hershey Company approve, on an advisory basis, the compensation paid to the Company’s named executive officers, as disclosed in the Proxy Statement for the 2021 Annual Meeting of Stockholders pursuant to the SEC’s compensation disclosure rules, including the Compensation Discussion &amp; Analysis, the Executive Compensation Tables and the related narrative discussion.”</w:t>
      </w:r>
    </w:p>
    <w:p>
      <w:pPr>
        <w:spacing w:after="0" w:line="9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Because your vote is advisory, it will not be binding upon the Board. However, as noted in the Compensation Discussion &amp; Analysis, the Compensation Committee and the Board will, as deemed appropriate, take into account the outcome of the vote when considering future decisions affecting executive compensation.</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affirmative vote of at least a majority of the votes of the Common Stock and Class B Common Stock (voting together as a class) represented at the Annual Meeting, electronically or by proxy, is required to approve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102" w:right="359" w:bottom="1440" w:gutter="0" w:footer="0" w:header="0"/>
        </w:sectPr>
      </w:pPr>
    </w:p>
    <w:bookmarkStart w:id="89" w:name="page90"/>
    <w:bookmarkEnd w:id="89"/>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3F000B"/>
        </w:rPr>
        <w:t>CERTAIN TRANSACTIONS AND RELATIONSHIPS</w:t>
      </w:r>
    </w:p>
    <w:p>
      <w:pPr>
        <w:spacing w:after="0" w:line="34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Item 404 of SEC Regulation S-K requires that we disclose any transaction or series of similar transactions, or any currently proposed transaction(s), in which (i) the Company was or is to be a participant, (ii) the amount involved exceeds $120,000 and (iii) any of the following persons had or will have a direct or indirect material interest:</w:t>
      </w:r>
    </w:p>
    <w:p>
      <w:pPr>
        <w:spacing w:after="0" w:line="76"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Our directors or nominees for director;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Our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Persons owning more than 5% of any class of our outstanding voting securities;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immediate family members of any of the persons identified in the preceding three bullets.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Policies and Procedures Regarding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9187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18710" cy="8255"/>
                    </a:xfrm>
                    <a:prstGeom prst="rect">
                      <a:avLst/>
                    </a:prstGeom>
                    <a:noFill/>
                  </pic:spPr>
                </pic:pic>
              </a:graphicData>
            </a:graphic>
          </wp:anchor>
        </w:drawing>
      </w:r>
    </w:p>
    <w:p>
      <w:pPr>
        <w:spacing w:after="0" w:line="14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 xml:space="preserve">The Board has adopted a written Related Person Transaction Policy that governs the review, approval or ratification of related person transactions. The Related Person Transaction Policy may be viewed on the Investors section of our website at </w:t>
      </w:r>
      <w:r>
        <w:rPr>
          <w:rFonts w:ascii="Arial" w:cs="Arial" w:eastAsia="Arial" w:hAnsi="Arial"/>
          <w:sz w:val="17"/>
          <w:szCs w:val="17"/>
          <w:i w:val="1"/>
          <w:iCs w:val="1"/>
          <w:color w:val="auto"/>
        </w:rPr>
        <w:t>www.thehersheycompany.com</w:t>
      </w:r>
      <w:r>
        <w:rPr>
          <w:rFonts w:ascii="Arial" w:cs="Arial" w:eastAsia="Arial" w:hAnsi="Arial"/>
          <w:sz w:val="17"/>
          <w:szCs w:val="17"/>
          <w:color w:val="auto"/>
        </w:rPr>
        <w:t>.</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Related Person Transaction Policy, each related person transaction, and any significant amendment or modification to a related person transaction, must be reviewed and approved or ratified by a committee of our Board composed solely of independent directors who have no interest in the transaction. We refer to each such committee as a Reviewing Committee. The Related Person Transaction Policy also permits the disinterested members of the full Board to act as a Reviewing Committee.</w:t>
      </w:r>
    </w:p>
    <w:p>
      <w:pPr>
        <w:spacing w:after="0" w:line="133" w:lineRule="exact"/>
        <w:rPr>
          <w:sz w:val="20"/>
          <w:szCs w:val="20"/>
          <w:color w:val="auto"/>
        </w:rPr>
      </w:pPr>
    </w:p>
    <w:p>
      <w:pPr>
        <w:jc w:val="both"/>
        <w:ind w:right="400"/>
        <w:spacing w:after="0" w:line="287" w:lineRule="auto"/>
        <w:rPr>
          <w:sz w:val="20"/>
          <w:szCs w:val="20"/>
          <w:color w:val="auto"/>
        </w:rPr>
      </w:pPr>
      <w:r>
        <w:rPr>
          <w:rFonts w:ascii="Arial" w:cs="Arial" w:eastAsia="Arial" w:hAnsi="Arial"/>
          <w:sz w:val="16"/>
          <w:szCs w:val="16"/>
          <w:color w:val="auto"/>
        </w:rPr>
        <w:t>The Board has designated the Governance Committee as the Reviewing Committee primarily responsible for the administration of the Related Person Transaction Policy. In addition, the Board has designated a special Reviewing Committee to oversee certain transactions involving the Company and Hershey Trust Company, Milton Hershey School, the Milton Hershey School Trust and companies owned by or affiliated with any of the foregoing.</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Finally, the Related Person Transaction Policy provides that the Compensation Committee will review and approve, or review and recommend to the Board for approval, any employment relationship or transaction involving an executive officer of the Company and any related compensation.</w:t>
      </w:r>
    </w:p>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reviewing, approving or ratifying a related person transaction, the Reviewing Committee will examine all material facts about the related person’s interest in, or relationship to, the transaction, including the approximate dollar value of the transaction. If the related person transaction involves an outside director or nominee for director, the Reviewing Committee also may consider whether the transaction would compromise the director’s status as an “independent director,” “outside director” or “non-employee director” under the Board’s Corporate Governance Guidelines, the NYSE Rules, the IRC or the Exchange Act.</w:t>
      </w:r>
    </w:p>
    <w:p>
      <w:pPr>
        <w:spacing w:after="0" w:line="188" w:lineRule="exact"/>
        <w:rPr>
          <w:sz w:val="20"/>
          <w:szCs w:val="20"/>
          <w:color w:val="auto"/>
        </w:rPr>
      </w:pPr>
    </w:p>
    <w:p>
      <w:pPr>
        <w:ind w:right="4260"/>
        <w:spacing w:after="0" w:line="269" w:lineRule="auto"/>
        <w:rPr>
          <w:sz w:val="20"/>
          <w:szCs w:val="20"/>
          <w:color w:val="auto"/>
        </w:rPr>
      </w:pPr>
      <w:r>
        <w:rPr>
          <w:rFonts w:ascii="Arial" w:cs="Arial" w:eastAsia="Arial" w:hAnsi="Arial"/>
          <w:sz w:val="22"/>
          <w:szCs w:val="22"/>
          <w:b w:val="1"/>
          <w:bCs w:val="1"/>
          <w:color w:val="3F000B"/>
        </w:rPr>
        <w:t>Transactions with Hershey Trust Company, Milton Hershey School and the Milton Hershey School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2016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14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2020, there were no transactions with the Company in which any executive officer, director or nominee for director, or any of their immediate family members, had a direct or indirect material interest that would need to be disclosed pursuant to Item 404 of SEC Regulation S-K, nor were any such transactions planned.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1440" w:right="379" w:bottom="1440" w:gutter="0" w:footer="0" w:header="0"/>
        </w:sectPr>
      </w:pPr>
    </w:p>
    <w:bookmarkStart w:id="90" w:name="page91"/>
    <w:bookmarkEnd w:id="90"/>
    <w:p>
      <w:pPr>
        <w:ind w:right="60"/>
        <w:spacing w:after="0" w:line="296" w:lineRule="auto"/>
        <w:rPr>
          <w:sz w:val="20"/>
          <w:szCs w:val="20"/>
          <w:color w:val="auto"/>
        </w:rPr>
      </w:pPr>
      <w:r>
        <w:rPr>
          <w:rFonts w:ascii="Arial" w:cs="Arial" w:eastAsia="Arial" w:hAnsi="Arial"/>
          <w:sz w:val="16"/>
          <w:szCs w:val="16"/>
          <w:color w:val="auto"/>
        </w:rPr>
        <w:t>In any given year, we may engage in certain transactions with Hershey Trust Company, Milton Hershey School, the Milton Hershey School Trust and companies owned by or affiliated with any of the foregoing. These transactions are typically immaterial, ordinary-course transactions that do not constitute related person transactions. However, from time to time we may also engage in related person transactions with Hershey Trust Company, Milton Hershey School, the Milton Hershey School Trust and/or their subsidiaries and affiliates. Under the Board’s Corporate Governance Guidelines, a special Reviewing Committee composed of the independent, disinterested members of the Executive Committee must approve these transactions.</w:t>
      </w:r>
    </w:p>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was not a participant in any transactions in 2020, and there are no currently proposed transactions in 2021, with any stockholder owning more than 5% of any class of the Company’s outstanding voting securities that would need to be disclosed pursuant to Item 404 of SEC Regulation S-K.</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2020, we engaged in transactions in the ordinary course of our business with Hershey Trust Company, Milton Hershey School and companies affiliated with Hershey Trust Company, Milton Hershey School and the Milton Hershey School Trust. These transactions involved the sale and purchase of goods and services at market rates. The transactions were primarily with Hershey Entertainment &amp; Resorts Company, a company that is owned by the Milton Hershey School Trust. All sales and purchases were made on terms and at prices we believe were generally available in the marketplace and were in amounts that were not material to us or to Hershey Entertainment &amp; Resorts Company. Therefore, these transactions did not require approval under our Related Person Transaction Policy.</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our transactions with Hershey Trust Company, Milton Hershey School and the companies affiliated with each of the foregoing and with the Milton Hershey School Trust (including Hershey Entertainment &amp; Resorts Company) are either immaterial or otherwise not required to be disclosed under Item 404 of SEC Regulation S-K, because of our relationship with these entities, we have elected to disclose the aggregate amounts of our purchase and sale transactions with these entities for your information. In this regard:</w:t>
      </w:r>
    </w:p>
    <w:p>
      <w:pPr>
        <w:spacing w:after="0" w:line="79"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Our total sales to these entities in 2020 were approximately $502,000;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Our total purchases from these entities in 2020 were approximately $646,000.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types of transactions or the amount of payments to change materially in 2021.</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Company also donated $250,000 to the M. S. Hershey Foundation (the “Foundation”) in April 2020 to help support the Foundation’s mission and ongoing operations during the coronavirus pandemic (“COVID-19”). The Foundation, a 501(c)(3) non-profit organization, was established by Milton S. Hershey in 1935 to provide educational and cultural benefits for the residents of Derry Township. The Foundation operates separately from the Company, Hershey Trust Company and the Milton Hershey School Trust; however, it is governed by a board of managers appointed by Hershey Trust Company, as trustee for the trust established by Mr. Hershey to benefit the Foundation, from the membership of the board of directors of Hershey Trust Company. James W. Brown and M. Diane Koken, independent members of our Board and members of the board of directors of Hershey Trust Company and the board of managers of Milton Hershey School, are also members of the board of managers of the Foundation. Mr. Brown and Ms. Koken received no compensation for their service on the board of managers of the Foundation.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3F000B"/>
        </w:rPr>
        <w:t>COMPENSATION COMMITTEE INTERLOCKS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3F000B"/>
        </w:rPr>
        <w:t>AND INSIDER PARTICIPATION</w:t>
      </w:r>
    </w:p>
    <w:p>
      <w:pPr>
        <w:spacing w:after="0" w:line="3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Mmes. Arway, Haben and Koken and Messrs. Crawford, Davis, Palmer and Perez served as members of our Compensation Committee at various times during 2020. None of the members of our Compensation Committee served as one of our officers or employees during 2020 or at any time in the past, and neither they nor any other director served as an executive officer of any entity for which any of our executive officers served as a director or member of its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 of the members of our Compensation Committee has a relationship with us that is required to be disclosed under Item 404 of SEC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057"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5"/>
          <w:szCs w:val="25"/>
          <w:b w:val="1"/>
          <w:bCs w:val="1"/>
          <w:color w:val="3F000B"/>
        </w:rPr>
        <w:t>OTHER MATTERS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483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48380" cy="8255"/>
                    </a:xfrm>
                    <a:prstGeom prst="rect">
                      <a:avLst/>
                    </a:prstGeom>
                    <a:noFill/>
                  </pic:spPr>
                </pic:pic>
              </a:graphicData>
            </a:graphic>
          </wp:anchor>
        </w:drawing>
      </w:r>
    </w:p>
    <w:p>
      <w:pPr>
        <w:spacing w:after="0" w:line="14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SEC has adopted rules that allow us to send in a single envelope our Notice of Internet Availability of Proxy Materials or a single copy of our proxy solicitation and other required annual meeting materials to two or more stockholders sharing the same address. We may do this only if the stockholders at that address share the same last name or if we reasonably believe that the stockholders are members of the same family. If we are sending a Notice of Internet Availability of Proxy Materials, the envelope must contain a separate notice for each stockholder at the shared address. Each Notice of Internet Availability of Proxy Materials must contain a unique control number that each stockholder will use to gain access to our proxy materials and vote online. If we are mailing a paper copy of our proxy materials, the rules require us to send each stockholder at the shared address a separate proxy card.</w:t>
      </w:r>
    </w:p>
    <w:p>
      <w:pPr>
        <w:spacing w:after="0" w:line="1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this rule is beneficial both to our stockholders and to the Company. Our printing and postage costs are lowered anytime we eliminate duplicate mailings to the same household. However, stockholders at a shared address may revoke their consent to the householding program and receive their Notice of Internet Availability of Proxy Materials in a separate envelope, or, if they have elected to receive a full copy of our proxy materials in the mail, receive a separate copy of these materials. If you have elected to receive paper copies of our proxy materials and want to receive a separate copy of these materials for our 2021 Annual Meeting, please call our Investor Relations Department, toll free, at (800) 539-0261. If you consented to the householding program and wish to revoke your consent for future years, simply call, toll free, (866) 540-7095, or write to Broadridge, Householding Department, 51 Mercedes Way, Edgewood, New York 11717.</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3F000B"/>
        </w:rPr>
        <w:t>Information Regarding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6443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44390" cy="8255"/>
                    </a:xfrm>
                    <a:prstGeom prst="rect">
                      <a:avLst/>
                    </a:prstGeom>
                    <a:noFill/>
                  </pic:spPr>
                </pic:pic>
              </a:graphicData>
            </a:graphic>
          </wp:anchor>
        </w:drawing>
      </w:r>
    </w:p>
    <w:p>
      <w:pPr>
        <w:spacing w:after="0" w:line="1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2022 Annual Meeting of Stockholders is expected to be held on May 17, 2022. To be eligible for inclusion in the proxy materials for the 2022 Annual Meeting of Stockholders, a stockholder proposal must be received by our Secretary by no later than December 8, 2021, and must comply in all respects with applicable rules of the SEC. Stockholder proposals should be addressed to The Hershey Company, c/o Secretary, 19 East Chocolate Avenue, Hershey, Pennsylvania 17033.</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stockholder may present a proposal not included in our proxy materials from the floor of the 2022 Annual Meeting of Stockholders only if our Secretary receives notice of the proposal, along with additional information required by our by-laws, between January 17, 2022 and February 16, 2022. Notice should be addressed to The Hershey Company, c/o Secretary, 19 East Chocolate Avenue, Hershey, Pennsylvania 17033.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notice must contain the following additional information:</w:t>
      </w:r>
    </w:p>
    <w:p>
      <w:pPr>
        <w:spacing w:after="0" w:line="117"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stockholder’s shareholdings;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brief description of the proposal;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brief description of any financial or other interest the stockholder has in the proposal;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additional information that the SEC would require if the proposal were presented in a proxy statement.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10" w:right="359" w:bottom="1440" w:gutter="0" w:footer="0" w:header="0"/>
        </w:sectPr>
      </w:pPr>
    </w:p>
    <w:bookmarkStart w:id="92" w:name="page93"/>
    <w:bookmarkEnd w:id="92"/>
    <w:p>
      <w:pPr>
        <w:spacing w:after="0" w:line="263" w:lineRule="auto"/>
        <w:rPr>
          <w:sz w:val="20"/>
          <w:szCs w:val="20"/>
          <w:color w:val="auto"/>
        </w:rPr>
      </w:pPr>
      <w:r>
        <w:rPr>
          <w:rFonts w:ascii="Arial" w:cs="Arial" w:eastAsia="Arial" w:hAnsi="Arial"/>
          <w:sz w:val="18"/>
          <w:szCs w:val="18"/>
          <w:color w:val="auto"/>
        </w:rPr>
        <w:t>A stockholder may nominate a director from the floor of the 2022 Annual Meeting of Stockholders only if our Secretary receives notice of the nomination, along with additional information required by our by-laws, between January 17, 2022 and February 16, 2022. The notice must contain the following additional information:</w:t>
      </w:r>
    </w:p>
    <w:p>
      <w:pPr>
        <w:spacing w:after="0" w:line="76"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any class of our equity securities;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representation that the stockholder intends to make the nomination in person or by proxy at the meeting;</w:t>
      </w:r>
    </w:p>
    <w:p>
      <w:pPr>
        <w:spacing w:after="0" w:line="63"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description of any arrangement the stockholder has with the individual the stockholder plans to nominate and the reason for making the nomination;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nominee’s name, address and biographical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written consent of the nominee to serve as a director if elected;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additional information regarding the nominee that the SEC would require if the nomination were included in a proxy statement regardless of whether the nomination may be included in such proxy statement; and</w:t>
      </w:r>
    </w:p>
    <w:p>
      <w:pPr>
        <w:spacing w:after="0" w:line="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stockholder holding 25% or more of the votes entitled to be cast at the 2022 Annual Meeting of Stockholders is not required to comply with these pre-notification requirements.</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151765</wp:posOffset>
            </wp:positionV>
            <wp:extent cx="1208405" cy="6172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84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Turoff</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 Assistant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7, 2021</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320" w:top="1057" w:right="41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9019"/>
          </w:cols>
          <w:pgMar w:left="1440" w:top="1440"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9019"/>
          </w:cols>
          <w:pgMar w:left="144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X"/>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X"/>
      <w:numFmt w:val="bullet"/>
      <w:start w:val="1"/>
    </w:lvl>
  </w:abstractNum>
  <w:abstractNum w:abstractNumId="4">
    <w:nsid w:val="74DE0EE3"/>
    <w:multiLevelType w:val="hybridMultilevel"/>
    <w:lvl w:ilvl="0">
      <w:lvlJc w:val="left"/>
      <w:lvlText w:val="☐"/>
      <w:numFmt w:val="bullet"/>
      <w:start w:val="1"/>
    </w:lvl>
    <w:lvl w:ilvl="1">
      <w:lvlJc w:val="left"/>
      <w:lvlText w:val="(%2)"/>
      <w:numFmt w:val="decimal"/>
      <w:start w:val="1"/>
    </w:lvl>
  </w:abstractNum>
  <w:abstractNum w:abstractNumId="5">
    <w:nsid w:val="68EBC550"/>
    <w:multiLevelType w:val="hybridMultilevel"/>
    <w:lvl w:ilvl="0">
      <w:lvlJc w:val="left"/>
      <w:lvlText w:val="1"/>
      <w:numFmt w:val="bullet"/>
      <w:start w:val="1"/>
    </w:lvl>
  </w:abstractNum>
  <w:abstractNum w:abstractNumId="6">
    <w:nsid w:val="2DF6D648"/>
    <w:multiLevelType w:val="hybridMultilevel"/>
    <w:lvl w:ilvl="0">
      <w:lvlJc w:val="left"/>
      <w:lvlText w:val="%1."/>
      <w:numFmt w:val="decimal"/>
      <w:start w:val="2"/>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lvl w:ilvl="1">
      <w:lvlJc w:val="left"/>
      <w:lvlText w:val="◦"/>
      <w:numFmt w:val="bullet"/>
      <w:start w:val="1"/>
    </w:lvl>
  </w:abstractNum>
  <w:abstractNum w:abstractNumId="15">
    <w:nsid w:val="7F01579B"/>
    <w:multiLevelType w:val="hybridMultilevel"/>
    <w:lvl w:ilvl="0">
      <w:lvlJc w:val="left"/>
      <w:lvlText w:val="(%1)"/>
      <w:numFmt w:val="decimal"/>
      <w:start w:val="1"/>
    </w:lvl>
  </w:abstractNum>
  <w:abstractNum w:abstractNumId="16">
    <w:nsid w:val="49DA307D"/>
    <w:multiLevelType w:val="hybridMultilevel"/>
    <w:lvl w:ilvl="0">
      <w:lvlJc w:val="left"/>
      <w:lvlText w:val="•"/>
      <w:numFmt w:val="bullet"/>
      <w:start w:val="1"/>
    </w:lvl>
    <w:lvl w:ilvl="1">
      <w:lvlJc w:val="left"/>
      <w:lvlText w:val="◦"/>
      <w:numFmt w:val="bullet"/>
      <w:start w:val="1"/>
    </w:lvl>
  </w:abstractNum>
  <w:abstractNum w:abstractNumId="17">
    <w:nsid w:val="7055A5F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5FB8370B"/>
    <w:multiLevelType w:val="hybridMultilevel"/>
    <w:lvl w:ilvl="0">
      <w:lvlJc w:val="left"/>
      <w:lvlText w:val="%1:"/>
      <w:numFmt w:val="upperLetter"/>
      <w:start w:val="17"/>
    </w:lvl>
  </w:abstractNum>
  <w:abstractNum w:abstractNumId="19">
    <w:nsid w:val="50801EE1"/>
    <w:multiLevelType w:val="hybridMultilevel"/>
    <w:lvl w:ilvl="0">
      <w:lvlJc w:val="left"/>
      <w:lvlText w:val="%1:"/>
      <w:numFmt w:val="upperLetter"/>
      <w:start w:val="1"/>
    </w:lvl>
    <w:lvl w:ilvl="1">
      <w:lvlJc w:val="left"/>
      <w:lvlText w:val="%2:"/>
      <w:numFmt w:val="upperLetter"/>
      <w:start w:val="17"/>
    </w:lvl>
  </w:abstractNum>
  <w:abstractNum w:abstractNumId="20">
    <w:nsid w:val="488AC1A"/>
    <w:multiLevelType w:val="hybridMultilevel"/>
    <w:lvl w:ilvl="0">
      <w:lvlJc w:val="left"/>
      <w:lvlText w:val="%1:"/>
      <w:numFmt w:val="upperLetter"/>
      <w:start w:val="1"/>
    </w:lvl>
  </w:abstractNum>
  <w:abstractNum w:abstractNumId="21">
    <w:nsid w:val="5FB8011C"/>
    <w:multiLevelType w:val="hybridMultilevel"/>
    <w:lvl w:ilvl="0">
      <w:lvlJc w:val="left"/>
      <w:lvlText w:val="%1:"/>
      <w:numFmt w:val="upperLetter"/>
      <w:start w:val="17"/>
    </w:lvl>
  </w:abstractNum>
  <w:abstractNum w:abstractNumId="22">
    <w:nsid w:val="6AA78F7F"/>
    <w:multiLevelType w:val="hybridMultilevel"/>
    <w:lvl w:ilvl="0">
      <w:lvlJc w:val="left"/>
      <w:lvlText w:val="%1:"/>
      <w:numFmt w:val="upperLetter"/>
      <w:start w:val="1"/>
    </w:lvl>
  </w:abstractNum>
  <w:abstractNum w:abstractNumId="23">
    <w:nsid w:val="7672BD23"/>
    <w:multiLevelType w:val="hybridMultilevel"/>
    <w:lvl w:ilvl="0">
      <w:lvlJc w:val="left"/>
      <w:lvlText w:val="%1:"/>
      <w:numFmt w:val="upperLetter"/>
      <w:start w:val="17"/>
    </w:lvl>
  </w:abstractNum>
  <w:abstractNum w:abstractNumId="24">
    <w:nsid w:val="6FC75AF8"/>
    <w:multiLevelType w:val="hybridMultilevel"/>
    <w:lvl w:ilvl="0">
      <w:lvlJc w:val="left"/>
      <w:lvlText w:val="%1:"/>
      <w:numFmt w:val="upperLetter"/>
      <w:start w:val="1"/>
    </w:lvl>
  </w:abstractNum>
  <w:abstractNum w:abstractNumId="25">
    <w:nsid w:val="6A5F7029"/>
    <w:multiLevelType w:val="hybridMultilevel"/>
    <w:lvl w:ilvl="0">
      <w:lvlJc w:val="left"/>
      <w:lvlText w:val="%1:"/>
      <w:numFmt w:val="upperLetter"/>
      <w:start w:val="17"/>
    </w:lvl>
  </w:abstractNum>
  <w:abstractNum w:abstractNumId="26">
    <w:nsid w:val="7D5E18F8"/>
    <w:multiLevelType w:val="hybridMultilevel"/>
    <w:lvl w:ilvl="0">
      <w:lvlJc w:val="left"/>
      <w:lvlText w:val="%1:"/>
      <w:numFmt w:val="upperLetter"/>
      <w:start w:val="1"/>
    </w:lvl>
  </w:abstractNum>
  <w:abstractNum w:abstractNumId="27">
    <w:nsid w:val="5F3534A4"/>
    <w:multiLevelType w:val="hybridMultilevel"/>
    <w:lvl w:ilvl="0">
      <w:lvlJc w:val="left"/>
      <w:lvlText w:val="%1:"/>
      <w:numFmt w:val="upperLetter"/>
      <w:start w:val="17"/>
    </w:lvl>
  </w:abstractNum>
  <w:abstractNum w:abstractNumId="28">
    <w:nsid w:val="73A1821B"/>
    <w:multiLevelType w:val="hybridMultilevel"/>
    <w:lvl w:ilvl="0">
      <w:lvlJc w:val="left"/>
      <w:lvlText w:val="%1:"/>
      <w:numFmt w:val="upperLetter"/>
      <w:start w:val="1"/>
    </w:lvl>
  </w:abstractNum>
  <w:abstractNum w:abstractNumId="29">
    <w:nsid w:val="7DE67713"/>
    <w:multiLevelType w:val="hybridMultilevel"/>
    <w:lvl w:ilvl="0">
      <w:lvlJc w:val="left"/>
      <w:lvlText w:val="%1:"/>
      <w:numFmt w:val="upperLetter"/>
      <w:start w:val="17"/>
    </w:lvl>
  </w:abstractNum>
  <w:abstractNum w:abstractNumId="30">
    <w:nsid w:val="555C55B5"/>
    <w:multiLevelType w:val="hybridMultilevel"/>
    <w:lvl w:ilvl="0">
      <w:lvlJc w:val="left"/>
      <w:lvlText w:val="%1:"/>
      <w:numFmt w:val="upperLetter"/>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1:"/>
      <w:numFmt w:val="upperLetter"/>
      <w:start w:val="17"/>
    </w:lvl>
  </w:abstractNum>
  <w:abstractNum w:abstractNumId="35">
    <w:nsid w:val="9DAF632"/>
    <w:multiLevelType w:val="hybridMultilevel"/>
    <w:lvl w:ilvl="0">
      <w:lvlJc w:val="left"/>
      <w:lvlText w:val="%1:"/>
      <w:numFmt w:val="upperLetter"/>
      <w:start w:val="1"/>
    </w:lvl>
  </w:abstractNum>
  <w:abstractNum w:abstractNumId="36">
    <w:nsid w:val="53299938"/>
    <w:multiLevelType w:val="hybridMultilevel"/>
    <w:lvl w:ilvl="0">
      <w:lvlJc w:val="left"/>
      <w:lvlText w:val="%1:"/>
      <w:numFmt w:val="upperLetter"/>
      <w:start w:val="17"/>
    </w:lvl>
  </w:abstractNum>
  <w:abstractNum w:abstractNumId="37">
    <w:nsid w:val="1FBFE8E0"/>
    <w:multiLevelType w:val="hybridMultilevel"/>
    <w:lvl w:ilvl="0">
      <w:lvlJc w:val="left"/>
      <w:lvlText w:val="%1:"/>
      <w:numFmt w:val="upperLetter"/>
      <w:start w:val="1"/>
    </w:lvl>
    <w:lvl w:ilvl="1">
      <w:lvlJc w:val="left"/>
      <w:lvlText w:val="•"/>
      <w:numFmt w:val="bullet"/>
      <w:start w:val="1"/>
    </w:lvl>
  </w:abstractNum>
  <w:abstractNum w:abstractNumId="38">
    <w:nsid w:val="5092CA79"/>
    <w:multiLevelType w:val="hybridMultilevel"/>
    <w:lvl w:ilvl="0">
      <w:lvlJc w:val="left"/>
      <w:lvlText w:val="%1:"/>
      <w:numFmt w:val="upperLetter"/>
      <w:start w:val="17"/>
    </w:lvl>
  </w:abstractNum>
  <w:abstractNum w:abstractNumId="39">
    <w:nsid w:val="1D545C4D"/>
    <w:multiLevelType w:val="hybridMultilevel"/>
    <w:lvl w:ilvl="0">
      <w:lvlJc w:val="left"/>
      <w:lvlText w:val="%1:"/>
      <w:numFmt w:val="upperLetter"/>
      <w:start w:val="1"/>
    </w:lvl>
    <w:lvl w:ilvl="1">
      <w:lvlJc w:val="left"/>
      <w:lvlText w:val="•"/>
      <w:numFmt w:val="bullet"/>
      <w:start w:val="1"/>
    </w:lvl>
  </w:abstractNum>
  <w:abstractNum w:abstractNumId="40">
    <w:nsid w:val="59ADEA3D"/>
    <w:multiLevelType w:val="hybridMultilevel"/>
    <w:lvl w:ilvl="0">
      <w:lvlJc w:val="left"/>
      <w:lvlText w:val="%1:"/>
      <w:numFmt w:val="upperLetter"/>
      <w:start w:val="17"/>
    </w:lvl>
  </w:abstractNum>
  <w:abstractNum w:abstractNumId="41">
    <w:nsid w:val="288F1A34"/>
    <w:multiLevelType w:val="hybridMultilevel"/>
    <w:lvl w:ilvl="0">
      <w:lvlJc w:val="left"/>
      <w:lvlText w:val="%1:"/>
      <w:numFmt w:val="upperLetter"/>
      <w:start w:val="1"/>
    </w:lvl>
    <w:lvl w:ilvl="1">
      <w:lvlJc w:val="left"/>
      <w:lvlText w:val="•"/>
      <w:numFmt w:val="bullet"/>
      <w:start w:val="1"/>
    </w:lvl>
  </w:abstractNum>
  <w:abstractNum w:abstractNumId="42">
    <w:nsid w:val="2A155DBC"/>
    <w:multiLevelType w:val="hybridMultilevel"/>
    <w:lvl w:ilvl="0">
      <w:lvlJc w:val="left"/>
      <w:lvlText w:val="%1:"/>
      <w:numFmt w:val="upperLetter"/>
      <w:start w:val="17"/>
    </w:lvl>
  </w:abstractNum>
  <w:abstractNum w:abstractNumId="43">
    <w:nsid w:val="1D9F6E5F"/>
    <w:multiLevelType w:val="hybridMultilevel"/>
    <w:lvl w:ilvl="0">
      <w:lvlJc w:val="left"/>
      <w:lvlText w:val="%1:"/>
      <w:numFmt w:val="upperLetter"/>
      <w:start w:val="1"/>
    </w:lvl>
  </w:abstractNum>
  <w:abstractNum w:abstractNumId="44">
    <w:nsid w:val="97E1B4E"/>
    <w:multiLevelType w:val="hybridMultilevel"/>
    <w:lvl w:ilvl="0">
      <w:lvlJc w:val="left"/>
      <w:lvlText w:val="%1:"/>
      <w:numFmt w:val="upperLetter"/>
      <w:start w:val="17"/>
    </w:lvl>
  </w:abstractNum>
  <w:abstractNum w:abstractNumId="45">
    <w:nsid w:val="51088277"/>
    <w:multiLevelType w:val="hybridMultilevel"/>
    <w:lvl w:ilvl="0">
      <w:lvlJc w:val="left"/>
      <w:lvlText w:val="%1:"/>
      <w:numFmt w:val="upperLetter"/>
      <w:start w:val="1"/>
    </w:lvl>
    <w:lvl w:ilvl="1">
      <w:lvlJc w:val="left"/>
      <w:lvlText w:val="•"/>
      <w:numFmt w:val="bullet"/>
      <w:start w:val="1"/>
    </w:lvl>
  </w:abstractNum>
  <w:abstractNum w:abstractNumId="46">
    <w:nsid w:val="1CA0C5FA"/>
    <w:multiLevelType w:val="hybridMultilevel"/>
    <w:lvl w:ilvl="0">
      <w:lvlJc w:val="left"/>
      <w:lvlText w:val="%1:"/>
      <w:numFmt w:val="upperLetter"/>
      <w:start w:val="17"/>
    </w:lvl>
  </w:abstractNum>
  <w:abstractNum w:abstractNumId="47">
    <w:nsid w:val="53584BCB"/>
    <w:multiLevelType w:val="hybridMultilevel"/>
    <w:lvl w:ilvl="0">
      <w:lvlJc w:val="left"/>
      <w:lvlText w:val="%1:"/>
      <w:numFmt w:val="upperLetter"/>
      <w:start w:val="1"/>
    </w:lvl>
    <w:lvl w:ilvl="1">
      <w:lvlJc w:val="left"/>
      <w:lvlText w:val="•"/>
      <w:numFmt w:val="bullet"/>
      <w:start w:val="1"/>
    </w:lvl>
  </w:abstractNum>
  <w:abstractNum w:abstractNumId="48">
    <w:nsid w:val="415E286C"/>
    <w:multiLevelType w:val="hybridMultilevel"/>
    <w:lvl w:ilvl="0">
      <w:lvlJc w:val="left"/>
      <w:lvlText w:val="%1:"/>
      <w:numFmt w:val="upperLetter"/>
      <w:start w:val="17"/>
    </w:lvl>
  </w:abstractNum>
  <w:abstractNum w:abstractNumId="49">
    <w:nsid w:val="7C58FD05"/>
    <w:multiLevelType w:val="hybridMultilevel"/>
    <w:lvl w:ilvl="0">
      <w:lvlJc w:val="left"/>
      <w:lvlText w:val="%1:"/>
      <w:numFmt w:val="upperLetter"/>
      <w:start w:val="1"/>
    </w:lvl>
    <w:lvl w:ilvl="1">
      <w:lvlJc w:val="left"/>
      <w:lvlText w:val="•"/>
      <w:numFmt w:val="bullet"/>
      <w:start w:val="1"/>
    </w:lvl>
  </w:abstractNum>
  <w:abstractNum w:abstractNumId="50">
    <w:nsid w:val="23D86AAC"/>
    <w:multiLevelType w:val="hybridMultilevel"/>
    <w:lvl w:ilvl="0">
      <w:lvlJc w:val="left"/>
      <w:lvlText w:val="%1:"/>
      <w:numFmt w:val="upperLetter"/>
      <w:start w:val="17"/>
    </w:lvl>
  </w:abstractNum>
  <w:abstractNum w:abstractNumId="51">
    <w:nsid w:val="45E6D486"/>
    <w:multiLevelType w:val="hybridMultilevel"/>
    <w:lvl w:ilvl="0">
      <w:lvlJc w:val="left"/>
      <w:lvlText w:val="%1:"/>
      <w:numFmt w:val="upperLetter"/>
      <w:start w:val="1"/>
    </w:lvl>
  </w:abstractNum>
  <w:abstractNum w:abstractNumId="52">
    <w:nsid w:val="5C10FE21"/>
    <w:multiLevelType w:val="hybridMultilevel"/>
    <w:lvl w:ilvl="0">
      <w:lvlJc w:val="left"/>
      <w:lvlText w:val="%1:"/>
      <w:numFmt w:val="upperLetter"/>
      <w:start w:val="17"/>
    </w:lvl>
  </w:abstractNum>
  <w:abstractNum w:abstractNumId="53">
    <w:nsid w:val="E7FFA2B"/>
    <w:multiLevelType w:val="hybridMultilevel"/>
    <w:lvl w:ilvl="0">
      <w:lvlJc w:val="left"/>
      <w:lvlText w:val="%1:"/>
      <w:numFmt w:val="upperLetter"/>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ü"/>
      <w:numFmt w:val="bullet"/>
      <w:start w:val="1"/>
    </w:lvl>
  </w:abstractNum>
  <w:abstractNum w:abstractNumId="64">
    <w:nsid w:val="6AA7B75C"/>
    <w:multiLevelType w:val="hybridMultilevel"/>
    <w:lvl w:ilvl="0">
      <w:lvlJc w:val="left"/>
      <w:lvlText w:val="ü"/>
      <w:numFmt w:val="bullet"/>
      <w:start w:val="1"/>
    </w:lvl>
  </w:abstractNum>
  <w:abstractNum w:abstractNumId="65">
    <w:nsid w:val="1DF029D3"/>
    <w:multiLevelType w:val="hybridMultilevel"/>
    <w:lvl w:ilvl="0">
      <w:lvlJc w:val="left"/>
      <w:lvlText w:val="•"/>
      <w:numFmt w:val="bullet"/>
      <w:start w:val="1"/>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
      <w:numFmt w:val="bullet"/>
      <w:start w:val="1"/>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
      <w:numFmt w:val="bullet"/>
      <w:start w:val="1"/>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
      <w:numFmt w:val="bullet"/>
      <w:start w:val="1"/>
    </w:lvl>
  </w:abstractNum>
  <w:abstractNum w:abstractNumId="76">
    <w:nsid w:val="56438D15"/>
    <w:multiLevelType w:val="hybridMultilevel"/>
    <w:lvl w:ilvl="0">
      <w:lvlJc w:val="left"/>
      <w:lvlText w:val="•"/>
      <w:numFmt w:val="bullet"/>
      <w:start w:val="1"/>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
      <w:numFmt w:val="bullet"/>
      <w:start w:val="1"/>
    </w:lvl>
  </w:abstractNum>
  <w:abstractNum w:abstractNumId="83">
    <w:nsid w:val="2A082C70"/>
    <w:multiLevelType w:val="hybridMultilevel"/>
    <w:lvl w:ilvl="0">
      <w:lvlJc w:val="left"/>
      <w:lvlText w:val="•"/>
      <w:numFmt w:val="bullet"/>
      <w:start w:val="1"/>
    </w:lvl>
  </w:abstractNum>
  <w:abstractNum w:abstractNumId="84">
    <w:nsid w:val="5EC6AFD4"/>
    <w:multiLevelType w:val="hybridMultilevel"/>
    <w:lvl w:ilvl="0">
      <w:lvlJc w:val="left"/>
      <w:lvlText w:val="•"/>
      <w:numFmt w:val="bullet"/>
      <w:start w:val="1"/>
    </w:lvl>
  </w:abstractNum>
  <w:abstractNum w:abstractNumId="85">
    <w:nsid w:val="19E21BB2"/>
    <w:multiLevelType w:val="hybridMultilevel"/>
    <w:lvl w:ilvl="0">
      <w:lvlJc w:val="left"/>
      <w:lvlText w:val="•"/>
      <w:numFmt w:val="bullet"/>
      <w:start w:val="1"/>
    </w:lvl>
    <w:lvl w:ilvl="1">
      <w:lvlJc w:val="left"/>
      <w:lvlText w:val="○"/>
      <w:numFmt w:val="bullet"/>
      <w:start w:val="1"/>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
      <w:numFmt w:val="bullet"/>
      <w:start w:val="1"/>
    </w:lvl>
  </w:abstractNum>
  <w:abstractNum w:abstractNumId="92">
    <w:nsid w:val="2157F6BC"/>
    <w:multiLevelType w:val="hybridMultilevel"/>
    <w:lvl w:ilvl="0">
      <w:lvlJc w:val="left"/>
      <w:lvlText w:val="•"/>
      <w:numFmt w:val="bullet"/>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
      <w:numFmt w:val="bullet"/>
      <w:start w:val="1"/>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
      <w:numFmt w:val="bullet"/>
      <w:start w:val="1"/>
    </w:lvl>
  </w:abstractNum>
  <w:abstractNum w:abstractNumId="97">
    <w:nsid w:val="2E48F044"/>
    <w:multiLevelType w:val="hybridMultilevel"/>
    <w:lvl w:ilvl="0">
      <w:lvlJc w:val="left"/>
      <w:lvlText w:val="•"/>
      <w:numFmt w:val="bullet"/>
      <w:start w:val="1"/>
    </w:lvl>
  </w:abstractNum>
  <w:abstractNum w:abstractNumId="98">
    <w:nsid w:val="49D0FEAC"/>
    <w:multiLevelType w:val="hybridMultilevel"/>
    <w:lvl w:ilvl="0">
      <w:lvlJc w:val="left"/>
      <w:lvlText w:val="•"/>
      <w:numFmt w:val="bullet"/>
      <w:start w:val="1"/>
    </w:lvl>
  </w:abstractNum>
  <w:abstractNum w:abstractNumId="99">
    <w:nsid w:val="4BEE5A5B"/>
    <w:multiLevelType w:val="hybridMultilevel"/>
    <w:lvl w:ilvl="0">
      <w:lvlJc w:val="left"/>
      <w:lvlText w:val="•"/>
      <w:numFmt w:val="bullet"/>
      <w:start w:val="1"/>
    </w:lvl>
    <w:lvl w:ilvl="1">
      <w:lvlJc w:val="left"/>
      <w:lvlText w:val="○"/>
      <w:numFmt w:val="bullet"/>
      <w:start w:val="1"/>
    </w:lvl>
  </w:abstractNum>
  <w:abstractNum w:abstractNumId="100">
    <w:nsid w:val="5551B9F3"/>
    <w:multiLevelType w:val="hybridMultilevel"/>
    <w:lvl w:ilvl="0">
      <w:lvlJc w:val="left"/>
      <w:lvlText w:val="•"/>
      <w:numFmt w:val="bullet"/>
      <w:start w:val="1"/>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
      <w:numFmt w:val="bullet"/>
      <w:start w:val="1"/>
    </w:lvl>
  </w:abstractNum>
  <w:abstractNum w:abstractNumId="104">
    <w:nsid w:val="2A31B62D"/>
    <w:multiLevelType w:val="hybridMultilevel"/>
    <w:lvl w:ilvl="0">
      <w:lvlJc w:val="left"/>
      <w:lvlText w:val="•"/>
      <w:numFmt w:val="bullet"/>
      <w:start w:val="1"/>
    </w:lvl>
    <w:lvl w:ilvl="1">
      <w:lvlJc w:val="left"/>
      <w:lvlText w:val="○"/>
      <w:numFmt w:val="bullet"/>
      <w:start w:val="1"/>
    </w:lvl>
  </w:abstractNum>
  <w:abstractNum w:abstractNumId="105">
    <w:nsid w:val="1849C29B"/>
    <w:multiLevelType w:val="hybridMultilevel"/>
    <w:lvl w:ilvl="0">
      <w:lvlJc w:val="left"/>
      <w:lvlText w:val="•"/>
      <w:numFmt w:val="bullet"/>
      <w:start w:val="1"/>
    </w:lvl>
  </w:abstractNum>
  <w:abstractNum w:abstractNumId="106">
    <w:nsid w:val="7DFF9D09"/>
    <w:multiLevelType w:val="hybridMultilevel"/>
    <w:lvl w:ilvl="0">
      <w:lvlJc w:val="left"/>
      <w:lvlText w:val="•"/>
      <w:numFmt w:val="bullet"/>
      <w:start w:val="1"/>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1)"/>
      <w:numFmt w:val="decimal"/>
      <w:start w:val="1"/>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1)"/>
      <w:numFmt w:val="decimal"/>
      <w:start w:val="1"/>
    </w:lvl>
  </w:abstractNum>
  <w:abstractNum w:abstractNumId="111">
    <w:nsid w:val="37DF2233"/>
    <w:multiLevelType w:val="hybridMultilevel"/>
    <w:lvl w:ilvl="0">
      <w:lvlJc w:val="left"/>
      <w:lvlText w:val="(%1)"/>
      <w:numFmt w:val="decimal"/>
      <w:start w:val="3"/>
    </w:lvl>
  </w:abstractNum>
  <w:abstractNum w:abstractNumId="112">
    <w:nsid w:val="7AB49DAF"/>
    <w:multiLevelType w:val="hybridMultilevel"/>
    <w:lvl w:ilvl="0">
      <w:lvlJc w:val="left"/>
      <w:lvlText w:val="(%1)"/>
      <w:numFmt w:val="decimal"/>
      <w:start w:val="4"/>
    </w:lvl>
  </w:abstractNum>
  <w:abstractNum w:abstractNumId="113">
    <w:nsid w:val="759F82CD"/>
    <w:multiLevelType w:val="hybridMultilevel"/>
    <w:lvl w:ilvl="0">
      <w:lvlJc w:val="left"/>
      <w:lvlText w:val="•"/>
      <w:numFmt w:val="bullet"/>
      <w:start w:val="1"/>
    </w:lvl>
  </w:abstractNum>
  <w:abstractNum w:abstractNumId="114">
    <w:nsid w:val="61E74EA3"/>
    <w:multiLevelType w:val="hybridMultilevel"/>
    <w:lvl w:ilvl="0">
      <w:lvlJc w:val="left"/>
      <w:lvlText w:val="*"/>
      <w:numFmt w:val="bullet"/>
      <w:start w:val="1"/>
    </w:lvl>
  </w:abstractNum>
  <w:abstractNum w:abstractNumId="115">
    <w:nsid w:val="597B4D84"/>
    <w:multiLevelType w:val="hybridMultilevel"/>
    <w:lvl w:ilvl="0">
      <w:lvlJc w:val="left"/>
      <w:lvlText w:val="(%1)"/>
      <w:numFmt w:val="decimal"/>
      <w:start w:val="1"/>
    </w:lvl>
  </w:abstractNum>
  <w:abstractNum w:abstractNumId="116">
    <w:nsid w:val="F819E7F"/>
    <w:multiLevelType w:val="hybridMultilevel"/>
    <w:lvl w:ilvl="0">
      <w:lvlJc w:val="left"/>
      <w:lvlText w:val="(%1)"/>
      <w:numFmt w:val="decimal"/>
      <w:start w:val="2"/>
    </w:lvl>
  </w:abstractNum>
  <w:abstractNum w:abstractNumId="117">
    <w:nsid w:val="57C7D42D"/>
    <w:multiLevelType w:val="hybridMultilevel"/>
    <w:lvl w:ilvl="0">
      <w:lvlJc w:val="left"/>
      <w:lvlText w:val="•"/>
      <w:numFmt w:val="bullet"/>
      <w:start w:val="1"/>
    </w:lvl>
  </w:abstractNum>
  <w:abstractNum w:abstractNumId="118">
    <w:nsid w:val="312167AD"/>
    <w:multiLevelType w:val="hybridMultilevel"/>
    <w:lvl w:ilvl="0">
      <w:lvlJc w:val="left"/>
      <w:lvlText w:val="*"/>
      <w:numFmt w:val="bullet"/>
      <w:start w:val="1"/>
    </w:lvl>
  </w:abstractNum>
  <w:abstractNum w:abstractNumId="119">
    <w:nsid w:val="631B64D4"/>
    <w:multiLevelType w:val="hybridMultilevel"/>
    <w:lvl w:ilvl="0">
      <w:lvlJc w:val="left"/>
      <w:lvlText w:val="•"/>
      <w:numFmt w:val="bullet"/>
      <w:start w:val="1"/>
    </w:lvl>
  </w:abstractNum>
  <w:abstractNum w:abstractNumId="120">
    <w:nsid w:val="78B5E776"/>
    <w:multiLevelType w:val="hybridMultilevel"/>
    <w:lvl w:ilvl="0">
      <w:lvlJc w:val="left"/>
      <w:lvlText w:val="•"/>
      <w:numFmt w:val="bullet"/>
      <w:start w:val="1"/>
    </w:lvl>
  </w:abstractNum>
  <w:abstractNum w:abstractNumId="121">
    <w:nsid w:val="75486E47"/>
    <w:multiLevelType w:val="hybridMultilevel"/>
    <w:lvl w:ilvl="0">
      <w:lvlJc w:val="left"/>
      <w:lvlText w:val="•"/>
      <w:numFmt w:val="bullet"/>
      <w:start w:val="1"/>
    </w:lvl>
  </w:abstractNum>
  <w:abstractNum w:abstractNumId="122">
    <w:nsid w:val="6E534CDE"/>
    <w:multiLevelType w:val="hybridMultilevel"/>
    <w:lvl w:ilvl="0">
      <w:lvlJc w:val="left"/>
      <w:lvlText w:val="•"/>
      <w:numFmt w:val="bullet"/>
      <w:start w:val="1"/>
    </w:lvl>
  </w:abstractNum>
  <w:abstractNum w:abstractNumId="123">
    <w:nsid w:val="1A0DDE32"/>
    <w:multiLevelType w:val="hybridMultilevel"/>
    <w:lvl w:ilvl="0">
      <w:lvlJc w:val="left"/>
      <w:lvlText w:val="•"/>
      <w:numFmt w:val="bullet"/>
      <w:start w:val="1"/>
    </w:lvl>
  </w:abstractNum>
  <w:abstractNum w:abstractNumId="124">
    <w:nsid w:val="65968C1C"/>
    <w:multiLevelType w:val="hybridMultilevel"/>
    <w:lvl w:ilvl="0">
      <w:lvlJc w:val="left"/>
      <w:lvlText w:val="•"/>
      <w:numFmt w:val="bullet"/>
      <w:start w:val="1"/>
    </w:lvl>
  </w:abstractNum>
  <w:abstractNum w:abstractNumId="125">
    <w:nsid w:val="46263DEC"/>
    <w:multiLevelType w:val="hybridMultilevel"/>
    <w:lvl w:ilvl="0">
      <w:lvlJc w:val="left"/>
      <w:lvlText w:val="(%1)"/>
      <w:numFmt w:val="decimal"/>
      <w:start w:val="1"/>
    </w:lvl>
  </w:abstractNum>
  <w:abstractNum w:abstractNumId="126">
    <w:nsid w:val="260D8C4A"/>
    <w:multiLevelType w:val="hybridMultilevel"/>
    <w:lvl w:ilvl="0">
      <w:lvlJc w:val="left"/>
      <w:lvlText w:val="(%1)"/>
      <w:numFmt w:val="decimal"/>
      <w:start w:val="1"/>
    </w:lvl>
  </w:abstractNum>
  <w:abstractNum w:abstractNumId="127">
    <w:nsid w:val="73D4D3C4"/>
    <w:multiLevelType w:val="hybridMultilevel"/>
    <w:lvl w:ilvl="0">
      <w:lvlJc w:val="left"/>
      <w:lvlText w:val="•"/>
      <w:numFmt w:val="bullet"/>
      <w:start w:val="1"/>
    </w:lvl>
  </w:abstractNum>
  <w:abstractNum w:abstractNumId="128">
    <w:nsid w:val="746F2E30"/>
    <w:multiLevelType w:val="hybridMultilevel"/>
    <w:lvl w:ilvl="0">
      <w:lvlJc w:val="left"/>
      <w:lvlText w:val="•"/>
      <w:numFmt w:val="bullet"/>
      <w:start w:val="1"/>
    </w:lvl>
  </w:abstractNum>
  <w:abstractNum w:abstractNumId="129">
    <w:nsid w:val="6FDE8AF6"/>
    <w:multiLevelType w:val="hybridMultilevel"/>
    <w:lvl w:ilvl="0">
      <w:lvlJc w:val="left"/>
      <w:lvlText w:val="(%1)"/>
      <w:numFmt w:val="decimal"/>
      <w:start w:val="1"/>
    </w:lvl>
  </w:abstractNum>
  <w:abstractNum w:abstractNumId="130">
    <w:nsid w:val="3FC32E20"/>
    <w:multiLevelType w:val="hybridMultilevel"/>
    <w:lvl w:ilvl="0">
      <w:lvlJc w:val="left"/>
      <w:lvlText w:val="(%1)"/>
      <w:numFmt w:val="decimal"/>
      <w:start w:val="1"/>
    </w:lvl>
  </w:abstractNum>
  <w:abstractNum w:abstractNumId="131">
    <w:nsid w:val="49C0E823"/>
    <w:multiLevelType w:val="hybridMultilevel"/>
    <w:lvl w:ilvl="0">
      <w:lvlJc w:val="left"/>
      <w:lvlText w:val="(%1)"/>
      <w:numFmt w:val="decimal"/>
      <w:start w:val="1"/>
    </w:lvl>
    <w:lvl w:ilvl="1">
      <w:lvlJc w:val="left"/>
      <w:lvlText w:val="•"/>
      <w:numFmt w:val="bullet"/>
      <w:start w:val="1"/>
    </w:lvl>
  </w:abstractNum>
  <w:abstractNum w:abstractNumId="132">
    <w:nsid w:val="14D53685"/>
    <w:multiLevelType w:val="hybridMultilevel"/>
    <w:lvl w:ilvl="0">
      <w:lvlJc w:val="left"/>
      <w:lvlText w:val="(%1)"/>
      <w:numFmt w:val="decimal"/>
      <w:start w:val="1"/>
    </w:lvl>
  </w:abstractNum>
  <w:abstractNum w:abstractNumId="133">
    <w:nsid w:val="230F856C"/>
    <w:multiLevelType w:val="hybridMultilevel"/>
    <w:lvl w:ilvl="0">
      <w:lvlJc w:val="left"/>
      <w:lvlText w:val="(%1)"/>
      <w:numFmt w:val="decimal"/>
      <w:start w:val="1"/>
    </w:lvl>
  </w:abstractNum>
  <w:abstractNum w:abstractNumId="134">
    <w:nsid w:val="6EAA85FB"/>
    <w:multiLevelType w:val="hybridMultilevel"/>
    <w:lvl w:ilvl="0">
      <w:lvlJc w:val="left"/>
      <w:lvlText w:val="(%1)"/>
      <w:numFmt w:val="decimal"/>
      <w:start w:val="2"/>
    </w:lvl>
  </w:abstractNum>
  <w:abstractNum w:abstractNumId="135">
    <w:nsid w:val="3F06ECB2"/>
    <w:multiLevelType w:val="hybridMultilevel"/>
    <w:lvl w:ilvl="0">
      <w:lvlJc w:val="left"/>
      <w:lvlText w:val="(%1)"/>
      <w:numFmt w:val="decimal"/>
      <w:start w:val="1"/>
    </w:lvl>
  </w:abstractNum>
  <w:abstractNum w:abstractNumId="136">
    <w:nsid w:val="3B594807"/>
    <w:multiLevelType w:val="hybridMultilevel"/>
    <w:lvl w:ilvl="0">
      <w:lvlJc w:val="left"/>
      <w:lvlText w:val="(%1)"/>
      <w:numFmt w:val="decimal"/>
      <w:start w:val="1"/>
    </w:lvl>
    <w:lvl w:ilvl="1">
      <w:lvlJc w:val="left"/>
      <w:lvlText w:val="•"/>
      <w:numFmt w:val="bullet"/>
      <w:start w:val="1"/>
    </w:lvl>
  </w:abstractNum>
  <w:abstractNum w:abstractNumId="137">
    <w:nsid w:val="6CAA2304"/>
    <w:multiLevelType w:val="hybridMultilevel"/>
    <w:lvl w:ilvl="0">
      <w:lvlJc w:val="left"/>
      <w:lvlText w:val="•"/>
      <w:numFmt w:val="bullet"/>
      <w:start w:val="1"/>
    </w:lvl>
  </w:abstractNum>
  <w:abstractNum w:abstractNumId="138">
    <w:nsid w:val="3F7C2FF4"/>
    <w:multiLevelType w:val="hybridMultilevel"/>
    <w:lvl w:ilvl="0">
      <w:lvlJc w:val="left"/>
      <w:lvlText w:val="(%1)"/>
      <w:numFmt w:val="decimal"/>
      <w:start w:val="1"/>
    </w:lvl>
    <w:lvl w:ilvl="1">
      <w:lvlJc w:val="left"/>
      <w:lvlText w:val="•"/>
      <w:numFmt w:val="bullet"/>
      <w:start w:val="1"/>
    </w:lvl>
  </w:abstractNum>
  <w:abstractNum w:abstractNumId="139">
    <w:nsid w:val="25413BEC"/>
    <w:multiLevelType w:val="hybridMultilevel"/>
    <w:lvl w:ilvl="0">
      <w:lvlJc w:val="left"/>
      <w:lvlText w:val="•"/>
      <w:numFmt w:val="bullet"/>
      <w:start w:val="1"/>
    </w:lvl>
  </w:abstractNum>
  <w:abstractNum w:abstractNumId="140">
    <w:nsid w:val="17180B0B"/>
    <w:multiLevelType w:val="hybridMultilevel"/>
    <w:lvl w:ilvl="0">
      <w:lvlJc w:val="left"/>
      <w:lvlText w:val="(%1)"/>
      <w:numFmt w:val="decimal"/>
      <w:start w:val="1"/>
    </w:lvl>
  </w:abstractNum>
  <w:abstractNum w:abstractNumId="141">
    <w:nsid w:val="579328B9"/>
    <w:multiLevelType w:val="hybridMultilevel"/>
    <w:lvl w:ilvl="0">
      <w:lvlJc w:val="left"/>
      <w:lvlText w:val="(%1)"/>
      <w:numFmt w:val="decimal"/>
      <w:start w:val="4"/>
    </w:lvl>
  </w:abstractNum>
  <w:abstractNum w:abstractNumId="142">
    <w:nsid w:val="5D205E20"/>
    <w:multiLevelType w:val="hybridMultilevel"/>
    <w:lvl w:ilvl="0">
      <w:lvlJc w:val="left"/>
      <w:lvlText w:val="(%1)"/>
      <w:numFmt w:val="decimal"/>
      <w:start w:val="5"/>
    </w:lvl>
  </w:abstractNum>
  <w:abstractNum w:abstractNumId="143">
    <w:nsid w:val="11CCA8BA"/>
    <w:multiLevelType w:val="hybridMultilevel"/>
    <w:lvl w:ilvl="0">
      <w:lvlJc w:val="left"/>
      <w:lvlText w:val="(%1)"/>
      <w:numFmt w:val="decimal"/>
      <w:start w:val="8"/>
    </w:lvl>
  </w:abstractNum>
  <w:abstractNum w:abstractNumId="144">
    <w:nsid w:val="4D32AB86"/>
    <w:multiLevelType w:val="hybridMultilevel"/>
    <w:lvl w:ilvl="0">
      <w:lvlJc w:val="left"/>
      <w:lvlText w:val="(%1)"/>
      <w:numFmt w:val="lowerLetter"/>
      <w:start w:val="1"/>
    </w:lvl>
  </w:abstractNum>
  <w:abstractNum w:abstractNumId="145">
    <w:nsid w:val="3F07ACC3"/>
    <w:multiLevelType w:val="hybridMultilevel"/>
    <w:lvl w:ilvl="0">
      <w:lvlJc w:val="left"/>
      <w:lvlText w:val="(%1)"/>
      <w:numFmt w:val="decimal"/>
      <w:start w:val="1"/>
    </w:lvl>
  </w:abstractNum>
  <w:abstractNum w:abstractNumId="146">
    <w:nsid w:val="6B47F63E"/>
    <w:multiLevelType w:val="hybridMultilevel"/>
    <w:lvl w:ilvl="0">
      <w:lvlJc w:val="left"/>
      <w:lvlText w:val="(%1)"/>
      <w:numFmt w:val="decimal"/>
      <w:start w:val="4"/>
    </w:lvl>
  </w:abstractNum>
  <w:abstractNum w:abstractNumId="147">
    <w:nsid w:val="5CB44A05"/>
    <w:multiLevelType w:val="hybridMultilevel"/>
    <w:lvl w:ilvl="0">
      <w:lvlJc w:val="left"/>
      <w:lvlText w:val="(%1)"/>
      <w:numFmt w:val="decimal"/>
      <w:start w:val="5"/>
    </w:lvl>
  </w:abstractNum>
  <w:abstractNum w:abstractNumId="148">
    <w:nsid w:val="16CF80F1"/>
    <w:multiLevelType w:val="hybridMultilevel"/>
    <w:lvl w:ilvl="0">
      <w:lvlJc w:val="left"/>
      <w:lvlText w:val="(%1)"/>
      <w:numFmt w:val="decimal"/>
      <w:start w:val="1"/>
    </w:lvl>
  </w:abstractNum>
  <w:abstractNum w:abstractNumId="149">
    <w:nsid w:val="1C695DEC"/>
    <w:multiLevelType w:val="hybridMultilevel"/>
    <w:lvl w:ilvl="0">
      <w:lvlJc w:val="left"/>
      <w:lvlText w:val="(%1)"/>
      <w:numFmt w:val="decimal"/>
      <w:start w:val="3"/>
    </w:lvl>
  </w:abstractNum>
  <w:abstractNum w:abstractNumId="150">
    <w:nsid w:val="3FCFAED9"/>
    <w:multiLevelType w:val="hybridMultilevel"/>
    <w:lvl w:ilvl="0">
      <w:lvlJc w:val="left"/>
      <w:lvlText w:val="(%1)"/>
      <w:numFmt w:val="decimal"/>
      <w:start w:val="4"/>
    </w:lvl>
  </w:abstractNum>
  <w:abstractNum w:abstractNumId="151">
    <w:nsid w:val="F856867"/>
    <w:multiLevelType w:val="hybridMultilevel"/>
    <w:lvl w:ilvl="0">
      <w:lvlJc w:val="left"/>
      <w:lvlText w:val="(%1)"/>
      <w:numFmt w:val="decimal"/>
      <w:start w:val="1"/>
    </w:lvl>
  </w:abstractNum>
  <w:abstractNum w:abstractNumId="152">
    <w:nsid w:val="11B1CC33"/>
    <w:multiLevelType w:val="hybridMultilevel"/>
    <w:lvl w:ilvl="0">
      <w:lvlJc w:val="left"/>
      <w:lvlText w:val="(%1)"/>
      <w:numFmt w:val="decimal"/>
      <w:start w:val="1"/>
    </w:lvl>
  </w:abstractNum>
  <w:abstractNum w:abstractNumId="153">
    <w:nsid w:val="2E22FBB7"/>
    <w:multiLevelType w:val="hybridMultilevel"/>
    <w:lvl w:ilvl="0">
      <w:lvlJc w:val="left"/>
      <w:lvlText w:val="(%1)"/>
      <w:numFmt w:val="decimal"/>
      <w:start w:val="1"/>
    </w:lvl>
  </w:abstractNum>
  <w:abstractNum w:abstractNumId="154">
    <w:nsid w:val="29934699"/>
    <w:multiLevelType w:val="hybridMultilevel"/>
    <w:lvl w:ilvl="0">
      <w:lvlJc w:val="left"/>
      <w:lvlText w:val="%1."/>
      <w:numFmt w:val="lowerLetter"/>
      <w:start w:val="1"/>
    </w:lvl>
  </w:abstractNum>
  <w:abstractNum w:abstractNumId="155">
    <w:nsid w:val="77485850"/>
    <w:multiLevelType w:val="hybridMultilevel"/>
    <w:lvl w:ilvl="0">
      <w:lvlJc w:val="left"/>
      <w:lvlText w:val="•"/>
      <w:numFmt w:val="bullet"/>
      <w:start w:val="1"/>
    </w:lvl>
  </w:abstractNum>
  <w:abstractNum w:abstractNumId="156">
    <w:nsid w:val="744939A3"/>
    <w:multiLevelType w:val="hybridMultilevel"/>
    <w:lvl w:ilvl="0">
      <w:lvlJc w:val="left"/>
      <w:lvlText w:val="(%1)"/>
      <w:numFmt w:val="decimal"/>
      <w:start w:val="1"/>
    </w:lvl>
  </w:abstractNum>
  <w:abstractNum w:abstractNumId="157">
    <w:nsid w:val="4FA0D2E3"/>
    <w:multiLevelType w:val="hybridMultilevel"/>
    <w:lvl w:ilvl="0">
      <w:lvlJc w:val="left"/>
      <w:lvlText w:val="(%1)"/>
      <w:numFmt w:val="decimal"/>
      <w:start w:val="1"/>
    </w:lvl>
  </w:abstractNum>
  <w:abstractNum w:abstractNumId="158">
    <w:nsid w:val="6B1D2C14"/>
    <w:multiLevelType w:val="hybridMultilevel"/>
    <w:lvl w:ilvl="0">
      <w:lvlJc w:val="left"/>
      <w:lvlText w:val="(%1)"/>
      <w:numFmt w:val="decimal"/>
      <w:start w:val="1"/>
    </w:lvl>
  </w:abstractNum>
  <w:abstractNum w:abstractNumId="159">
    <w:nsid w:val="68B867D3"/>
    <w:multiLevelType w:val="hybridMultilevel"/>
    <w:lvl w:ilvl="0">
      <w:lvlJc w:val="left"/>
      <w:lvlText w:val="(%1)"/>
      <w:numFmt w:val="decimal"/>
      <w:start w:val="1"/>
    </w:lvl>
  </w:abstractNum>
  <w:abstractNum w:abstractNumId="160">
    <w:nsid w:val="3F7F5DD9"/>
    <w:multiLevelType w:val="hybridMultilevel"/>
    <w:lvl w:ilvl="0">
      <w:lvlJc w:val="left"/>
      <w:lvlText w:val="(%1)"/>
      <w:numFmt w:val="decimal"/>
      <w:start w:val="1"/>
    </w:lvl>
  </w:abstractNum>
  <w:abstractNum w:abstractNumId="161">
    <w:nsid w:val="2AE05A34"/>
    <w:multiLevelType w:val="hybridMultilevel"/>
    <w:lvl w:ilvl="0">
      <w:lvlJc w:val="left"/>
      <w:lvlText w:val="•"/>
      <w:numFmt w:val="bullet"/>
      <w:start w:val="1"/>
    </w:lvl>
  </w:abstractNum>
  <w:abstractNum w:abstractNumId="162">
    <w:nsid w:val="32794FF7"/>
    <w:multiLevelType w:val="hybridMultilevel"/>
    <w:lvl w:ilvl="0">
      <w:lvlJc w:val="left"/>
      <w:lvlText w:val="(%1)"/>
      <w:numFmt w:val="decimal"/>
      <w:start w:val="1"/>
    </w:lvl>
    <w:lvl w:ilvl="1">
      <w:lvlJc w:val="left"/>
      <w:lvlText w:val="•"/>
      <w:numFmt w:val="bullet"/>
      <w:start w:val="1"/>
    </w:lvl>
  </w:abstractNum>
  <w:abstractNum w:abstractNumId="163">
    <w:nsid w:val="5454945E"/>
    <w:multiLevelType w:val="hybridMultilevel"/>
    <w:lvl w:ilvl="0">
      <w:lvlJc w:val="left"/>
      <w:lvlText w:val="(%1)"/>
      <w:numFmt w:val="decimal"/>
      <w:start w:val="3"/>
    </w:lvl>
  </w:abstractNum>
  <w:abstractNum w:abstractNumId="164">
    <w:nsid w:val="4DEFDFA0"/>
    <w:multiLevelType w:val="hybridMultilevel"/>
    <w:lvl w:ilvl="0">
      <w:lvlJc w:val="left"/>
      <w:lvlText w:val="•"/>
      <w:numFmt w:val="bullet"/>
      <w:start w:val="1"/>
    </w:lvl>
    <w:lvl w:ilvl="1">
      <w:lvlJc w:val="left"/>
      <w:lvlText w:val="◦"/>
      <w:numFmt w:val="bullet"/>
      <w:start w:val="1"/>
    </w:lvl>
  </w:abstractNum>
  <w:abstractNum w:abstractNumId="165">
    <w:nsid w:val="2123D5F2"/>
    <w:multiLevelType w:val="hybridMultilevel"/>
    <w:lvl w:ilvl="0">
      <w:lvlJc w:val="left"/>
      <w:lvlText w:val="•"/>
      <w:numFmt w:val="bullet"/>
      <w:start w:val="1"/>
    </w:lvl>
  </w:abstractNum>
  <w:abstractNum w:abstractNumId="166">
    <w:nsid w:val="135B8110"/>
    <w:multiLevelType w:val="hybridMultilevel"/>
    <w:lvl w:ilvl="0">
      <w:lvlJc w:val="left"/>
      <w:lvlText w:val="(%1)"/>
      <w:numFmt w:val="decimal"/>
      <w:start w:val="1"/>
    </w:lvl>
  </w:abstractNum>
  <w:abstractNum w:abstractNumId="167">
    <w:nsid w:val="94927A8"/>
    <w:multiLevelType w:val="hybridMultilevel"/>
    <w:lvl w:ilvl="0">
      <w:lvlJc w:val="left"/>
      <w:lvlText w:val="•"/>
      <w:numFmt w:val="bullet"/>
      <w:start w:val="1"/>
    </w:lvl>
  </w:abstractNum>
  <w:abstractNum w:abstractNumId="168">
    <w:nsid w:val="DCDF8F6"/>
    <w:multiLevelType w:val="hybridMultilevel"/>
    <w:lvl w:ilvl="0">
      <w:lvlJc w:val="left"/>
      <w:lvlText w:val="•"/>
      <w:numFmt w:val="bullet"/>
      <w:start w:val="1"/>
    </w:lvl>
  </w:abstractNum>
  <w:abstractNum w:abstractNumId="169">
    <w:nsid w:val="52D7B105"/>
    <w:multiLevelType w:val="hybridMultilevel"/>
    <w:lvl w:ilvl="0">
      <w:lvlJc w:val="left"/>
      <w:lvlText w:val="(%1)"/>
      <w:numFmt w:val="decimal"/>
      <w:start w:val="1"/>
    </w:lvl>
  </w:abstractNum>
  <w:abstractNum w:abstractNumId="170">
    <w:nsid w:val="2E8A6394"/>
    <w:multiLevelType w:val="hybridMultilevel"/>
    <w:lvl w:ilvl="0">
      <w:lvlJc w:val="left"/>
      <w:lvlText w:val="•"/>
      <w:numFmt w:val="bullet"/>
      <w:start w:val="1"/>
    </w:lvl>
  </w:abstractNum>
  <w:abstractNum w:abstractNumId="171">
    <w:nsid w:val="24E60401"/>
    <w:multiLevelType w:val="hybridMultilevel"/>
    <w:lvl w:ilvl="0">
      <w:lvlJc w:val="left"/>
      <w:lvlText w:val="•"/>
      <w:numFmt w:val="bullet"/>
      <w:start w:val="1"/>
    </w:lvl>
  </w:abstractNum>
  <w:abstractNum w:abstractNumId="172">
    <w:nsid w:val="2A6AD9BE"/>
    <w:multiLevelType w:val="hybridMultilevel"/>
    <w:lvl w:ilvl="0">
      <w:lvlJc w:val="left"/>
      <w:lvlText w:val="•"/>
      <w:numFmt w:val="bullet"/>
      <w:start w:val="1"/>
    </w:lvl>
  </w:abstractNum>
  <w:abstractNum w:abstractNumId="173">
    <w:nsid w:val="BAAC1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2021-04-07T07:06:13Z</dcterms:created>
  <dcterms:modified xsi:type="dcterms:W3CDTF">2021-04-07T07:06:13Z</dcterms:modified>
</cp:coreProperties>
</file>