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4"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23-0691590</w:t>
            </w:r>
          </w:p>
        </w:tc>
      </w:tr>
      <w:tr>
        <w:trPr>
          <w:trHeight w:val="234"/>
        </w:trPr>
        <w:tc>
          <w:tcPr>
            <w:tcW w:w="692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84"/>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3"/>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238"/>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58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87"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p>
      <w:pPr>
        <w:spacing w:after="0" w:line="56" w:lineRule="exact"/>
        <w:rPr>
          <w:sz w:val="24"/>
          <w:szCs w:val="24"/>
          <w:color w:val="auto"/>
        </w:rPr>
      </w:pPr>
    </w:p>
    <w:p>
      <w:pPr>
        <w:ind w:left="160"/>
        <w:spacing w:after="0" w:line="207" w:lineRule="exact"/>
        <w:tabs>
          <w:tab w:leader="none" w:pos="1920" w:val="left"/>
          <w:tab w:leader="none" w:pos="872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3"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value—147,674,274 shares, as of July 26, 2024.</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value—54,613,514 shares, as of July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9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3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1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020" w:type="dxa"/>
            <w:vAlign w:val="bottom"/>
            <w:gridSpan w:val="20"/>
          </w:tcPr>
          <w:p>
            <w:pPr>
              <w:spacing w:after="0"/>
              <w:rPr>
                <w:sz w:val="16"/>
                <w:szCs w:val="16"/>
                <w:color w:val="auto"/>
              </w:rPr>
            </w:pPr>
          </w:p>
        </w:tc>
        <w:tc>
          <w:tcPr>
            <w:tcW w:w="23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and Six Months Ended June 30, 2024 and July 2, 2023</w:t>
            </w:r>
          </w:p>
        </w:tc>
        <w:tc>
          <w:tcPr>
            <w:tcW w:w="23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and Six Months Ended June 30, 2024 and July 2, 2023</w:t>
            </w:r>
          </w:p>
        </w:tc>
        <w:tc>
          <w:tcPr>
            <w:tcW w:w="23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30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June 30, 2024 and December 31, 2023</w:t>
            </w:r>
          </w:p>
        </w:tc>
        <w:tc>
          <w:tcPr>
            <w:tcW w:w="3400" w:type="dxa"/>
            <w:vAlign w:val="bottom"/>
            <w:gridSpan w:val="5"/>
            <w:shd w:val="clear" w:color="auto" w:fill="CCEEFF"/>
          </w:tcPr>
          <w:p>
            <w:pPr>
              <w:spacing w:after="0"/>
              <w:rPr>
                <w:sz w:val="16"/>
                <w:szCs w:val="16"/>
                <w:color w:val="auto"/>
              </w:rPr>
            </w:pPr>
          </w:p>
        </w:tc>
        <w:tc>
          <w:tcPr>
            <w:tcW w:w="23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2024 and July 2, 2023</w:t>
            </w:r>
          </w:p>
        </w:tc>
        <w:tc>
          <w:tcPr>
            <w:tcW w:w="23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5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Three and Six Months Ended June 30, 2024 and July 2, 2023</w:t>
            </w:r>
          </w:p>
        </w:tc>
        <w:tc>
          <w:tcPr>
            <w:tcW w:w="180" w:type="dxa"/>
            <w:vAlign w:val="bottom"/>
            <w:shd w:val="clear" w:color="auto" w:fill="CCEEFF"/>
          </w:tcPr>
          <w:p>
            <w:pPr>
              <w:spacing w:after="0"/>
              <w:rPr>
                <w:sz w:val="16"/>
                <w:szCs w:val="16"/>
                <w:color w:val="auto"/>
              </w:rPr>
            </w:pPr>
          </w:p>
        </w:tc>
        <w:tc>
          <w:tcPr>
            <w:tcW w:w="23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80" w:type="dxa"/>
            <w:vAlign w:val="bottom"/>
          </w:tcPr>
          <w:p>
            <w:pPr>
              <w:spacing w:after="0"/>
              <w:rPr>
                <w:sz w:val="16"/>
                <w:szCs w:val="16"/>
                <w:color w:val="auto"/>
              </w:rPr>
            </w:pPr>
          </w:p>
        </w:tc>
        <w:tc>
          <w:tcPr>
            <w:tcW w:w="23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1 - Summary of Significant Accounting Policies</w:t>
            </w:r>
          </w:p>
        </w:tc>
        <w:tc>
          <w:tcPr>
            <w:tcW w:w="23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2 - Business Acquisitions</w:t>
            </w:r>
          </w:p>
        </w:tc>
        <w:tc>
          <w:tcPr>
            <w:tcW w:w="23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3 - Goodwill and Intangible Assets</w:t>
            </w:r>
          </w:p>
        </w:tc>
        <w:tc>
          <w:tcPr>
            <w:tcW w:w="23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5 - Derivative Instruments</w:t>
            </w:r>
          </w:p>
        </w:tc>
        <w:tc>
          <w:tcPr>
            <w:tcW w:w="23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7 - Leases</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9 - Business Realignment Activities</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11 - Pension and Other Post-Retirement Benefit Plans</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14 - Treasury Stock Activity</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15 - Contingencies</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700" w:type="dxa"/>
            <w:vAlign w:val="bottom"/>
            <w:gridSpan w:val="3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17 - Other (Income) Expense, Net</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700" w:type="dxa"/>
            <w:vAlign w:val="bottom"/>
            <w:gridSpan w:val="37"/>
          </w:tcPr>
          <w:p>
            <w:pPr>
              <w:ind w:left="340"/>
              <w:spacing w:after="0" w:line="189" w:lineRule="exact"/>
              <w:rPr>
                <w:sz w:val="20"/>
                <w:szCs w:val="20"/>
                <w:color w:val="auto"/>
              </w:rPr>
            </w:pPr>
            <w:r>
              <w:rPr>
                <w:rFonts w:ascii="Times New Roman" w:cs="Times New Roman" w:eastAsia="Times New Roman" w:hAnsi="Times New Roman"/>
                <w:sz w:val="18"/>
                <w:szCs w:val="18"/>
                <w:color w:val="0000FF"/>
              </w:rPr>
              <w:t>Note 18 - Supplemental Balance Sheet Information</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760" w:type="dxa"/>
            <w:vAlign w:val="bottom"/>
            <w:tcBorders>
              <w:bottom w:val="single" w:sz="8" w:color="CCEEFF"/>
            </w:tcBorders>
            <w:gridSpan w:val="4"/>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900" w:type="dxa"/>
            <w:vAlign w:val="bottom"/>
            <w:gridSpan w:val="3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440" w:type="dxa"/>
            <w:vAlign w:val="bottom"/>
            <w:tcBorders>
              <w:bottom w:val="single" w:sz="8" w:color="CCEEFF"/>
            </w:tcBorders>
            <w:gridSpan w:val="26"/>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9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6880" w:type="dxa"/>
            <w:vAlign w:val="bottom"/>
            <w:tcBorders>
              <w:bottom w:val="single" w:sz="8" w:color="CCEEFF"/>
            </w:tcBorders>
            <w:gridSpan w:val="30"/>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900" w:type="dxa"/>
            <w:vAlign w:val="bottom"/>
            <w:gridSpan w:val="3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78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3880" w:type="dxa"/>
            <w:vAlign w:val="bottom"/>
            <w:tcBorders>
              <w:top w:val="single" w:sz="8" w:color="CCEEFF"/>
            </w:tcBorders>
            <w:gridSpan w:val="7"/>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6440" w:type="dxa"/>
            <w:vAlign w:val="bottom"/>
            <w:tcBorders>
              <w:bottom w:val="single" w:sz="8" w:color="CCEEFF"/>
            </w:tcBorders>
            <w:gridSpan w:val="26"/>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900" w:type="dxa"/>
            <w:vAlign w:val="bottom"/>
            <w:gridSpan w:val="3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78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2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9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659765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5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2, 2023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2, 2023</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2,490,280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5,477,894</w:t>
            </w:r>
          </w:p>
        </w:tc>
      </w:tr>
      <w:tr>
        <w:trPr>
          <w:trHeight w:val="23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1,358,181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2,817,403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2,963,473</w:t>
            </w:r>
          </w:p>
        </w:tc>
      </w:tr>
      <w:tr>
        <w:trPr>
          <w:trHeight w:val="223"/>
        </w:trPr>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2,514,421</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1,153,391</w:t>
            </w: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realignment costs (benefits)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1,360,589</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74,346</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87,467</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1,198,776</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204,608</w:t>
            </w:r>
          </w:p>
        </w:tc>
      </w:tr>
      <w:tr>
        <w:trPr>
          <w:trHeight w:val="248"/>
        </w:trPr>
        <w:tc>
          <w:tcPr>
            <w:tcW w:w="5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994,168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r>
    </w:tbl>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1" w:right="5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gridSpan w:val="10"/>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8"/>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July 2, 2023</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8"/>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July 2, 2023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40" w:type="dxa"/>
            <w:vAlign w:val="bottom"/>
          </w:tcPr>
          <w:p>
            <w:pPr>
              <w:spacing w:after="0"/>
              <w:rPr>
                <w:sz w:val="11"/>
                <w:szCs w:val="11"/>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Pre-Tax</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right"/>
              <w:ind w:right="308"/>
              <w:spacing w:after="0" w:line="137" w:lineRule="exact"/>
              <w:rPr>
                <w:sz w:val="20"/>
                <w:szCs w:val="20"/>
                <w:color w:val="auto"/>
              </w:rPr>
            </w:pPr>
            <w:r>
              <w:rPr>
                <w:rFonts w:ascii="Times New Roman" w:cs="Times New Roman" w:eastAsia="Times New Roman" w:hAnsi="Times New Roman"/>
                <w:sz w:val="14"/>
                <w:szCs w:val="14"/>
                <w:b w:val="1"/>
                <w:bCs w:val="1"/>
                <w:color w:val="auto"/>
              </w:rPr>
              <w:t>Tax</w:t>
            </w: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2840" w:type="dxa"/>
            <w:vAlign w:val="bottom"/>
            <w:gridSpan w:val="9"/>
          </w:tcPr>
          <w:p>
            <w:pPr>
              <w:jc w:val="right"/>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After-Tax  Pre-Tax  (Expense)  After-Tax</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8"/>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(Expense)  After-Tax  Pre-Tax</w:t>
            </w:r>
          </w:p>
        </w:tc>
        <w:tc>
          <w:tcPr>
            <w:tcW w:w="1480" w:type="dxa"/>
            <w:vAlign w:val="bottom"/>
            <w:gridSpan w:val="5"/>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(Expense)   After-Tax</w:t>
            </w: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1"/>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$ 180,894</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$ 406,983</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$ 978,347</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994,168</w:t>
            </w:r>
          </w:p>
        </w:tc>
        <w:tc>
          <w:tcPr>
            <w:tcW w:w="0" w:type="dxa"/>
            <w:vAlign w:val="bottom"/>
          </w:tcPr>
          <w:p>
            <w:pPr>
              <w:spacing w:after="0"/>
              <w:rPr>
                <w:sz w:val="1"/>
                <w:szCs w:val="1"/>
                <w:color w:val="auto"/>
              </w:rPr>
            </w:pPr>
          </w:p>
        </w:tc>
      </w:tr>
      <w:tr>
        <w:trPr>
          <w:trHeight w:val="117"/>
        </w:trPr>
        <w:tc>
          <w:tcPr>
            <w:tcW w:w="24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Other comprehensive income, net of</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tax:</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Foreign currency translation gains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 (26,844)</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(26,844)</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7"/>
              </w:rPr>
              <w:t>$ 12,395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12,395</w:t>
            </w:r>
          </w:p>
        </w:tc>
        <w:tc>
          <w:tcPr>
            <w:tcW w:w="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(31,842)</w:t>
            </w:r>
          </w:p>
        </w:tc>
        <w:tc>
          <w:tcPr>
            <w:tcW w:w="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(31,842)</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$ 21,336</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21,336</w:t>
            </w:r>
          </w:p>
        </w:tc>
        <w:tc>
          <w:tcPr>
            <w:tcW w:w="0" w:type="dxa"/>
            <w:vAlign w:val="bottom"/>
          </w:tcPr>
          <w:p>
            <w:pPr>
              <w:spacing w:after="0"/>
              <w:rPr>
                <w:sz w:val="1"/>
                <w:szCs w:val="1"/>
                <w:color w:val="auto"/>
              </w:rPr>
            </w:pPr>
          </w:p>
        </w:tc>
      </w:tr>
      <w:tr>
        <w:trPr>
          <w:trHeight w:val="193"/>
        </w:trPr>
        <w:tc>
          <w:tcPr>
            <w:tcW w:w="2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(losses) during period</w:t>
            </w: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Pension and post-retirement benefit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actuarial gain (loss) and service</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93"/>
        </w:trPr>
        <w:tc>
          <w:tcPr>
            <w:tcW w:w="2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w:t>
            </w: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0" w:type="dxa"/>
            <w:vAlign w:val="bottom"/>
          </w:tcPr>
          <w:p>
            <w:pPr>
              <w:spacing w:after="0"/>
              <w:rPr>
                <w:sz w:val="1"/>
                <w:szCs w:val="1"/>
                <w:color w:val="auto"/>
              </w:rPr>
            </w:pPr>
          </w:p>
        </w:tc>
      </w:tr>
      <w:tr>
        <w:trPr>
          <w:trHeight w:val="195"/>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 hedges: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Gains (losses) on cash flow hedging</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derivatives</w:t>
            </w: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1,796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7,246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5,225</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124"/>
        </w:trPr>
        <w:tc>
          <w:tcPr>
            <w:tcW w:w="2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other comprehensive income</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(19,703)</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(20,778)</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 xml:space="preserve"> 23,277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16,966</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(19,019)</w:t>
            </w:r>
          </w:p>
        </w:tc>
        <w:tc>
          <w:tcPr>
            <w:tcW w:w="2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(21,535)</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$ 38,918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31,292</w:t>
            </w:r>
          </w:p>
        </w:tc>
        <w:tc>
          <w:tcPr>
            <w:tcW w:w="0" w:type="dxa"/>
            <w:vAlign w:val="bottom"/>
          </w:tcPr>
          <w:p>
            <w:pPr>
              <w:spacing w:after="0"/>
              <w:rPr>
                <w:sz w:val="1"/>
                <w:szCs w:val="1"/>
                <w:color w:val="auto"/>
              </w:rPr>
            </w:pPr>
          </w:p>
        </w:tc>
      </w:tr>
      <w:tr>
        <w:trPr>
          <w:trHeight w:val="23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64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200" w:type="dxa"/>
            <w:vAlign w:val="bottom"/>
            <w:gridSpan w:val="3"/>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74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$ 160,116</w:t>
            </w:r>
          </w:p>
        </w:tc>
        <w:tc>
          <w:tcPr>
            <w:tcW w:w="8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$ 423,949</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$ 956,812</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1,025,460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294005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20"/>
        <w:spacing w:after="0"/>
        <w:tabs>
          <w:tab w:leader="none" w:pos="37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342265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51" w:right="399"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4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401,902</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823,617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2,912,103</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3,368,322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3,309,678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2,691,613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1,086,183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867,815</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income taxes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305,058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3,885,631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3,008,352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3,789,132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660,673</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8,405,808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7,803,855</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shares issued: none in 2024 and 2023</w:t>
            </w:r>
          </w:p>
        </w:tc>
        <w:tc>
          <w:tcPr>
            <w:tcW w:w="4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shares issued: 166,939,511 at June 30, 2024 and December 31, 2023</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shares issued: 54,613,514 at June 30, 2024 and December 31,</w:t>
            </w: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1,345,580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4,562,263</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Treasury—common stock shares, at cost: 19,281,035 at June 30, 2024 and 17,160,099</w:t>
            </w: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December 31, 2023</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(1,800,232)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4,009,866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4,099,086</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198"/>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994,168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199,787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35,841</w:t>
            </w: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Write-down of equity investments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77,360</w:t>
            </w: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Unrealized gains on derivative contracts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54,697</w:t>
            </w:r>
          </w:p>
        </w:tc>
        <w:tc>
          <w:tcPr>
            <w:tcW w:w="0" w:type="dxa"/>
            <w:vAlign w:val="bottom"/>
          </w:tcPr>
          <w:p>
            <w:pPr>
              <w:spacing w:after="0"/>
              <w:rPr>
                <w:sz w:val="1"/>
                <w:szCs w:val="1"/>
                <w:color w:val="auto"/>
              </w:rPr>
            </w:pPr>
          </w:p>
        </w:tc>
      </w:tr>
      <w:tr>
        <w:trPr>
          <w:trHeight w:val="213"/>
        </w:trPr>
        <w:tc>
          <w:tcPr>
            <w:tcW w:w="79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acquisition:</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Accounts receivable—trade,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(43,503)</w:t>
            </w:r>
          </w:p>
        </w:tc>
        <w:tc>
          <w:tcPr>
            <w:tcW w:w="0" w:type="dxa"/>
            <w:vAlign w:val="bottom"/>
          </w:tcPr>
          <w:p>
            <w:pPr>
              <w:spacing w:after="0"/>
              <w:rPr>
                <w:sz w:val="1"/>
                <w:szCs w:val="1"/>
                <w:color w:val="auto"/>
              </w:rPr>
            </w:pPr>
          </w:p>
        </w:tc>
      </w:tr>
      <w:tr>
        <w:trPr>
          <w:trHeight w:val="213"/>
        </w:trPr>
        <w:tc>
          <w:tcPr>
            <w:tcW w:w="79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(201,906)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0" w:type="dxa"/>
            <w:vAlign w:val="bottom"/>
          </w:tcPr>
          <w:p>
            <w:pPr>
              <w:spacing w:after="0"/>
              <w:rPr>
                <w:sz w:val="1"/>
                <w:szCs w:val="1"/>
                <w:color w:val="auto"/>
              </w:rPr>
            </w:pPr>
          </w:p>
        </w:tc>
      </w:tr>
      <w:tr>
        <w:trPr>
          <w:trHeight w:val="213"/>
        </w:trPr>
        <w:tc>
          <w:tcPr>
            <w:tcW w:w="79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(20,271)</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Accrued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0" w:type="dxa"/>
            <w:vAlign w:val="bottom"/>
          </w:tcPr>
          <w:p>
            <w:pPr>
              <w:spacing w:after="0"/>
              <w:rPr>
                <w:sz w:val="1"/>
                <w:szCs w:val="1"/>
                <w:color w:val="auto"/>
              </w:rPr>
            </w:pPr>
          </w:p>
        </w:tc>
      </w:tr>
      <w:tr>
        <w:trPr>
          <w:trHeight w:val="213"/>
        </w:trPr>
        <w:tc>
          <w:tcPr>
            <w:tcW w:w="79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Contributions to pension and other benefit plans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1,049,808</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Capital additions (including software)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Equity investments in tax credit qualifying partnerships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(19,077)</w:t>
            </w: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Business acquisitions, net of cash and cash equivalents acquired</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(165,818)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(516,029)</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in short-term debt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Long-term borrowings, net of debt issuance costs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744,092</w:t>
            </w: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Repayment of long-term debt and finance leases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(752,367)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dividends paid</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(413,546)</w:t>
            </w: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(239,910)</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22,021</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Taxes withheld and paid on employee stock awards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(32,953)</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(506,679)</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(44,828)</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(17,728)</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463,889</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446,161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76,537</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229,144</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Three Months Ended June 30, 2024 and July 2, 2023</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1,315,813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5,087,126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4,108,287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180,894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1,325,876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4,997,269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(2,283,219)</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(251,613)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4,009,866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24"/>
                <w:szCs w:val="24"/>
                <w:color w:val="auto"/>
              </w:rPr>
            </w:pPr>
          </w:p>
        </w:tc>
        <w:tc>
          <w:tcPr>
            <w:tcW w:w="9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 2023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164,439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57,114</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1,285,412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3,970,562</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(1,781,155)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(238,007)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3,458,365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406,983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$1.036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$0.942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Conversion of Class B Common Stock into Common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 2023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1,301,247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4,171,010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(1,777,984)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(221,041)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488315</wp:posOffset>
            </wp:positionV>
            <wp:extent cx="196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Six Months Ended June 30, 2024 and July 2, 2023</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1,345,580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4,562,263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(1,800,232)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(230,078)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978,347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(21,535)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(21,535)</w:t>
            </w: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$2.740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(407,353)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(407,353)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 $2.49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(135,988)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(135,988)</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(37,713)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(21,727)</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(498,973)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(498,973)</w:t>
            </w: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1,325,876</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4,997,269</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(2,283,219)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(251,613)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4,009,866</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040" w:type="dxa"/>
            <w:vAlign w:val="bottom"/>
            <w:gridSpan w:val="4"/>
          </w:tcPr>
          <w:p>
            <w:pPr>
              <w:jc w:val="right"/>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1,296,572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3,589,781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(1,556,029)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(252,333)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994,168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994,168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$2.072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(305,337)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$1.884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Conversion of Class B Common Stock into Common</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(242,108)</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 2023</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1,301,247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4,171,010</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(1,777,984)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(221,041)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3,694,785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594360</wp:posOffset>
            </wp:positionV>
            <wp:extent cx="1968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method investments and cost, less impairment, investments are included as Other non-current assets in the Consolidated Balance Sheets.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June 30, 2024 may not be indicative of the results that may be expected for the year ending December 31, 2024 because of seasonal effects on our business. These financial statements should be read in conjunction with our Annual Report on Form 10-K for the year ended December 31, 2023 (our “2023 Annual Report on Form 10-K”), which provides a more complete understanding of our accounting policies, financial position, operating results and 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No. 2022-04, </w:t>
      </w:r>
      <w:r>
        <w:rPr>
          <w:rFonts w:ascii="Times New Roman" w:cs="Times New Roman" w:eastAsia="Times New Roman" w:hAnsi="Times New Roman"/>
          <w:sz w:val="18"/>
          <w:szCs w:val="18"/>
          <w:i w:val="1"/>
          <w:iCs w:val="1"/>
          <w:color w:val="auto"/>
        </w:rPr>
        <w:t>Liabilities—Supplier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Programs (Subtopic 405-50): Disclosure of Supplier Finance Program Obligations</w:t>
      </w:r>
      <w:r>
        <w:rPr>
          <w:rFonts w:ascii="Times New Roman" w:cs="Times New Roman" w:eastAsia="Times New Roman" w:hAnsi="Times New Roman"/>
          <w:sz w:val="18"/>
          <w:szCs w:val="18"/>
          <w:color w:val="auto"/>
        </w:rPr>
        <w:t>. This ASU requires a buyer in a supplier finance program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qualitative and quantitative 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we adopted in the fourth quarter of 2023. Adoption of the new standard did not have a material impact on our consolidated financial statements.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This ASU requires an acquirer to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As a result, we adopted the provisions of this ASU in the first quarter of 2023. This new standard was not applicable to the May 2023 acquisition of Weaver Popcorn Manufacturing, Inc. (“Weaver”) due to no contract assets or liabilities being acquired in this transaction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however, it will be applied in relevant future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266065</wp:posOffset>
            </wp:positionV>
            <wp:extent cx="1968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requires disclosure of significant segment expenses that are regularly provided to the chief operating decision maker (“CODM”), an amount for other segment items with a description of the composition, and disclosure of the title and position of the CODM. ASU 2023-07 is effective for annual periods beginning after December 15, 2023 and interim periods within fiscal years beginning after December 15, 2024. Early adoption is permitted and the update should be applied retrospectively to each period presented in the financial statements. We are currently evaluating the impact of the new standard on our consolidated financial statements and related disclosures. As a result, we intend to adopt the provisions of this ASU in the fourth quarter of 2024.</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Early adoption is permitted and the update should be applied on a prospective basis, with a retrospective application permitted in the financial statements. We are currently evaluating the impact of the new standard on our consolidated financial statements and related disclosures. As a result, we intend to adopt the provisions of this ASU in the fourth quarter of 2025.</w:t>
      </w:r>
    </w:p>
    <w:p>
      <w:pPr>
        <w:spacing w:after="0" w:line="13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Manufacturing Capacity</w:t>
      </w:r>
    </w:p>
    <w:p>
      <w:pPr>
        <w:spacing w:after="0" w:line="158"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brand. The initial cash consideration paid for Weaver totaled $165,818 and consisted of cash on hand and short-term borrowings. Acquisition-related costs for the Weaver acquisition were immaterial.</w:t>
      </w:r>
    </w:p>
    <w:p>
      <w:pPr>
        <w:spacing w:after="0" w:line="131" w:lineRule="exact"/>
        <w:rPr>
          <w:sz w:val="20"/>
          <w:szCs w:val="20"/>
          <w:color w:val="auto"/>
        </w:rPr>
      </w:pPr>
    </w:p>
    <w:p>
      <w:pPr>
        <w:jc w:val="both"/>
        <w:ind w:right="400"/>
        <w:spacing w:after="0" w:line="245"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Weaver has been included within the North America Salty Snacks segment from the date of acquisition. The purchase consideration was allocated to assets acquired and liabilities assumed based on their respective fair values and consisted of $85,231 to goodwill, $79,136 to property, plant and equipment, net and $1,451 to other net assets acquired. The purchase price allocation has been finalized as of the fourth quarter of 2023 and did not include measurement period adjustments.</w:t>
      </w:r>
    </w:p>
    <w:p>
      <w:pPr>
        <w:spacing w:after="0" w:line="1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The goodwill derived from this acquisition is deductible for tax purposes and reflects the value of leveraging our supply chain capabilities to accelerate growth and access to our portfolio of salty snacks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six months ended June 30, 2024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 Salty</w:t>
            </w:r>
          </w:p>
        </w:tc>
        <w:tc>
          <w:tcPr>
            <w:tcW w:w="240" w:type="dxa"/>
            <w:vAlign w:val="bottom"/>
          </w:tcPr>
          <w:p>
            <w:pPr>
              <w:spacing w:after="0"/>
              <w:rPr>
                <w:sz w:val="18"/>
                <w:szCs w:val="18"/>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18"/>
                <w:szCs w:val="18"/>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1"/>
                <w:szCs w:val="21"/>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Snacks</w:t>
            </w:r>
          </w:p>
        </w:tc>
        <w:tc>
          <w:tcPr>
            <w:tcW w:w="24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2,691,613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8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2"/>
                <w:szCs w:val="22"/>
                <w:color w:val="auto"/>
              </w:rPr>
            </w:pPr>
          </w:p>
        </w:tc>
        <w:tc>
          <w:tcPr>
            <w:tcW w:w="30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69"/>
        </w:trPr>
        <w:tc>
          <w:tcPr>
            <w:tcW w:w="4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1"/>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1,701,392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(249,947)</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(123,282)</w:t>
            </w: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(381,462)</w:t>
            </w:r>
          </w:p>
        </w:tc>
      </w:tr>
      <w:tr>
        <w:trPr>
          <w:trHeight w:val="270"/>
        </w:trPr>
        <w:tc>
          <w:tcPr>
            <w:tcW w:w="4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Total amortization expense for the three months ended June 30, 2024 and July 2, 2023 was $19,539 and $20,562, respectively. Total amortization expense for the six months ended June 30, 2024 and July 2, 2023 was $39,093 and $39,739,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$1.35 billion unsecured revolving credit facility with the option to increase borrowings by an additional $500 million with the consent of the lenders. The credit facility is scheduled to expire on April 26, 2028; however, we may extend the termination date for up to two additional one-year periods upon notice to the administrative agent.</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credit facility contain certain financial and other covenants, customary representations, warranties and events of default. As of June 30, 2024, we were in compliance with all covenants pertaining to the credit facility, and we had no significant compensating balance agreements that legally restricted access to these funds. For more information, refer to the Consolidated Financial Statements included in our 2023 Annual Report on Form 10-K.</w:t>
      </w:r>
    </w:p>
    <w:p>
      <w:pPr>
        <w:spacing w:after="0" w:line="28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foreign bank borrowings against lines of credit</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175,812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192,278</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1,145,462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527,561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1,321,274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outstanding commercial paper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588645</wp:posOffset>
            </wp:positionV>
            <wp:extent cx="1968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Debt Type and Rate</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2.050%</w:t>
            </w:r>
          </w:p>
        </w:tc>
        <w:tc>
          <w:tcPr>
            <w:tcW w:w="218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rPr>
              <w:t>November 15, 2024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1, 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August 21, 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August 15, 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August 15, 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May 4, 2028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November 15, 2029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1, 2030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May 4, 2033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August 15, 2046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2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November 15, 2049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1, 2050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Finance lease obligations (see </w:t>
            </w:r>
            <w:r>
              <w:rPr>
                <w:rFonts w:ascii="Times New Roman" w:cs="Times New Roman" w:eastAsia="Times New Roman" w:hAnsi="Times New Roman"/>
                <w:sz w:val="18"/>
                <w:szCs w:val="18"/>
                <w:color w:val="0000FF"/>
                <w:w w:val="99"/>
              </w:rPr>
              <w:t>Note 7</w:t>
            </w: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74,956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76,385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32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(24,026)</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4,094,569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3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605,176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3,489,393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27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60" w:type="dxa"/>
            <w:vAlign w:val="bottom"/>
            <w:gridSpan w:val="8"/>
          </w:tcPr>
          <w:p>
            <w:pPr>
              <w:ind w:left="10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gridSpan w:val="7"/>
          </w:tcPr>
          <w:p>
            <w:pPr>
              <w:ind w:left="11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6"/>
              </w:rPr>
              <w:t>50,149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43,893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96,193</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86,399</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20" w:type="dxa"/>
            <w:vAlign w:val="bottom"/>
          </w:tcPr>
          <w:p>
            <w:pPr>
              <w:spacing w:after="0"/>
              <w:rPr>
                <w:sz w:val="19"/>
                <w:szCs w:val="19"/>
                <w:color w:val="auto"/>
              </w:rPr>
            </w:pPr>
          </w:p>
        </w:tc>
        <w:tc>
          <w:tcPr>
            <w:tcW w:w="17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98"/>
              </w:rPr>
              <w:t>(3,721)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(6,788)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6"/>
              </w:rPr>
              <w:t>44,308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40,172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85,916</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79,611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w w:val="98"/>
              </w:rPr>
              <w:t>(3,511)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6"/>
              </w:rPr>
              <w:t>41,373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36,661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74,346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571500</wp:posOffset>
            </wp:positionV>
            <wp:extent cx="1968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$92,330 as of June 30, 2024 and $94,917 as of December 31, 2023.</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$32,953 at June 30, 2024 and $80,068 at December 31, 2023.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$6,899 at June 30, 2024 and $13,665 at December 31, 2023. The change in fair value on these instruments is recorded directly in cost of sales or selling, marketing and administrative (“SM&amp;A”) expense, depending on the nature of the underlying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June 30, 2024 and December 31, 2023 was $27,643 and $22,867,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40" w:hanging="330"/>
        <w:spacing w:after="0" w:line="281"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100" w:hanging="330"/>
        <w:spacing w:after="0" w:line="258"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amounts reflected on a net basis in assets were assets of $45,967 and liabilities of $45,050, which are associated with cash transfers receivable or payable on commodities futures contracts reflecting the change in quoted market prices on the last trading day for the period. The comparable amounts reflected on a net basis in liabilities at December 31, 2023 were assets of $29,881 and liabilities of $30,493. At June 30, 2024 and December 31, 2023, the remaining amount reflected in assets and liabilities related to the fair value of other non-exchange traded derivative instruments,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June 30, 2024 and July 2, 2023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(4,930)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(4,930)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20" w:type="dxa"/>
            <w:vAlign w:val="bottom"/>
          </w:tcPr>
          <w:p>
            <w:pPr>
              <w:spacing w:after="0"/>
              <w:rPr>
                <w:sz w:val="24"/>
                <w:szCs w:val="24"/>
                <w:color w:val="auto"/>
              </w:rPr>
            </w:pPr>
          </w:p>
        </w:tc>
        <w:tc>
          <w:tcPr>
            <w:tcW w:w="3940" w:type="dxa"/>
            <w:vAlign w:val="bottom"/>
            <w:gridSpan w:val="9"/>
          </w:tcPr>
          <w:p>
            <w:pPr>
              <w:jc w:val="right"/>
              <w:ind w:right="150"/>
              <w:spacing w:after="0"/>
              <w:rPr>
                <w:sz w:val="20"/>
                <w:szCs w:val="20"/>
                <w:color w:val="auto"/>
              </w:rPr>
            </w:pPr>
            <w:r>
              <w:rPr>
                <w:rFonts w:ascii="Times New Roman" w:cs="Times New Roman" w:eastAsia="Times New Roman" w:hAnsi="Times New Roman"/>
                <w:sz w:val="16"/>
                <w:szCs w:val="16"/>
                <w:color w:val="auto"/>
              </w:rPr>
              <w:t>The Hershey Company | Q2 2024 Form 10-Q | Page 13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six months ended June 30, 2024 and July 2, 2023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6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40" w:hanging="332"/>
        <w:spacing w:after="0" w:line="266"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00" w:hanging="332"/>
        <w:spacing w:after="0" w:line="312" w:lineRule="auto"/>
        <w:tabs>
          <w:tab w:leader="none" w:pos="33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amount of pre-tax net losses on derivative instruments, including interest rate swap agreements and foreign currency forward exchange contracts expected to be reclassified into earnings in the next 12 months was approximately $6,416 as of June 30, 2024. This amount is primarily associated with interest rate swap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0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4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 participant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June 30, 2024 and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Assets /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47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30"/>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bl>
    <w:p>
      <w:pPr>
        <w:spacing w:after="0" w:line="63" w:lineRule="exact"/>
        <w:rPr>
          <w:sz w:val="20"/>
          <w:szCs w:val="20"/>
          <w:color w:val="auto"/>
        </w:rPr>
      </w:pPr>
    </w:p>
    <w:p>
      <w:pPr>
        <w:ind w:left="660" w:right="20" w:hanging="328"/>
        <w:spacing w:after="0" w:line="266"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0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626110</wp:posOffset>
            </wp:positionV>
            <wp:extent cx="196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June 30, 2024 and December 31, 2023 because of the relatively short maturity of these instruments.</w:t>
      </w:r>
    </w:p>
    <w:p>
      <w:pPr>
        <w:spacing w:after="0" w:line="8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358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3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305,058</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3,011,240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3,413,411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3,489,393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3,789,132</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1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acquisition of Weaver in May 2023,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valuation techniques to determine fair value, with the primary technique being the cost approach to value personal property, which uses significant unobservable inputs, or Level 3 inputs, as defined by the fair value hierarchy.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8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608330</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June 30, 2024 and July 2, 2023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40" w:type="dxa"/>
            <w:vAlign w:val="bottom"/>
          </w:tcPr>
          <w:p>
            <w:pPr>
              <w:spacing w:after="0"/>
              <w:rPr>
                <w:sz w:val="18"/>
                <w:szCs w:val="18"/>
                <w:color w:val="auto"/>
              </w:rPr>
            </w:pP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six months ended June 30, 2024 and July 2, 2023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2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40" w:type="dxa"/>
            <w:vAlign w:val="bottom"/>
          </w:tcPr>
          <w:p>
            <w:pPr>
              <w:spacing w:after="0"/>
              <w:rPr>
                <w:sz w:val="18"/>
                <w:szCs w:val="18"/>
                <w:color w:val="auto"/>
              </w:rPr>
            </w:pP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right="2280" w:firstLine="170"/>
        <w:spacing w:after="0" w:line="30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70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pacing w:after="0" w:line="52" w:lineRule="exact"/>
        <w:rPr>
          <w:sz w:val="20"/>
          <w:szCs w:val="20"/>
          <w:color w:val="auto"/>
        </w:rPr>
      </w:pPr>
    </w:p>
    <w:p>
      <w:pPr>
        <w:ind w:left="20"/>
        <w:spacing w:after="0"/>
        <w:tabs>
          <w:tab w:leader="none" w:pos="3540" w:val="left"/>
          <w:tab w:leader="none" w:pos="7760" w:val="left"/>
          <w:tab w:leader="none" w:pos="9600" w:val="left"/>
        </w:tabs>
        <w:rPr>
          <w:sz w:val="20"/>
          <w:szCs w:val="20"/>
          <w:color w:val="auto"/>
        </w:rPr>
      </w:pPr>
      <w:r>
        <w:rPr>
          <w:rFonts w:ascii="Times New Roman" w:cs="Times New Roman" w:eastAsia="Times New Roman" w:hAnsi="Times New Roman"/>
          <w:sz w:val="16"/>
          <w:szCs w:val="16"/>
          <w:b w:val="1"/>
          <w:bCs w:val="1"/>
          <w:color w:val="auto"/>
        </w:rPr>
        <w:t>Leases</w:t>
      </w:r>
      <w:r>
        <w:rPr>
          <w:sz w:val="20"/>
          <w:szCs w:val="20"/>
          <w:color w:val="auto"/>
        </w:rPr>
        <w:tab/>
      </w:r>
      <w:r>
        <w:rPr>
          <w:rFonts w:ascii="Times New Roman" w:cs="Times New Roman" w:eastAsia="Times New Roman" w:hAnsi="Times New Roman"/>
          <w:sz w:val="16"/>
          <w:szCs w:val="16"/>
          <w:b w:val="1"/>
          <w:bCs w:val="1"/>
          <w:color w:val="auto"/>
        </w:rPr>
        <w:t>Classification</w:t>
      </w:r>
      <w:r>
        <w:rPr>
          <w:sz w:val="20"/>
          <w:szCs w:val="20"/>
          <w:color w:val="auto"/>
        </w:rPr>
        <w:tab/>
      </w:r>
      <w:r>
        <w:rPr>
          <w:rFonts w:ascii="Times New Roman" w:cs="Times New Roman" w:eastAsia="Times New Roman" w:hAnsi="Times New Roman"/>
          <w:sz w:val="16"/>
          <w:szCs w:val="16"/>
          <w:b w:val="1"/>
          <w:bCs w:val="1"/>
          <w:color w:val="auto"/>
        </w:rPr>
        <w:t>June 30, 2024</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341,162</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49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(22,312)</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69,863</w:t>
            </w:r>
          </w:p>
        </w:tc>
      </w:tr>
      <w:tr>
        <w:trPr>
          <w:trHeight w:val="265"/>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407,100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377,839</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307,862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68,973</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70,485</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421,087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387,968</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7"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our lease liabilities as of June 30, 2024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0" w:type="dxa"/>
            <w:vAlign w:val="bottom"/>
          </w:tcPr>
          <w:p>
            <w:pPr>
              <w:spacing w:after="0"/>
              <w:rPr>
                <w:sz w:val="18"/>
                <w:szCs w:val="18"/>
                <w:color w:val="auto"/>
              </w:rPr>
            </w:pPr>
          </w:p>
        </w:tc>
        <w:tc>
          <w:tcPr>
            <w:tcW w:w="1880" w:type="dxa"/>
            <w:vAlign w:val="bottom"/>
            <w:gridSpan w:val="3"/>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(rest of year)</w:t>
            </w:r>
          </w:p>
        </w:tc>
        <w:tc>
          <w:tcPr>
            <w:tcW w:w="4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40" w:type="dxa"/>
            <w:vAlign w:val="bottom"/>
          </w:tcPr>
          <w:p>
            <w:pPr>
              <w:spacing w:after="0"/>
              <w:rPr>
                <w:sz w:val="19"/>
                <w:szCs w:val="19"/>
                <w:color w:val="auto"/>
              </w:rPr>
            </w:pPr>
          </w:p>
        </w:tc>
      </w:tr>
      <w:tr>
        <w:trPr>
          <w:trHeight w:val="23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60,464</w:t>
            </w:r>
          </w:p>
        </w:tc>
        <w:tc>
          <w:tcPr>
            <w:tcW w:w="40" w:type="dxa"/>
            <w:vAlign w:val="bottom"/>
          </w:tcPr>
          <w:p>
            <w:pPr>
              <w:spacing w:after="0"/>
              <w:rPr>
                <w:sz w:val="19"/>
                <w:szCs w:val="19"/>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50,419</w:t>
            </w:r>
          </w:p>
        </w:tc>
        <w:tc>
          <w:tcPr>
            <w:tcW w:w="40" w:type="dxa"/>
            <w:vAlign w:val="bottom"/>
          </w:tcPr>
          <w:p>
            <w:pPr>
              <w:spacing w:after="0"/>
              <w:rPr>
                <w:sz w:val="19"/>
                <w:szCs w:val="19"/>
                <w:color w:val="auto"/>
              </w:rPr>
            </w:pPr>
          </w:p>
        </w:tc>
      </w:tr>
      <w:tr>
        <w:trPr>
          <w:trHeight w:val="22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47,526</w:t>
            </w:r>
          </w:p>
        </w:tc>
        <w:tc>
          <w:tcPr>
            <w:tcW w:w="40" w:type="dxa"/>
            <w:vAlign w:val="bottom"/>
          </w:tcPr>
          <w:p>
            <w:pPr>
              <w:spacing w:after="0"/>
              <w:rPr>
                <w:sz w:val="19"/>
                <w:szCs w:val="19"/>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4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137,876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381,009</w:t>
            </w:r>
          </w:p>
        </w:tc>
        <w:tc>
          <w:tcPr>
            <w:tcW w:w="4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598,578</w:t>
            </w:r>
          </w:p>
        </w:tc>
        <w:tc>
          <w:tcPr>
            <w:tcW w:w="4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177,491</w:t>
            </w:r>
          </w:p>
        </w:tc>
        <w:tc>
          <w:tcPr>
            <w:tcW w:w="4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421,087</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gridSpan w:val="2"/>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4"/>
        </w:trPr>
        <w:tc>
          <w:tcPr>
            <w:tcW w:w="6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ind w:left="102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11"/>
        </w:trPr>
        <w:tc>
          <w:tcPr>
            <w:tcW w:w="20" w:type="dxa"/>
            <w:vAlign w:val="bottom"/>
            <w:shd w:val="clear" w:color="auto" w:fill="CCEEFF"/>
          </w:tcPr>
          <w:p>
            <w:pPr>
              <w:spacing w:after="0"/>
              <w:rPr>
                <w:sz w:val="18"/>
                <w:szCs w:val="18"/>
                <w:color w:val="auto"/>
              </w:rPr>
            </w:pPr>
          </w:p>
        </w:tc>
        <w:tc>
          <w:tcPr>
            <w:tcW w:w="63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24,050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3,065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4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140" w:type="dxa"/>
            <w:vAlign w:val="bottom"/>
            <w:gridSpan w:val="3"/>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4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20"/>
                <w:szCs w:val="20"/>
                <w:color w:val="auto"/>
              </w:rPr>
            </w:pPr>
          </w:p>
        </w:tc>
      </w:tr>
      <w:tr>
        <w:trPr>
          <w:trHeight w:val="765"/>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00" w:type="dxa"/>
            <w:vAlign w:val="bottom"/>
            <w:gridSpan w:val="7"/>
          </w:tcPr>
          <w:p>
            <w:pPr>
              <w:jc w:val="right"/>
              <w:ind w:right="160"/>
              <w:spacing w:after="0"/>
              <w:rPr>
                <w:sz w:val="20"/>
                <w:szCs w:val="20"/>
                <w:color w:val="auto"/>
              </w:rPr>
            </w:pPr>
            <w:r>
              <w:rPr>
                <w:rFonts w:ascii="Times New Roman" w:cs="Times New Roman" w:eastAsia="Times New Roman" w:hAnsi="Times New Roman"/>
                <w:sz w:val="16"/>
                <w:szCs w:val="16"/>
                <w:color w:val="auto"/>
              </w:rPr>
              <w:t>The Hershey Company | Q2 2024 Form 10-Q | Page 18</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$215,759 and $207,177 as of June 30, 2024 and December 31,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Advancing Agility &amp; Automation Initiative</w:t>
      </w:r>
    </w:p>
    <w:p>
      <w:pPr>
        <w:spacing w:after="0" w:line="1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February 2, 2024, the Board of Directors of the Company (the “Board” or “Board of Directors”) approved a multi-year productivity initiative (“Advancing Agility &amp; Automation” or "AAA") to improve supply chain and manufacturing-related spend, optimize selling, general and administrative expenses, leverage new technology and business models to further simplify and automate processes, and generate long-term savings.</w:t>
      </w:r>
    </w:p>
    <w:p>
      <w:pPr>
        <w:spacing w:after="0" w:line="12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$300,000.</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inception through June 30, 2024, we recognized total costs associated with the AAA Initiative of $55,666. These charges predominantly included third-party costs supporting the design and implementation of the new organizational structure, as well as technology capability costs. The costs and related benefits of the AAA Initiative relate to the North America Confectionery segment and Corporate. However, segment operating results do not include these business realignment expenses because we evaluate segment performance excluding such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International Optimization Program</w:t>
      </w:r>
    </w:p>
    <w:p>
      <w:pPr>
        <w:spacing w:after="0" w:line="17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International Optimization Program was originally expected to total pre-tax costs of $50,000 to $75,000, with cash costs in the range of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322580</wp:posOffset>
            </wp:positionV>
            <wp:extent cx="1968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segment performance excluding such costs. For the six months ended July 2, 2023, we recognized total costs associated with the International Optimization Program of $3,866. From program inception in 2020 through completion in 2023, we incurred pre-tax charges to execute the program totaling $53,799.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business realignment activities are classified in our Consolidated Statements of Income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costs (benefits)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during the three and six months ended June 30, 2024 and July 2, 2023 related to these activities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Advancing Agility &amp; Automation Initiative:</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Optimization Program:</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Amounts classified as liabilities qualifying as exit and disposal costs primarily represent employee-related and certain third-party service provider charges; however, such amounts at June 30, 2024 are not significant.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8"/>
          <w:szCs w:val="18"/>
          <w:color w:val="auto"/>
        </w:rPr>
        <w:t>The majority of our taxable income is generated in the United States and taxed at the United States statutory rate of 21%. The effective tax rates for the six months ended June 30, 2024 and July 2, 2023 were 20.6% and 17.1%, respectively. Relative to the statutory rate, the 2024 effective tax rate was primarily impacted by investment tax credits partially offset by state taxes.</w:t>
      </w:r>
    </w:p>
    <w:p>
      <w:pPr>
        <w:spacing w:after="0" w:line="13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Switzerland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$51,111 within the next 12 months because of the expiration of statutes of limitations and settlements of tax audits.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Inflation Reduction Act</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For the six months ended June 30, 2024 and July 2, 2023 the tax-related provisions of the IRA did not have a material impact on our consolidated financial statements, including our annual effective tax rate, or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June 30, 2024 and July 2, 2023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200" w:type="dxa"/>
            <w:vAlign w:val="bottom"/>
          </w:tcPr>
          <w:p>
            <w:pPr>
              <w:spacing w:after="0"/>
              <w:rPr>
                <w:sz w:val="18"/>
                <w:szCs w:val="18"/>
                <w:color w:val="auto"/>
              </w:rPr>
            </w:pPr>
          </w:p>
        </w:tc>
        <w:tc>
          <w:tcPr>
            <w:tcW w:w="2980" w:type="dxa"/>
            <w:vAlign w:val="bottom"/>
            <w:gridSpan w:val="4"/>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Other Benefits</w:t>
            </w:r>
          </w:p>
        </w:tc>
      </w:tr>
      <w:tr>
        <w:trPr>
          <w:trHeight w:val="211"/>
        </w:trPr>
        <w:tc>
          <w:tcPr>
            <w:tcW w:w="47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9"/>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made contributions of $170 and $2,890 to the pension plans and other benefits plans, respectively, during the second quarter of 2024. In the second quarter of 2023, we made contributions of $3,029 and $5,212 to our pension plans and other benefit plans, respectively. The contributions in 2024 and 2023 also included benefit payments from our non-qualified pension plans and post-retirement benefit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six months ended June 30, 2024 and July 2, 2023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200" w:type="dxa"/>
            <w:vAlign w:val="bottom"/>
          </w:tcPr>
          <w:p>
            <w:pPr>
              <w:spacing w:after="0"/>
              <w:rPr>
                <w:sz w:val="18"/>
                <w:szCs w:val="18"/>
                <w:color w:val="auto"/>
              </w:rPr>
            </w:pPr>
          </w:p>
        </w:tc>
        <w:tc>
          <w:tcPr>
            <w:tcW w:w="2980" w:type="dxa"/>
            <w:vAlign w:val="bottom"/>
            <w:gridSpan w:val="4"/>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Other Benefits</w:t>
            </w:r>
          </w:p>
        </w:tc>
      </w:tr>
      <w:tr>
        <w:trPr>
          <w:trHeight w:val="211"/>
        </w:trPr>
        <w:tc>
          <w:tcPr>
            <w:tcW w:w="47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9"/>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made contributions of $986 and $4,482 to the pension plans and other benefits plans, respectively, during the first six months of 2024. In the first six months of 2023, we made contributions of $3,862 and $10,911 to our pension plans and other benefit plans, respectively. The contributions in 2024 and 2023 also included benefit payments from our non-qualified pension plans and post-retirement benefit plans.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stock units (“PSUs”) and performance stock;</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Stock appreciation rights;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Restricted stock units (“RSUs”) and restricted stock;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Other stock-based awards.</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3660" w:type="dxa"/>
            <w:vAlign w:val="bottom"/>
            <w:gridSpan w:val="4"/>
          </w:tcPr>
          <w:p>
            <w:pPr>
              <w:jc w:val="right"/>
              <w:ind w:right="125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w:t>
            </w: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r>
    </w:tbl>
    <w:p>
      <w:pPr>
        <w:spacing w:after="0" w:line="2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June 30, 2024, total stock-based compensation expense related to non-vested awards not yet recognized was $88,119 and the weighted-average period over which this amount is expected to be recognized was approximately 1.8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526415</wp:posOffset>
            </wp:positionV>
            <wp:extent cx="1968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June 30, 2024 is as follows:</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Weighted-Average</w:t>
            </w:r>
          </w:p>
        </w:tc>
        <w:tc>
          <w:tcPr>
            <w:tcW w:w="15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641,321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627,491</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fair value of options granted was $45.95 and $57.65 per share for the periods ended June 30, 2024 and July 2,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estimated on the date of grant using a Black-Scholes option-pricing model and the following weighted-average assumptions: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20" w:type="dxa"/>
            <w:vAlign w:val="bottom"/>
            <w:tcBorders>
              <w:bottom w:val="single" w:sz="8" w:color="auto"/>
            </w:tcBorders>
          </w:tcPr>
          <w:p>
            <w:pPr>
              <w:spacing w:after="0"/>
              <w:rPr>
                <w:sz w:val="18"/>
                <w:szCs w:val="18"/>
                <w:color w:val="auto"/>
              </w:rPr>
            </w:pPr>
          </w:p>
        </w:tc>
      </w:tr>
      <w:tr>
        <w:trPr>
          <w:trHeight w:val="211"/>
        </w:trPr>
        <w:tc>
          <w:tcPr>
            <w:tcW w:w="6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1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$8,357 and $31,581 for the periods ended June 30, 2024 and July 2, 2023,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six months ended June 30, 2024 and July 2, 2023 can range from 0% to 250% of the targeted amounts.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July 2, 2023, we awarded RSUs to certain executive officers and other key employees under the EICP. We also awarded RSUs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expenses associated with employee RSUs over a specified award vesting period based on the grant date fair value of our Common Stock. We recognize expense for employee RSUs based on the straight- line method. The compensation expenses associated with non-employee director RSUs is recognized ratably over the vesting period, net of estimated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June 30, 2024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1,039,691</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323,396</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(457,338)</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727,621</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1680" w:type="dxa"/>
            <w:vAlign w:val="bottom"/>
            <w:vMerge w:val="restart"/>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20" w:type="dxa"/>
            <w:vAlign w:val="bottom"/>
          </w:tcPr>
          <w:p>
            <w:pPr>
              <w:spacing w:after="0"/>
              <w:rPr>
                <w:sz w:val="20"/>
                <w:szCs w:val="20"/>
                <w:color w:val="auto"/>
              </w:rPr>
            </w:pPr>
          </w:p>
        </w:tc>
        <w:tc>
          <w:tcPr>
            <w:tcW w:w="6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0" w:type="dxa"/>
            <w:vAlign w:val="bottom"/>
          </w:tcPr>
          <w:p>
            <w:pPr>
              <w:spacing w:after="0"/>
              <w:rPr>
                <w:sz w:val="1"/>
                <w:szCs w:val="1"/>
                <w:color w:val="auto"/>
              </w:rPr>
            </w:pPr>
          </w:p>
        </w:tc>
      </w:tr>
      <w:tr>
        <w:trPr>
          <w:trHeight w:val="90"/>
        </w:trPr>
        <w:tc>
          <w:tcPr>
            <w:tcW w:w="6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1680" w:type="dxa"/>
            <w:vAlign w:val="bottom"/>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$87,723 and $100,915 for the periods ended June 30, 2024 and July 2, 2023, respectively.</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264,139 units as of June 30, 2024.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568325</wp:posOffset>
            </wp:positionV>
            <wp:extent cx="1968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8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reports its operations through three reportable segments: (i) North America Confectionery, (ii) North America Salty Snacks and (iii) International. This organizational structure aligns with how our CODM manages our business, including resource allocation and performance assessment, and further aligns with our product categories and the key markets we serve.</w:t>
      </w:r>
    </w:p>
    <w:p>
      <w:pPr>
        <w:spacing w:after="0" w:line="119" w:lineRule="exact"/>
        <w:rPr>
          <w:sz w:val="20"/>
          <w:szCs w:val="20"/>
          <w:color w:val="auto"/>
        </w:rPr>
      </w:pPr>
    </w:p>
    <w:p>
      <w:pPr>
        <w:ind w:left="660" w:right="100" w:hanging="328"/>
        <w:spacing w:after="0" w:line="243"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40" w:lineRule="exact"/>
        <w:rPr>
          <w:rFonts w:ascii="Times New Roman" w:cs="Times New Roman" w:eastAsia="Times New Roman" w:hAnsi="Times New Roman"/>
          <w:sz w:val="18"/>
          <w:szCs w:val="18"/>
          <w:b w:val="1"/>
          <w:bCs w:val="1"/>
          <w:i w:val="1"/>
          <w:iCs w:val="1"/>
          <w:color w:val="auto"/>
        </w:rPr>
      </w:pPr>
    </w:p>
    <w:p>
      <w:pPr>
        <w:ind w:left="660" w:right="580" w:hanging="328"/>
        <w:spacing w:after="0" w:line="286"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40" w:hanging="328"/>
        <w:spacing w:after="0" w:line="262"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net sales and earnings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6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11"/>
        </w:trPr>
        <w:tc>
          <w:tcPr>
            <w:tcW w:w="5000" w:type="dxa"/>
            <w:vAlign w:val="bottom"/>
            <w:tcBorders>
              <w:top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5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4,445,244</w:t>
            </w:r>
          </w:p>
        </w:tc>
      </w:tr>
      <w:tr>
        <w:trPr>
          <w:trHeight w:val="229"/>
        </w:trPr>
        <w:tc>
          <w:tcPr>
            <w:tcW w:w="5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542,350</w:t>
            </w:r>
          </w:p>
        </w:tc>
      </w:tr>
      <w:tr>
        <w:trPr>
          <w:trHeight w:val="230"/>
        </w:trPr>
        <w:tc>
          <w:tcPr>
            <w:tcW w:w="500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490,300</w:t>
            </w:r>
          </w:p>
        </w:tc>
      </w:tr>
      <w:tr>
        <w:trPr>
          <w:trHeight w:val="248"/>
        </w:trPr>
        <w:tc>
          <w:tcPr>
            <w:tcW w:w="50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5,477,894</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0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1,544,928</w:t>
            </w:r>
          </w:p>
        </w:tc>
      </w:tr>
      <w:tr>
        <w:trPr>
          <w:trHeight w:val="230"/>
        </w:trPr>
        <w:tc>
          <w:tcPr>
            <w:tcW w:w="5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90,545</w:t>
            </w:r>
          </w:p>
        </w:tc>
      </w:tr>
      <w:tr>
        <w:trPr>
          <w:trHeight w:val="229"/>
        </w:trPr>
        <w:tc>
          <w:tcPr>
            <w:tcW w:w="500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96,150</w:t>
            </w:r>
          </w:p>
        </w:tc>
      </w:tr>
      <w:tr>
        <w:trPr>
          <w:trHeight w:val="223"/>
        </w:trPr>
        <w:tc>
          <w:tcPr>
            <w:tcW w:w="50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1,731,623</w:t>
            </w:r>
          </w:p>
        </w:tc>
      </w:tr>
      <w:tr>
        <w:trPr>
          <w:trHeight w:val="229"/>
        </w:trPr>
        <w:tc>
          <w:tcPr>
            <w:tcW w:w="5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363,704</w:t>
            </w:r>
          </w:p>
        </w:tc>
      </w:tr>
      <w:tr>
        <w:trPr>
          <w:trHeight w:val="176"/>
        </w:trPr>
        <w:tc>
          <w:tcPr>
            <w:tcW w:w="50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mark-to-market losses (gains) on commodity</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50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189"/>
        </w:trPr>
        <w:tc>
          <w:tcPr>
            <w:tcW w:w="500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Costs associated with business realignment activities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55,666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3,866</w:t>
            </w: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0000FF"/>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50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1,360,589</w:t>
            </w:r>
          </w:p>
        </w:tc>
      </w:tr>
      <w:tr>
        <w:trPr>
          <w:trHeight w:val="189"/>
        </w:trPr>
        <w:tc>
          <w:tcPr>
            <w:tcW w:w="500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41,373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36,661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81,195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74,346</w:t>
            </w:r>
          </w:p>
        </w:tc>
      </w:tr>
      <w:tr>
        <w:trPr>
          <w:trHeight w:val="21"/>
        </w:trPr>
        <w:tc>
          <w:tcPr>
            <w:tcW w:w="18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500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84,484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87,467</w:t>
            </w:r>
          </w:p>
        </w:tc>
      </w:tr>
      <w:tr>
        <w:trPr>
          <w:trHeight w:val="223"/>
        </w:trPr>
        <w:tc>
          <w:tcPr>
            <w:tcW w:w="244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tcBorders>
              <w:top w:val="single" w:sz="8" w:color="0000FF"/>
            </w:tcBorders>
          </w:tcPr>
          <w:p>
            <w:pPr>
              <w:spacing w:after="0"/>
              <w:rPr>
                <w:sz w:val="19"/>
                <w:szCs w:val="19"/>
                <w:color w:val="auto"/>
              </w:rPr>
            </w:pPr>
          </w:p>
        </w:tc>
        <w:tc>
          <w:tcPr>
            <w:tcW w:w="198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245,874</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439,520</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1,232,132</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1,198,776</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adjustment for commodity derivatives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157"/>
        </w:trPr>
        <w:tc>
          <w:tcPr>
            <w:tcW w:w="50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losses (gains) on mark-to-market valuation of commodity</w:t>
            </w: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positions recognized in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gains (losses) on commodity derivative positions reclassified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from unallocated to segment income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losses (gains) on mark-to-market valuation of commodity</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derivative positions recognized in unallocated derivative (gains)</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53,371</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(164,644)</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2024, the cumulative amount of mark-to-market gains on commodity derivatives that have been recognized in our consolidated cost of sales and not yet allocated to reportable segments was $114,437. Based on our forecasts of the timing of the recognition of the underlying hedged items, we expect to reclassify net pre-tax gains on commodity derivatives of $18,642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474980</wp:posOffset>
            </wp:positionV>
            <wp:extent cx="1968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2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116,683</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35,843</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35,583</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disaggregated by geographical region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3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2,158,439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4,632,899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4,776,362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 countries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701,532</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2,490,280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5,327,229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5,477,894</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TREASURY STOCK ACTIVITY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300" w:type="dxa"/>
            <w:vAlign w:val="bottom"/>
            <w:gridSpan w:val="9"/>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w w:val="98"/>
              </w:rPr>
              <w:t>Six Months Ended June 30, 2024</w:t>
            </w: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31"/>
        </w:trPr>
        <w:tc>
          <w:tcPr>
            <w:tcW w:w="6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2,022,064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75"/>
        </w:trPr>
        <w:tc>
          <w:tcPr>
            <w:tcW w:w="68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483,033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94,191</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494,191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for stock options and incentive compensation</w:t>
            </w: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share repurchases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478,205</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associated with net share repurchases (1)</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0" w:type="dxa"/>
            <w:vAlign w:val="bottom"/>
          </w:tcPr>
          <w:p>
            <w:pPr>
              <w:spacing w:after="0"/>
              <w:rPr>
                <w:sz w:val="1"/>
                <w:szCs w:val="1"/>
                <w:color w:val="auto"/>
              </w:rPr>
            </w:pP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482,987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right="560" w:hanging="330"/>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liability for excise tax associated with net share repurchases is classified on our Consolidated Balance Sheets within accrued liabilities.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School Trust at a price equal to $239.91 per share, for a total purchase price of $239,910.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633730</wp:posOffset>
            </wp:positionV>
            <wp:extent cx="19685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Pr>
          <w:p>
            <w:pPr>
              <w:spacing w:after="0"/>
              <w:rPr>
                <w:sz w:val="18"/>
                <w:szCs w:val="18"/>
                <w:color w:val="auto"/>
              </w:rPr>
            </w:pPr>
          </w:p>
        </w:tc>
        <w:tc>
          <w:tcPr>
            <w:tcW w:w="20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8"/>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53,801</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135,420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302,479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104,504</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104,291</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203,007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55,447</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June 30, 2024 and July 2, 2023 excluded 13 and 12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328295</wp:posOffset>
            </wp:positionV>
            <wp:extent cx="1968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Pr>
          <w:p>
            <w:pPr>
              <w:spacing w:after="0"/>
              <w:rPr>
                <w:sz w:val="18"/>
                <w:szCs w:val="18"/>
                <w:color w:val="auto"/>
              </w:rPr>
            </w:pPr>
          </w:p>
        </w:tc>
        <w:tc>
          <w:tcPr>
            <w:tcW w:w="20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107,602</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108,681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147,679</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255,281</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55,864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733,678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244,669</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738,887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255,281</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244,355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994,168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254,612</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55,864</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six months ended June 30, 2024 and July 2, 2023 excluded 13 and 12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256"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80" w:type="dxa"/>
            <w:vAlign w:val="bottom"/>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166"/>
        </w:trPr>
        <w:tc>
          <w:tcPr>
            <w:tcW w:w="4780" w:type="dxa"/>
            <w:vAlign w:val="bottom"/>
            <w:tcBorders>
              <w:top w:val="single" w:sz="8" w:color="CCEEFF"/>
            </w:tcBorders>
            <w:gridSpan w:val="5"/>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Write-down of equity investments in partnerships qualifying for</w:t>
            </w: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94"/>
        </w:trPr>
        <w:tc>
          <w:tcPr>
            <w:tcW w:w="478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historic and renewable energy tax credits (see </w:t>
            </w:r>
            <w:r>
              <w:rPr>
                <w:rFonts w:ascii="Times New Roman" w:cs="Times New Roman" w:eastAsia="Times New Roman" w:hAnsi="Times New Roman"/>
                <w:sz w:val="18"/>
                <w:szCs w:val="18"/>
                <w:color w:val="0000FF"/>
              </w:rPr>
              <w:t>Note 8</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77,360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31,391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77,360</w:t>
            </w:r>
          </w:p>
        </w:tc>
      </w:tr>
      <w:tr>
        <w:trPr>
          <w:trHeight w:val="21"/>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478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4"/>
        </w:trPr>
        <w:tc>
          <w:tcPr>
            <w:tcW w:w="478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to pension and other post-retirement 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7,661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10,872</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4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3"/>
        </w:trPr>
        <w:tc>
          <w:tcPr>
            <w:tcW w:w="4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87,467</w:t>
            </w:r>
          </w:p>
        </w:tc>
      </w:tr>
      <w:tr>
        <w:trPr>
          <w:trHeight w:val="20"/>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BALANCE SHEET INFORMATION</w:t>
            </w: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7"/>
        </w:trPr>
        <w:tc>
          <w:tcPr>
            <w:tcW w:w="6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481,111</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Goods in process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948,974</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at First In First Out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1,622,317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 to Last In First Out</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(281,321)</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227,567</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118,021</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5"/>
        </w:trPr>
        <w:tc>
          <w:tcPr>
            <w:tcW w:w="6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180,751</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1,763,070</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3,861,006</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644,244</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6,449,071</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(3,241,174)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(3,139,393)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3,309,678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48,506</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360,205</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137,563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June 30, 2024</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 hedges,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781,166</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630,536</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149,261</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155,323</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306,386</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1,138,226</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1,086,183</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195,039</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261,961</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343,444</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221,945</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227,916</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783,723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867,815</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90,718</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307,862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273,504</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263,917</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700,065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660,673</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(119,547)</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(87,706)</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(126,800)</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(251,613)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(230,078)</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-3316605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-1036955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540385</wp:posOffset>
            </wp:positionV>
            <wp:extent cx="1968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34" w:name="page35"/>
    <w:bookmarkEnd w:id="34"/>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June 30, 2024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2023 Annual Report on Form 10-K, and our Quarterly Report on Form 10-Q for the quarterly period ended March 31, 2024, for information concerning the key risks to achieving future performance goals.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80 countries worldwide.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6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 xml:space="preserve">SkinnyPop </w:t>
      </w:r>
      <w:r>
        <w:rPr>
          <w:rFonts w:ascii="Times New Roman" w:cs="Times New Roman" w:eastAsia="Times New Roman" w:hAnsi="Times New Roman"/>
          <w:sz w:val="18"/>
          <w:szCs w:val="18"/>
          <w:color w:val="auto"/>
        </w:rPr>
        <w:t>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269875</wp:posOffset>
            </wp:positionV>
            <wp:extent cx="196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Throughout the first six months of 2024, U.S. consumer behavior has continued to shift and evolve, as cost fatigue and labor markets restrict income growth and constrain consumer spending and purchasing patterns. As a result, consumer behavior related to our products has shifted. As such, during the six months ended June 30, 2024, we continued to experience a dynamic macroeconomic environment, including price volatility related to select commodities, resulting in corresponding incremental costs and gross margin pressures, and net sales and net income declines. Despite specific actions taken to mitigate these gross margin pressures, higher prices for direct materials used to manufacture our products were, and continue to be, the primary incremental cost to our business (see </w:t>
      </w:r>
      <w:r>
        <w:rPr>
          <w:rFonts w:ascii="Times New Roman" w:cs="Times New Roman" w:eastAsia="Times New Roman" w:hAnsi="Times New Roman"/>
          <w:sz w:val="18"/>
          <w:szCs w:val="18"/>
          <w:u w:val="single" w:color="auto"/>
          <w:color w:val="0000FF"/>
        </w:rPr>
        <w:t>Consolidated Results of Operations</w:t>
      </w:r>
      <w:r>
        <w:rPr>
          <w:rFonts w:ascii="Times New Roman" w:cs="Times New Roman" w:eastAsia="Times New Roman" w:hAnsi="Times New Roman"/>
          <w:sz w:val="18"/>
          <w:szCs w:val="18"/>
          <w:color w:val="auto"/>
        </w:rPr>
        <w:t xml:space="preserve"> included in this MD&amp;A). We utilize many exchange traded commodities for our business that are subject to price volatility, specifically cocoa products, which experienced a market price increase of approximately 75% since the beginning of the year (see </w:t>
      </w:r>
      <w:r>
        <w:rPr>
          <w:rFonts w:ascii="Times New Roman" w:cs="Times New Roman" w:eastAsia="Times New Roman" w:hAnsi="Times New Roman"/>
          <w:sz w:val="18"/>
          <w:szCs w:val="18"/>
          <w:u w:val="single" w:color="auto"/>
          <w:color w:val="0000FF"/>
        </w:rPr>
        <w:t>Part I, Item 3 - Quantitative and Qualitative Disclosures about Market Risk</w:t>
      </w:r>
      <w:r>
        <w:rPr>
          <w:rFonts w:ascii="Times New Roman" w:cs="Times New Roman" w:eastAsia="Times New Roman" w:hAnsi="Times New Roman"/>
          <w:sz w:val="18"/>
          <w:szCs w:val="18"/>
          <w:color w:val="auto"/>
        </w:rPr>
        <w:t xml:space="preserve"> included in this Quarterly Report on Form 10-Q).</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certain geopolitical events, specifically the conflict between Russia and Ukraine, have increased global economic and political uncertainty. For the six months ended June 30, 2024,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2024,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Capital Resources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 length and severity of the fluctuating macroeconomic environment, including price volatility for our commodities, the possibility of a recession, changes in consumer shopping and consumption behavior, and changes in geopolitical events, including the ongoing conflict between Russia and Ukraine, we may experience increasing supply chain costs, higher inflation and other impacts to our business.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2"/>
                <w:szCs w:val="12"/>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2"/>
                <w:szCs w:val="12"/>
                <w:color w:val="auto"/>
              </w:rPr>
            </w:pPr>
          </w:p>
        </w:tc>
        <w:tc>
          <w:tcPr>
            <w:tcW w:w="122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2"/>
                <w:szCs w:val="12"/>
                <w:color w:val="auto"/>
              </w:rPr>
            </w:pP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20" w:type="dxa"/>
            <w:vAlign w:val="bottom"/>
          </w:tcPr>
          <w:p>
            <w:pPr>
              <w:spacing w:after="0"/>
              <w:rPr>
                <w:sz w:val="12"/>
                <w:szCs w:val="12"/>
                <w:color w:val="auto"/>
              </w:rPr>
            </w:pPr>
          </w:p>
        </w:tc>
        <w:tc>
          <w:tcPr>
            <w:tcW w:w="1100" w:type="dxa"/>
            <w:vAlign w:val="bottom"/>
          </w:tcPr>
          <w:p>
            <w:pPr>
              <w:jc w:val="right"/>
              <w:ind w:right="199"/>
              <w:spacing w:after="0" w:line="14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4"/>
        </w:trPr>
        <w:tc>
          <w:tcPr>
            <w:tcW w:w="3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2,490.3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5,327.2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5,477.9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1,358.2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2,817.4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2,963.5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2,509.8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2,514.4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8"/>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20" w:type="dxa"/>
            <w:vAlign w:val="bottom"/>
          </w:tcPr>
          <w:p>
            <w:pPr>
              <w:spacing w:after="0"/>
              <w:rPr>
                <w:sz w:val="18"/>
                <w:szCs w:val="18"/>
                <w:color w:val="auto"/>
              </w:rPr>
            </w:pPr>
          </w:p>
        </w:tc>
        <w:tc>
          <w:tcPr>
            <w:tcW w:w="1080" w:type="dxa"/>
            <w:vAlign w:val="bottom"/>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40.2 %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459"/>
              <w:spacing w:after="0"/>
              <w:rPr>
                <w:sz w:val="20"/>
                <w:szCs w:val="20"/>
                <w:color w:val="auto"/>
              </w:rPr>
            </w:pPr>
            <w:r>
              <w:rPr>
                <w:rFonts w:ascii="Times New Roman" w:cs="Times New Roman" w:eastAsia="Times New Roman" w:hAnsi="Times New Roman"/>
                <w:sz w:val="16"/>
                <w:szCs w:val="16"/>
                <w:i w:val="1"/>
                <w:iCs w:val="1"/>
                <w:color w:val="auto"/>
              </w:rPr>
              <w:t>45.5 %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47.1 %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45.9 %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60"/>
              <w:spacing w:after="0" w:line="164" w:lineRule="exact"/>
              <w:rPr>
                <w:sz w:val="20"/>
                <w:szCs w:val="20"/>
                <w:color w:val="auto"/>
              </w:rPr>
            </w:pPr>
            <w:r>
              <w:rPr>
                <w:rFonts w:ascii="Times New Roman" w:cs="Times New Roman" w:eastAsia="Times New Roman" w:hAnsi="Times New Roman"/>
                <w:sz w:val="16"/>
                <w:szCs w:val="16"/>
                <w:color w:val="auto"/>
              </w:rPr>
              <w:t>Selling, marketing &amp; administrative (“SM&amp;A”)</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571.8</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1,153.4</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120" w:type="dxa"/>
            <w:vAlign w:val="bottom"/>
          </w:tcPr>
          <w:p>
            <w:pPr>
              <w:spacing w:after="0"/>
              <w:rPr>
                <w:sz w:val="18"/>
                <w:szCs w:val="18"/>
                <w:color w:val="auto"/>
              </w:rPr>
            </w:pPr>
          </w:p>
        </w:tc>
        <w:tc>
          <w:tcPr>
            <w:tcW w:w="1080" w:type="dxa"/>
            <w:vAlign w:val="bottom"/>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26.1 %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459"/>
              <w:spacing w:after="0"/>
              <w:rPr>
                <w:sz w:val="20"/>
                <w:szCs w:val="20"/>
                <w:color w:val="auto"/>
              </w:rPr>
            </w:pPr>
            <w:r>
              <w:rPr>
                <w:rFonts w:ascii="Times New Roman" w:cs="Times New Roman" w:eastAsia="Times New Roman" w:hAnsi="Times New Roman"/>
                <w:sz w:val="16"/>
                <w:szCs w:val="16"/>
                <w:i w:val="1"/>
                <w:iCs w:val="1"/>
                <w:color w:val="auto"/>
              </w:rPr>
              <w:t>23.0 %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21.8 %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21.1 %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Business realignment activities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2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1,345.9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13.9 %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i w:val="1"/>
                <w:iCs w:val="1"/>
                <w:color w:val="auto"/>
              </w:rPr>
              <w:t>22.5 %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25.3 %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24.8 %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32.5</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99.7 %</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204.6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26.4%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7.4%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17.1%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406.9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1.98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w w:val="99"/>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4.83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Percentage changes may not compute directly as shown due to rounding of amounts presented above.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2024 vs. Second Quarter 2023</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ind w:left="40" w:right="220"/>
        <w:spacing w:after="0" w:line="255" w:lineRule="auto"/>
        <w:rPr>
          <w:sz w:val="20"/>
          <w:szCs w:val="20"/>
          <w:color w:val="auto"/>
        </w:rPr>
      </w:pPr>
      <w:r>
        <w:rPr>
          <w:rFonts w:ascii="Times New Roman" w:cs="Times New Roman" w:eastAsia="Times New Roman" w:hAnsi="Times New Roman"/>
          <w:sz w:val="18"/>
          <w:szCs w:val="18"/>
          <w:color w:val="auto"/>
        </w:rPr>
        <w:t>Net sales were $2,074.5 million in the second quarter of 2024 compared to $2,490.3 million in the same period of 2023, a decrease of $415.8 million, or 16.7%. The net sales decrease was driven by a volume decline of approximately 18%, primarily due to a decrease in everyday core U.S. confection, primarily as a result of accelerated shipments in the first quarter of 2024 due to the anticipation of our enterprise resource planning (“ERP”) system implementation, which was completed in the beginning of the second quarter of 2024. Consolidated volume decline was partially offset by an increase in salty snack brands. The net sales decrease was partially offset by a favorable price realization of approximately 1%, driven by higher list prices primarily within our North America Confectionery and International segments, partially offset by unfavorable price realization in our North America Salty Snacks segment. Foreign currency exchange rates resulted in a favorable impact of less than 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360"/>
        <w:spacing w:after="0" w:line="261" w:lineRule="auto"/>
        <w:rPr>
          <w:sz w:val="20"/>
          <w:szCs w:val="20"/>
          <w:color w:val="auto"/>
        </w:rPr>
      </w:pPr>
      <w:r>
        <w:rPr>
          <w:rFonts w:ascii="Times New Roman" w:cs="Times New Roman" w:eastAsia="Times New Roman" w:hAnsi="Times New Roman"/>
          <w:sz w:val="18"/>
          <w:szCs w:val="18"/>
          <w:color w:val="auto"/>
        </w:rPr>
        <w:t>For the second quarter of 2024, our total U.S. retail takeaway declined 2.9% in the expanded multi-outlet combined plus convenience store channels (Circana MULO + C-Stores), which includes candy, mint, gum, salty snacks and grocery items. Our U.S. candy, mint and gum (“CMG”) consumer takeaway declined 5.0% and experienced a CMG market share decline of 138 basis points. Our Salty consumer takeaway increased 8.0% in the second quarter of 2024 and experienced a Salty market share increase of 22 basis points.</w:t>
      </w:r>
    </w:p>
    <w:p>
      <w:pPr>
        <w:spacing w:after="0" w:line="126" w:lineRule="exact"/>
        <w:rPr>
          <w:sz w:val="20"/>
          <w:szCs w:val="20"/>
          <w:color w:val="auto"/>
        </w:rPr>
      </w:pPr>
    </w:p>
    <w:p>
      <w:pPr>
        <w:ind w:left="40" w:right="140"/>
        <w:spacing w:after="0" w:line="281" w:lineRule="auto"/>
        <w:rPr>
          <w:sz w:val="20"/>
          <w:szCs w:val="20"/>
          <w:color w:val="auto"/>
        </w:rPr>
      </w:pPr>
      <w:r>
        <w:rPr>
          <w:rFonts w:ascii="Times New Roman" w:cs="Times New Roman" w:eastAsia="Times New Roman" w:hAnsi="Times New Roman"/>
          <w:sz w:val="17"/>
          <w:szCs w:val="17"/>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253365</wp:posOffset>
            </wp:positionV>
            <wp:extent cx="1968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were $1,240.7 million in the second quarter 2024 compared to $1,358.2 million in the same period 2023, a decrease of $117.5 million, or</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8.6%. The decrease was driven by $224.0 million related to lower sales volume, in line with the declines in net sales noted above, and lower supply chain costs. The decrease was partially offset by $74.6 million in higher commodity costs, primarily driven by cocoa, an increase of $8.1 million of incremental business realignment costs, as well as unfavorable mix. The decrease was further offset by $31.9 million of unfavorable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 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 for more information).</w:t>
      </w:r>
    </w:p>
    <w:p>
      <w:pPr>
        <w:spacing w:after="0" w:line="13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Gross margin was 40.2% in the second quarter of 2024 compared to 45.5% in the same period of 2023, a decrease of 530 basis points. The decrease was driven by unfavorable activity on our mark-to-market impact from commodity derivative instruments, unfavorable commodity costs, increased business realignment costs and unfavorable mix. The decrease was partially offset by the decline in net sales, as noted above, and lower supply chain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9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SM&amp;A expenses were $541.0 million in the second quarter of 2024 compared to $571.8 million in the same period of 2023, a decrease of $30.8 million, or 5.4%. Total advertising and related consumer marketing expenses decreased 15.4% driven primarily by a decrease in the North America Confectionery segment. SM&amp;A expenses, excluding advertising and related consumer marketing, decreased 0.8% in the second quarter of 2024 driven by lower compensation costs across segments, partially offset by $24.1 million of incremental business realignment costs, as well as higher investments in capabilities and technology.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6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$4.9 million business realignment costs during the second quarter of 2024, versus a benefit of $0.3 million in the second quarter of 2023. The costs in 2024 related to the Advancing Agility &amp; Automation (“AAA”) Initiative, which commenced in 2024, focused on leveraging new technology to improve supply chain and manufacturing-related spend, and optimize selling, general and administrative expenses. The costs in 2023 related to the International Optimization Program, which completed in 2023. The International Optimization Program was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profit was $287.9 million in the second quarter of 2024 compared to $560.6 million in the same period of 2023, a decrease of $272.7 million, or 48.7%. The decrease was primarily due to lower gross profit and higher business realignment costs, partially offset by lower SM&amp;A expenses, as noted above. Operating profit margin decreased to 13.9% in 2024 from 22.5% in 2023 driven by the same factors noted above that resulted in lower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interest expense was $41.4 million in the second quarter of 2024 compared to $36.7 million in the same period of 2023, an increase of $4.7 million, or 12.9%. The increase was primarily due to higher rates on short-term debt balances in 2024 versus 2023, specifically related to outstanding commercial paper borrowings.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expense, net was $0.6 million in the second quarter of 2024 versus net expense of $84.5 million in the second quarter of 2023, a decrease of $83.9 million, or 99.3%. The decrease in net expense was primarily driven by $77.4 million of lower write-downs on equity investments qualifying for tax credits in 2024 versus the second quarter of 2023, and a decrease of $7.1 million of non-service cost components of net periodic benefit cost relating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108" w:lineRule="exact"/>
        <w:rPr>
          <w:sz w:val="20"/>
          <w:szCs w:val="20"/>
          <w:color w:val="auto"/>
        </w:rPr>
      </w:pPr>
    </w:p>
    <w:p>
      <w:pPr>
        <w:ind w:left="40" w:right="40"/>
        <w:spacing w:after="0" w:line="250" w:lineRule="auto"/>
        <w:rPr>
          <w:sz w:val="20"/>
          <w:szCs w:val="20"/>
          <w:color w:val="auto"/>
        </w:rPr>
      </w:pPr>
      <w:r>
        <w:rPr>
          <w:rFonts w:ascii="Times New Roman" w:cs="Times New Roman" w:eastAsia="Times New Roman" w:hAnsi="Times New Roman"/>
          <w:sz w:val="18"/>
          <w:szCs w:val="18"/>
          <w:color w:val="auto"/>
        </w:rPr>
        <w:t>The effective income tax rate was 26.4% for the second quarter of 2024 compared with 7.4% for the second quarter of 2023. Relative to the 21% statutory rate, the 2024 effective tax rate was primarily impacted by state taxes, tax reserves and unfavorable foreign rate differential, partially offset by the benefit of employee share-based payments. Relative to the 21% statutory rate, the 2023 effective tax rate was impacted by investment tax credits and employee share-based payments partially offset by state taxes and tax reserves.</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was $180.9 million in the second quarter of 2024 compared to $406.9 million in the same period of 2023, a decrease of $226.0 million, or</w:t>
      </w:r>
    </w:p>
    <w:p>
      <w:pPr>
        <w:spacing w:after="0" w:line="27" w:lineRule="exact"/>
        <w:rPr>
          <w:sz w:val="20"/>
          <w:szCs w:val="20"/>
          <w:color w:val="auto"/>
        </w:rPr>
      </w:pPr>
    </w:p>
    <w:p>
      <w:pPr>
        <w:ind w:left="40"/>
        <w:spacing w:after="0" w:line="255" w:lineRule="auto"/>
        <w:rPr>
          <w:sz w:val="20"/>
          <w:szCs w:val="20"/>
          <w:color w:val="auto"/>
        </w:rPr>
      </w:pPr>
      <w:r>
        <w:rPr>
          <w:rFonts w:ascii="Times New Roman" w:cs="Times New Roman" w:eastAsia="Times New Roman" w:hAnsi="Times New Roman"/>
          <w:sz w:val="18"/>
          <w:szCs w:val="18"/>
          <w:color w:val="auto"/>
        </w:rPr>
        <w:t>55.6%. EPS-diluted was $0.89 in the second quarter of 2024 compared to $1.98 in the second quarter of 2023, a decrease of $1.09, or 55.1%. The decrease in both net income and EPS-diluted was driven by lower gross profit and higher income taxes, partially offset by lower SM&amp;A expenses and lower other income and expenses. Our 2024 EPS-diluted benefited from lower weighted-average shares outstanding.</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2024 vs. First Six Months 2023</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18"/>
          <w:szCs w:val="18"/>
          <w:color w:val="auto"/>
        </w:rPr>
        <w:t>Net sales were $5,327.2 million in the first six months of 2024 compared to $5,477.9 million during the same period of 2023, a decrease of $150.7 million, or 2.8%. The net sales decrease was driven by a volume decrease of approximately 6%, primarily due to a decrease in everyday core U.S. confection and decreases across the International segment, partially offset by an increase in salty snack brands. The net sales decrease was partially offset by a favorable price realization of approximately 3%, primarily due to higher list prices across our reportable segments. Foreign currency exchange rates resulted in a favorable impact of less than 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For the first six months of 2024, our total U.S. retail takeaway increased 0.5% in the expanded multi-outlet combined plus convenience store channels (IRI MULO + C-Stores), which includes candy, mint, gum, salty snacks and grocery items. Our U.S. CMG consumer takeaway declined 0.1% and experienced a CMG market share decline of 68 basis points. Our Salty consumer takeaway increased 3.2% and experienced a Salty market share increase of 5 basis points.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ind w:left="40" w:right="60"/>
        <w:spacing w:after="0" w:line="256" w:lineRule="auto"/>
        <w:rPr>
          <w:sz w:val="20"/>
          <w:szCs w:val="20"/>
          <w:color w:val="auto"/>
        </w:rPr>
      </w:pPr>
      <w:r>
        <w:rPr>
          <w:rFonts w:ascii="Times New Roman" w:cs="Times New Roman" w:eastAsia="Times New Roman" w:hAnsi="Times New Roman"/>
          <w:sz w:val="18"/>
          <w:szCs w:val="18"/>
          <w:color w:val="auto"/>
        </w:rPr>
        <w:t xml:space="preserve">Cost of sales were $2,817.4 million in the first six months of 2024 compared to $2,963.5 million in the same period of 2023, a decrease of $146.1 million, or 4.9%. The decrease was driven by an incremental $176.5 million of 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 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more information). The decrease was further driven by $156.8 million related to lower sales volume. The decrease was partially offset by $187.2 million driven by higher commodity costs, higher supply chain costs, unfavorable mix and an increase of $9.7 million of incremental business realignment costs.</w:t>
      </w:r>
    </w:p>
    <w:p>
      <w:pPr>
        <w:spacing w:after="0" w:line="52" w:lineRule="exact"/>
        <w:rPr>
          <w:sz w:val="20"/>
          <w:szCs w:val="20"/>
          <w:color w:val="auto"/>
        </w:rPr>
      </w:pPr>
    </w:p>
    <w:p>
      <w:pPr>
        <w:ind w:left="40" w:right="100"/>
        <w:spacing w:after="0" w:line="261" w:lineRule="auto"/>
        <w:rPr>
          <w:sz w:val="20"/>
          <w:szCs w:val="20"/>
          <w:color w:val="auto"/>
        </w:rPr>
      </w:pPr>
      <w:r>
        <w:rPr>
          <w:rFonts w:ascii="Times New Roman" w:cs="Times New Roman" w:eastAsia="Times New Roman" w:hAnsi="Times New Roman"/>
          <w:sz w:val="18"/>
          <w:szCs w:val="18"/>
          <w:color w:val="auto"/>
        </w:rPr>
        <w:t>Gross margin was 47.1% in the first six months of 2024 compared to 45.9% in the same period of 2023, an increase of 120 basis points. The increase was driven by favorable year-over-year mark-to-market impact from commodity derivative instruments, favorable price realization and volume declines. The increase was partially offset by higher supply chain costs, including higher logistics and labor costs, unfavorable product mix and increased business realignment costs.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108" w:lineRule="exact"/>
        <w:rPr>
          <w:sz w:val="20"/>
          <w:szCs w:val="20"/>
          <w:color w:val="auto"/>
        </w:rPr>
      </w:pPr>
    </w:p>
    <w:p>
      <w:pPr>
        <w:ind w:left="40" w:right="340"/>
        <w:spacing w:after="0" w:line="258" w:lineRule="auto"/>
        <w:rPr>
          <w:sz w:val="20"/>
          <w:szCs w:val="20"/>
          <w:color w:val="auto"/>
        </w:rPr>
      </w:pPr>
      <w:r>
        <w:rPr>
          <w:rFonts w:ascii="Times New Roman" w:cs="Times New Roman" w:eastAsia="Times New Roman" w:hAnsi="Times New Roman"/>
          <w:sz w:val="18"/>
          <w:szCs w:val="18"/>
          <w:color w:val="auto"/>
        </w:rPr>
        <w:t>SM&amp;A expenses were $1,159.0 million in the first six months of 2024 compared to $1,153.4 million in the same period of 2023, an increase of $5.6 million, or 0.5%. Total advertising and related consumer marketing expenses decreased 1.1%, driven by a decrease in North America Confectionery, partially offset by an increase in North America Salty Snacks. SM&amp;A expenses, excluding advertising and related consumer marketing, increased approximately 1.2% in the first six months of 2024 driven by an increase of $37.6 million of incremental business realignment costs, as well as higher investments in capabilities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265430</wp:posOffset>
            </wp:positionV>
            <wp:extent cx="1968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280" w:top="1413"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$4.9 million during the first six months of 2024 versus $0.4 million in the first six months of 2023. The costs in 2024 related to the AAA Initiative, which commenced in 2024, focused on leveraging new technology to improve supply chain and manufacturing-related spend, and optimize selling, general and administrative expenses. The costs in 2023 related to the International Optimization Program, which completed in 2023. The International Optimization Program was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profit was $1,345.9 million in the first six months of 2024 compared to $1,360.6 million in the same period of 2023, a decrease of $14.7 million, or 1.1%. The decrease was predominantly due to higher SM&amp;A expenses, higher business realignment costs and lower gross profit, as noted above. Operating profit margin increased to 25.3% in the first six months of 2024 from 24.8% in the same period in 2023 driven by the same factors that resulted in higher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interest expense was $81.2 million in the first six months of 2024 compared to $74.3 million in the same period of 2023, an increase of $6.9 million, or 9.2%. The increase was primarily due to higher rates on short-term debt balances in 2024 versus 2023, specifically related to outstanding commercial paper borrowings. The increase was further driven by higher rates on long-term debt balances in 2024 versus 2023, due to the $350 million 4.25% and $400 million 4.50% Notes issued in May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(income) expense, net was $32.6 million in the first six months of 2024 versus a net expense of $87.5 million in the first six months of 2023, a decrease of $54.9 million, or 62.7%. The decrease in net expense was primarily driven by $46.0 million of lower write-downs on equity investments qualifying for tax credits in 2024 versus the first six months of 2023 and a decrease of $9.6 million of non-service cost components of net periodic benefit costs relating to pension and other post-retirement benefit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20"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Our effective income tax rate was 20.6% for the first six months of 2024 compared with 17.1% for the first six months of 2023. Relative to the 21% statutory rate, the 2024 effective tax rate was impacted by investment tax credits partially offset by state taxes. Relative to the 21% statutory rate, the 2023 effective tax rate was impacted by investment tax credits and employee share-based payments partially offset by state taxes and tax reserves.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$978.3 million in the first six months of 2024 compared to $994.2 million in the same period of 2023, a decrease of $15.9 million, or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1.6%. EPS-diluted was $4.80 in the first six months of 2024 compared to $4.83 in the same period of 2023, a decrease of $0.03, or 0.6%. The decrease in both net income and EPS-diluted was driven by lower gross profit, higher income taxes and higher SM&amp;A, partially offset by lower other income and expenses. Our 2024 EPS-diluted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268605</wp:posOffset>
            </wp:positionV>
            <wp:extent cx="19685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0" w:type="dxa"/>
            <w:vAlign w:val="bottom"/>
          </w:tcPr>
          <w:p>
            <w:pPr>
              <w:spacing w:after="0"/>
              <w:rPr>
                <w:sz w:val="1"/>
                <w:szCs w:val="1"/>
                <w:color w:val="auto"/>
              </w:rPr>
            </w:pPr>
          </w:p>
        </w:tc>
      </w:tr>
      <w:tr>
        <w:trPr>
          <w:trHeight w:val="161"/>
        </w:trPr>
        <w:tc>
          <w:tcPr>
            <w:tcW w:w="52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mark-to-market losses (gains) on commodity derivatives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40" w:right="260" w:hanging="332"/>
        <w:spacing w:after="0" w:line="272"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49" w:lineRule="exact"/>
        <w:rPr>
          <w:rFonts w:ascii="Times New Roman" w:cs="Times New Roman" w:eastAsia="Times New Roman" w:hAnsi="Times New Roman"/>
          <w:sz w:val="16"/>
          <w:szCs w:val="16"/>
          <w:color w:val="auto"/>
        </w:rPr>
      </w:pPr>
    </w:p>
    <w:p>
      <w:pPr>
        <w:ind w:left="340" w:right="280" w:hanging="332"/>
        <w:spacing w:after="0" w:line="280"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Unaudited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76.2% and 80.0% of our net sales for the three months ended June 30, 2024 and July 2, 2023, respectively,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78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1,993.1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4,287.1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4,445.2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2024 vs. Second Quarter 2023</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sales of our North America Confectionery segment were $1,579.8 million in the second quarter of 2024 compared to $1,993.1 million in the same period of 2023, a decrease of $413.3 million, or 20.7%. The decrease was driven by volume declines of approximately 22%, primarily driven by a decrease in everyday core U.S. confection as a result of accelerated shipments in the first quarter of 2024 in anticipation of our ERP system implementation, which was completed in the beginning of the second quarter of 2024. The decrease was partially offset by favorable price realization of approximately 1%, primarily due to list price increases on certain products across our portfolio.</w:t>
      </w:r>
    </w:p>
    <w:p>
      <w:pPr>
        <w:sectPr>
          <w:pgSz w:w="11900" w:h="16838" w:orient="portrait"/>
          <w:cols w:equalWidth="0" w:num="1">
            <w:col w:w="11240"/>
          </w:cols>
          <w:pgMar w:left="320" w:top="1440" w:right="339" w:bottom="0" w:gutter="0" w:footer="0" w:header="0"/>
        </w:sectPr>
      </w:pPr>
    </w:p>
    <w:bookmarkStart w:id="41" w:name="page42"/>
    <w:bookmarkEnd w:id="41"/>
    <w:p>
      <w:pPr>
        <w:ind w:right="22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0.6% during the second quarter of 2024 compared to the same period of 2023.</w:t>
      </w:r>
    </w:p>
    <w:p>
      <w:pPr>
        <w:spacing w:after="0" w:line="108"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Our North America Confectionery segment income was $464.5 million in the second quarter of 2024 compared to $657.1 million in the same period of 2023, a decrease of $192.6 million, or 29.3%. The decrease was primarily due to lower volume, in line with the net sales decline as noted above, higher commodity costs, and unfavorable product mix. The decrease was partially offset by favorable price realization, lower advertising and related consumer marketing costs and lower supply chain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2024 vs. First Six Months 2023</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$4,287.1 million in the first six months of 2024 compared to $4,445.2 million in the same period of 2023, a decrease $158.1 million, or 3.6%. The decrease was driven by volume declines of approximately 7%, primarily driven by a decrease in everyday core U.S. confection brands. The decrease was partially offset by favorable price realization of approximately 4%, due to list price increases on certain products across our portfolio.</w:t>
      </w:r>
    </w:p>
    <w:p>
      <w:pPr>
        <w:spacing w:after="0" w:line="11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5.2% during the first six months of 2024 compared to the same period of 2023.</w:t>
      </w:r>
    </w:p>
    <w:p>
      <w:pPr>
        <w:spacing w:after="0" w:line="9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$1,412.7 million in the first six months of 2024 compared to $1,544.9 million the same period of 2023, a decrease $132.2 million or 8.6%. The decrease was primarily due to lower volume, higher commodity costs, higher supply chain costs and unfavorable product mix. The decrease was partially offset by favorable price realization and lower advertising and related consumer marketing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results, which accounted for 14.0% and 10.9% of our net sales for the three months ended June 30, 2024 and July 2, 2023, respectively,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8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6.4 %  $</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542.4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16.7 %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2024 vs. Second Quarter 2023</w:t>
      </w:r>
    </w:p>
    <w:p>
      <w:pPr>
        <w:spacing w:after="0" w:line="14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$289.9 million in the second quarter of 2024 compared to $272.4 million in the same period of 2023, an increase of $17.5 million, or 6.4%. The increase reflects volume growth of approximately 9%, primarily related to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Pirate’s Booty </w:t>
      </w:r>
      <w:r>
        <w:rPr>
          <w:rFonts w:ascii="Times New Roman" w:cs="Times New Roman" w:eastAsia="Times New Roman" w:hAnsi="Times New Roman"/>
          <w:sz w:val="18"/>
          <w:szCs w:val="18"/>
          <w:color w:val="auto"/>
        </w:rPr>
        <w:t>snacks. The increase was partially offset by an unfavorable price realization of approximately 3%, due to increased levels of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promotional spending.</w:t>
      </w:r>
    </w:p>
    <w:p>
      <w:pPr>
        <w:spacing w:after="0" w:line="1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North America Salty Snacks segment income was $52.2 million in the second quarter of 2024 compared to $43.8 million in the same period of 2023, an increase of $8.4 million, or 19.2%. The increase was primarily due to volume increases on certain products and favorable commodity costs. The increase was partially offset by higher advertising and related consumer marketing costs, and unfavorable price realization.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2024 vs. First Six Months 2023</w:t>
      </w:r>
    </w:p>
    <w:p>
      <w:pPr>
        <w:spacing w:after="0" w:line="13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$565.0 million in the first six months of 2024 compared to $542.4 million the same period of 2023, an increase $22.6 million, or 4.2%. The increase reflects volume growth of approximately 5%, primarily related to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Pirate’s Booty </w:t>
      </w:r>
      <w:r>
        <w:rPr>
          <w:rFonts w:ascii="Times New Roman" w:cs="Times New Roman" w:eastAsia="Times New Roman" w:hAnsi="Times New Roman"/>
          <w:sz w:val="18"/>
          <w:szCs w:val="18"/>
          <w:color w:val="auto"/>
        </w:rPr>
        <w:t>snacks, partially offset by volume declines in</w:t>
      </w:r>
      <w:r>
        <w:rPr>
          <w:rFonts w:ascii="Times New Roman" w:cs="Times New Roman" w:eastAsia="Times New Roman" w:hAnsi="Times New Roman"/>
          <w:sz w:val="18"/>
          <w:szCs w:val="18"/>
          <w:i w:val="1"/>
          <w:iCs w:val="1"/>
          <w:color w:val="auto"/>
        </w:rPr>
        <w:t xml:space="preserve"> SkinnyPop </w:t>
      </w:r>
      <w:r>
        <w:rPr>
          <w:rFonts w:ascii="Times New Roman" w:cs="Times New Roman" w:eastAsia="Times New Roman" w:hAnsi="Times New Roman"/>
          <w:sz w:val="18"/>
          <w:szCs w:val="18"/>
          <w:color w:val="auto"/>
        </w:rPr>
        <w:t>snacks. The increase was partially offset by an unfavorable price realization of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increased levels of trade promotional spending.</w:t>
      </w:r>
    </w:p>
    <w:p>
      <w:pPr>
        <w:spacing w:after="0" w:line="11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Our North America Salty Snacks segment income was $90.9 million in the first six months of 2024 compared to $90.5 million the same period of 2023, an increase $0.4 million, or 0.4%. The increase was primarily due to volume growth and favorable commodity costs. The increase was partially offset by higher supply chain costs, unfavorable price realization, and higher advertising and related consumer marketing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(“AMEA”) and other regions. International results, which accounted for 9.9% and 9.0% of our net sales for the three months ended June 30, 2024 and July 2, 2023, respectively,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19.6 %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2024 vs. Second Quarter 2023</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$204.8 million in the second quarter of 2024 compared to $224.8 million in the same period of 2023, a decrease $20.0 million, or 8.9%. The decrease was due to volume declines of approximately 16% across the segment, partially offset by growth in India and Europe. The decrease was partially offset by favorable price realization of approximately 5% across the segment, and a favorable impact from foreign currency exchange rates of approximately 2%, primarily driven by Mexico.</w:t>
      </w:r>
    </w:p>
    <w:p>
      <w:pPr>
        <w:sectPr>
          <w:pgSz w:w="11900" w:h="16838" w:orient="portrait"/>
          <w:cols w:equalWidth="0" w:num="1">
            <w:col w:w="11240"/>
          </w:cols>
          <w:pgMar w:left="320" w:top="121" w:right="339" w:bottom="51" w:gutter="0" w:footer="0" w:header="0"/>
        </w:sectPr>
      </w:pPr>
    </w:p>
    <w:bookmarkStart w:id="42" w:name="page43"/>
    <w:bookmarkEnd w:id="42"/>
    <w:p>
      <w:pPr>
        <w:ind w:right="400"/>
        <w:spacing w:after="0" w:line="312" w:lineRule="auto"/>
        <w:rPr>
          <w:sz w:val="20"/>
          <w:szCs w:val="20"/>
          <w:color w:val="auto"/>
        </w:rPr>
      </w:pPr>
      <w:r>
        <w:rPr>
          <w:rFonts w:ascii="Times New Roman" w:cs="Times New Roman" w:eastAsia="Times New Roman" w:hAnsi="Times New Roman"/>
          <w:sz w:val="17"/>
          <w:szCs w:val="17"/>
          <w:color w:val="auto"/>
        </w:rPr>
        <w:t>Our International segment generated income of $25.0 million in the second quarter of 2024 compared to $41.1 million in the second quarter of 2023, a decrease of $16.1 million, or 39.2%, driven primarily by volume declines and higher commodity costs, partially offset by favorable price realization.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2024 vs. First Six Months 2023</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$475.1 million in the first six months of 2024 compared to $490.3 million the same period of 2023, a decrease $15.2 million, or 3.1%. The decrease was due to volume declines of approximately 10% across the segment, partially offset by growth in Europe. The decrease was partially offset by favorable price realization of approximately 4% across the segment, and a favorable impact from foreign currency exchange rates of approximately 2%, primarily driven by Mexico.</w:t>
      </w:r>
    </w:p>
    <w:p>
      <w:pPr>
        <w:spacing w:after="0" w:line="11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International segment generated income of $67.8 million in the first six months of 2024 compared to $96.2 million in the first six months of 2023, a decrease of $28.4 million, or 29.5%, driven primarily by volume declines, increased commodity costs and unfavorable mix, partially offset by favorable price realization and lower supply chain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11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second quarter of 2024, unallocated corporate expense totaled $161.5 million, as compared to $186.6 million in the second quarter of 2023, a decrease of $25.1 million, or 13.5%. The decrease was primarily driven by lower acquisition and integration related costs and lower compensation costs, partially offset by higher investments in capabilities and technology.</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first six months of 2024, unallocated corporate expense totaled $334.4 million, as compared to $363.7 million in the first six months of 2023, a decrease of $29.3 million, or 8.1%. The decrease was primarily driven by lower acquisition and integration related costs, partially offset by incremental investments in capabilities and technology.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June 30, 2024, our cash and cash equivalents totaled $467.1 million, an increase of $65.1 million compared to the 2023 year-end balance. Additional detail regarding the net uses of cash are outlined in the following discussion. Additionally, at June 30, 2024, we had outstanding short- and long-term debt totaling $5.4 billion, of which $605.2 million was classified as the current portion of long-term debt. Of the $605.2 million, $300 million of 2.050% Notes are due upon maturity on November 15, 2024 and $300 million of 0.900% Notes are due upon maturity on June 1, 2025. We believe we can satisfy these debt obligations with cash generated from our operations, issuing new debt, and/or by borrowing on our unsecured credit facility.</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Approximately 80% of the balance of our cash and cash equivalents at June 30, 2024 was held by subsidiaries domiciled outside of the United States. A majority of this balance is distributable to the United States without material tax implications, such as withholding tax. We intend to continue to reinvest the remainder of the earnings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0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20" w:type="dxa"/>
            <w:vAlign w:val="bottom"/>
          </w:tcPr>
          <w:p>
            <w:pPr>
              <w:spacing w:after="0"/>
              <w:rPr>
                <w:sz w:val="18"/>
                <w:szCs w:val="18"/>
                <w:color w:val="auto"/>
              </w:rPr>
            </w:pP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0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rPr>
              <w:t>894.7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w:t>
            </w: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w w:val="98"/>
              </w:rPr>
              <w:t>(389.7)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Pr>
          <w:p>
            <w:pPr>
              <w:jc w:val="center"/>
              <w:ind w:left="893"/>
              <w:spacing w:after="0"/>
              <w:rPr>
                <w:sz w:val="20"/>
                <w:szCs w:val="20"/>
                <w:color w:val="auto"/>
              </w:rPr>
            </w:pPr>
            <w:r>
              <w:rPr>
                <w:rFonts w:ascii="Times New Roman" w:cs="Times New Roman" w:eastAsia="Times New Roman" w:hAnsi="Times New Roman"/>
                <w:sz w:val="18"/>
                <w:szCs w:val="18"/>
                <w:color w:val="auto"/>
                <w:w w:val="98"/>
              </w:rPr>
              <w:t>(452.9)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The Hershey Company | Q2 2024 Form 10-Q | Page 40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generated cash of $894.7 million from operating activities in the first six months of 2024, a decrease of $155.1 million compared to $1,049.8 million in the same period of 2023. This decrease in net cash provided by operating activities was mainly driven by the following factors:</w:t>
      </w:r>
    </w:p>
    <w:p>
      <w:pPr>
        <w:spacing w:after="0" w:line="108" w:lineRule="exact"/>
        <w:rPr>
          <w:sz w:val="20"/>
          <w:szCs w:val="20"/>
          <w:color w:val="auto"/>
        </w:rPr>
      </w:pPr>
    </w:p>
    <w:p>
      <w:pPr>
        <w:ind w:left="340" w:right="6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a write-down of equity investments, unrealized gains and losses on derivative contracts and other charges) resulted in $261.7 million of lower cash flow in 2024 relative to 2023.</w:t>
      </w:r>
    </w:p>
    <w:p>
      <w:pPr>
        <w:spacing w:after="0" w:line="121" w:lineRule="exact"/>
        <w:rPr>
          <w:rFonts w:ascii="Times New Roman" w:cs="Times New Roman" w:eastAsia="Times New Roman" w:hAnsi="Times New Roman"/>
          <w:sz w:val="18"/>
          <w:szCs w:val="18"/>
          <w:color w:val="auto"/>
        </w:rPr>
      </w:pPr>
    </w:p>
    <w:p>
      <w:pPr>
        <w:ind w:left="340" w:hanging="332"/>
        <w:spacing w:after="0" w:line="26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consumed cash of $141.2 million in 2024, compared to $265.7 million in 2023. This $124.5 million fluctuation was mainly driven by a decrease in cash used by accounts receivable due to a decrease in sales of everyday core U.S. confection brands and lower inventory levels, partially offset by increase accounts payable and accrued liabilities due to the timing of vendor and supplier payments.</w:t>
      </w:r>
    </w:p>
    <w:p>
      <w:pPr>
        <w:spacing w:after="0" w:line="1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income tax payments contributed to an increase in operating cash of $63.6 million in 2024, compared to a decrease of $3.7 million in 2023. This $67.3 million fluctuation was primarily due to the variance in actual tax expense for 2024 relative to the timing of quarterly estimated tax payments. We paid cash of $165.5 million for income taxes during 2024 compared to $229.1 million in the same period of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used cash of $389.7 million for investing activities in the first six months of 2024, a decrease of $126.3 million compared to $516.0 million in the same period of 2023. This decrease in net cash used in investing activities was mainly driven by the following factors:</w:t>
      </w:r>
    </w:p>
    <w:p>
      <w:pPr>
        <w:spacing w:after="0" w:line="106" w:lineRule="exact"/>
        <w:rPr>
          <w:sz w:val="20"/>
          <w:szCs w:val="20"/>
          <w:color w:val="auto"/>
        </w:rPr>
      </w:pPr>
    </w:p>
    <w:p>
      <w:pPr>
        <w:ind w:left="340" w:right="20" w:hanging="332"/>
        <w:spacing w:after="0" w:line="256" w:lineRule="auto"/>
        <w:tabs>
          <w:tab w:leader="none" w:pos="3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primarily to support our ERP system implementation, capacity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cost savings, were $343.5 million in the first six months of 2024 compared to $330.5 million in the same period of 2023. Expenditures increased due to progress on capacity expansion projects and our ERP system implementation. We expect 2024 capital expenditures, including capitalized software, to approximate $600 million to $625 million, a slight decrease from our previously estimated range of $600 million to $650 million. The decrease in our 2024 capital expenditures is largely driven by the wind down of our key strategic initiatives, including completion of the upgrade of a new ERP system across the enterprise in 2024. We intend to use our existing cash and internally generated funds to meet our 2024 capital requirements.</w:t>
      </w:r>
    </w:p>
    <w:p>
      <w:pPr>
        <w:spacing w:after="0" w:line="128" w:lineRule="exact"/>
        <w:rPr>
          <w:rFonts w:ascii="Times New Roman" w:cs="Times New Roman" w:eastAsia="Times New Roman" w:hAnsi="Times New Roman"/>
          <w:sz w:val="18"/>
          <w:szCs w:val="18"/>
          <w:i w:val="1"/>
          <w:iCs w:val="1"/>
          <w:color w:val="auto"/>
        </w:rPr>
      </w:pPr>
    </w:p>
    <w:p>
      <w:pPr>
        <w:ind w:left="340" w:right="320" w:hanging="332"/>
        <w:spacing w:after="0" w:line="267"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renewable energy tax credits. We invested approximately $46.1 million in the first six months of 2024, compared to $19.1 million in the same period of 2023.</w:t>
      </w:r>
    </w:p>
    <w:p>
      <w:pPr>
        <w:spacing w:after="0" w:line="119" w:lineRule="exact"/>
        <w:rPr>
          <w:rFonts w:ascii="Times New Roman" w:cs="Times New Roman" w:eastAsia="Times New Roman" w:hAnsi="Times New Roman"/>
          <w:sz w:val="18"/>
          <w:szCs w:val="18"/>
          <w:color w:val="auto"/>
        </w:rPr>
      </w:pPr>
    </w:p>
    <w:p>
      <w:pPr>
        <w:ind w:left="340" w:right="180" w:hanging="332"/>
        <w:spacing w:after="0" w:line="284"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Acquisition</w:t>
      </w:r>
      <w:r>
        <w:rPr>
          <w:rFonts w:ascii="Times New Roman" w:cs="Times New Roman" w:eastAsia="Times New Roman" w:hAnsi="Times New Roman"/>
          <w:sz w:val="18"/>
          <w:szCs w:val="18"/>
          <w:color w:val="auto"/>
        </w:rPr>
        <w:t>. In 2024, we had no acquisition activity. In May 2023, we acquired Weaver for a cash purchase price of $165.8 million.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details regarding our business acquisition activity is provided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Unaudited Consolidated Financial Statements.</w:t>
      </w:r>
    </w:p>
    <w:p>
      <w:pPr>
        <w:spacing w:after="0" w:line="10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the first six months of 2024 and 2023, our other investing activities were minimal.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used cash of $452.9 million for financing activities in the first six months of 2024, a decrease of $53.8 million compared to $506.7 million in the same period of 2023. This decrease in net cash used in financing activities was mainly driven by the following factors:</w:t>
      </w:r>
    </w:p>
    <w:p>
      <w:pPr>
        <w:spacing w:after="0" w:line="106" w:lineRule="exact"/>
        <w:rPr>
          <w:sz w:val="20"/>
          <w:szCs w:val="20"/>
          <w:color w:val="auto"/>
        </w:rPr>
      </w:pPr>
    </w:p>
    <w:p>
      <w:pPr>
        <w:ind w:left="340" w:right="160" w:hanging="332"/>
        <w:spacing w:after="0" w:line="290" w:lineRule="auto"/>
        <w:tabs>
          <w:tab w:leader="none" w:pos="33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Short-term borrowings, net. </w:t>
      </w:r>
      <w:r>
        <w:rPr>
          <w:rFonts w:ascii="Times New Roman" w:cs="Times New Roman" w:eastAsia="Times New Roman" w:hAnsi="Times New Roman"/>
          <w:sz w:val="17"/>
          <w:szCs w:val="17"/>
          <w:color w:val="auto"/>
        </w:rPr>
        <w:t>In addition to utilizing cash on hand, we use short-term borrowings (commercial paper and bank borrowings) to fund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seasonal working capital requirements and ongoing business needs. During the first six months of 2024, we generated cash of $610.0 million predominately through the issuance of short-term commercial paper, partially offset by a decrease in short-term foreign bank borrowings.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248920</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4" w:name="page45"/>
    <w:bookmarkEnd w:id="44"/>
    <w:p>
      <w:pPr>
        <w:ind w:left="332" w:right="520"/>
        <w:spacing w:after="0" w:line="282" w:lineRule="auto"/>
        <w:rPr>
          <w:sz w:val="20"/>
          <w:szCs w:val="20"/>
          <w:color w:val="auto"/>
        </w:rPr>
      </w:pPr>
      <w:r>
        <w:rPr>
          <w:rFonts w:ascii="Times New Roman" w:cs="Times New Roman" w:eastAsia="Times New Roman" w:hAnsi="Times New Roman"/>
          <w:sz w:val="18"/>
          <w:szCs w:val="18"/>
          <w:color w:val="auto"/>
        </w:rPr>
        <w:t>first six months of 2023, we generated cash of $166.0 million predominately through the issuance of short-term commercial paper, as well as an increase in short-term foreign bank borrowings.</w:t>
      </w:r>
    </w:p>
    <w:p>
      <w:pPr>
        <w:spacing w:after="0" w:line="106" w:lineRule="exact"/>
        <w:rPr>
          <w:sz w:val="20"/>
          <w:szCs w:val="20"/>
          <w:color w:val="auto"/>
        </w:rPr>
      </w:pPr>
    </w:p>
    <w:p>
      <w:pPr>
        <w:ind w:left="332" w:hanging="332"/>
        <w:spacing w:after="0" w:line="261"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During the first six months of 2024, we had no long-term debt borrowings or repayments activity.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six months of 2023, we issued $350 million of 4.250% Notes due in May 2028 and $400 million of 4.500% Notes due in May 2033 (the “2023 Notes”). Proceeds from the issuance of the 2023 Notes, net of discounts and issuance costs, totaled $744,092. Additionally, in May 2023 we repaid $250 million of 2.625% Notes and $500 million of 3.375% Notes due upon their maturity</w:t>
      </w:r>
    </w:p>
    <w:p>
      <w:pPr>
        <w:spacing w:after="0" w:line="125" w:lineRule="exact"/>
        <w:rPr>
          <w:rFonts w:ascii="Times New Roman" w:cs="Times New Roman" w:eastAsia="Times New Roman" w:hAnsi="Times New Roman"/>
          <w:sz w:val="18"/>
          <w:szCs w:val="18"/>
          <w:color w:val="auto"/>
        </w:rPr>
      </w:pPr>
    </w:p>
    <w:p>
      <w:pPr>
        <w:ind w:left="332" w:right="60" w:hanging="332"/>
        <w:spacing w:after="0" w:line="267"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$543.9 million during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 an increase of $130.4 million compared to $413.5 million in the same period of 2023. Details regarding our 2024 cash dividends paid to stockholders are as follows:</w:t>
      </w:r>
    </w:p>
    <w:p>
      <w:pPr>
        <w:spacing w:after="0" w:line="164" w:lineRule="exact"/>
        <w:rPr>
          <w:sz w:val="20"/>
          <w:szCs w:val="20"/>
          <w:color w:val="auto"/>
        </w:rPr>
      </w:pPr>
    </w:p>
    <w:tbl>
      <w:tblPr>
        <w:tblLayout w:type="fixed"/>
        <w:tblInd w:w="332"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00" w:type="dxa"/>
            <w:vAlign w:val="bottom"/>
            <w:tcBorders>
              <w:bottom w:val="single" w:sz="8" w:color="auto"/>
            </w:tcBorders>
          </w:tcPr>
          <w:p>
            <w:pPr>
              <w:spacing w:after="0"/>
              <w:rPr>
                <w:sz w:val="18"/>
                <w:szCs w:val="18"/>
                <w:color w:val="auto"/>
              </w:rPr>
            </w:pPr>
          </w:p>
        </w:tc>
      </w:tr>
      <w:tr>
        <w:trPr>
          <w:trHeight w:val="226"/>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3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60" w:type="dxa"/>
            <w:vAlign w:val="bottom"/>
          </w:tcPr>
          <w:p>
            <w:pPr>
              <w:spacing w:after="0"/>
              <w:rPr>
                <w:sz w:val="19"/>
                <w:szCs w:val="19"/>
                <w:color w:val="auto"/>
              </w:rPr>
            </w:pP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 Common stock</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 per share – Class B common stock</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r>
    </w:tbl>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4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February 7,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 2024</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w:t>
            </w:r>
          </w:p>
        </w:tc>
        <w:tc>
          <w:tcPr>
            <w:tcW w:w="9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17, 2024</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w:t>
            </w: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14, 2024</w:t>
            </w:r>
          </w:p>
        </w:tc>
      </w:tr>
    </w:tbl>
    <w:p>
      <w:pPr>
        <w:spacing w:after="0" w:line="231" w:lineRule="exact"/>
        <w:rPr>
          <w:sz w:val="20"/>
          <w:szCs w:val="20"/>
          <w:color w:val="auto"/>
        </w:rPr>
      </w:pPr>
    </w:p>
    <w:p>
      <w:pPr>
        <w:ind w:left="332" w:right="140" w:hanging="332"/>
        <w:spacing w:after="0" w:line="261" w:lineRule="auto"/>
        <w:tabs>
          <w:tab w:leader="none" w:pos="327"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10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8"/>
                <w:szCs w:val="18"/>
                <w:color w:val="auto"/>
              </w:rPr>
            </w:pP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25"/>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Milton Hershey School Trust repurchase (1)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 (2)</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for total share repurchases (excluding excise tax)</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 under pre-approved share repurchase programs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5" w:lineRule="exact"/>
        <w:rPr>
          <w:sz w:val="20"/>
          <w:szCs w:val="20"/>
          <w:color w:val="auto"/>
        </w:rPr>
      </w:pPr>
    </w:p>
    <w:p>
      <w:pPr>
        <w:ind w:left="572" w:right="100" w:hanging="5"/>
        <w:spacing w:after="0" w:line="266" w:lineRule="auto"/>
        <w:tabs>
          <w:tab w:leader="none" w:pos="8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Milton Hershey School Trust at a price equal to $239.91 per share, for a total purchase price of $239.9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6926580</wp:posOffset>
            </wp:positionH>
            <wp:positionV relativeFrom="paragraph">
              <wp:posOffset>269240</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
        <w:spacing w:after="0"/>
        <w:tabs>
          <w:tab w:leader="none" w:pos="3812"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333375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45" w:name="page46"/>
    <w:bookmarkEnd w:id="45"/>
    <w:p>
      <w:pPr>
        <w:ind w:left="580" w:right="40" w:hanging="5"/>
        <w:spacing w:after="0" w:line="252" w:lineRule="auto"/>
        <w:tabs>
          <w:tab w:leader="none" w:pos="83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35" w:lineRule="exact"/>
        <w:rPr>
          <w:rFonts w:ascii="Times New Roman" w:cs="Times New Roman" w:eastAsia="Times New Roman" w:hAnsi="Times New Roman"/>
          <w:sz w:val="17"/>
          <w:szCs w:val="17"/>
          <w:color w:val="auto"/>
        </w:rPr>
      </w:pPr>
    </w:p>
    <w:p>
      <w:pPr>
        <w:ind w:left="340" w:right="260" w:hanging="332"/>
        <w:spacing w:after="0" w:line="261"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exercised stock options and employee tax withholding. </w:t>
      </w:r>
      <w:r>
        <w:rPr>
          <w:rFonts w:ascii="Times New Roman" w:cs="Times New Roman" w:eastAsia="Times New Roman" w:hAnsi="Times New Roman"/>
          <w:sz w:val="18"/>
          <w:szCs w:val="18"/>
          <w:color w:val="auto"/>
        </w:rPr>
        <w:t>During the first six months of 2024, we received $8.2 million from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exercises of stock options and paid $30.0 million of employee taxes withheld from share-based awards. During the first six months of 2023, we received $22.0 million from employee exercises of stock options and paid $33.0 million of employee taxes withheld from share-based awards. Variances are driven primarily by the number of shares exercised and the share price at the date of grant.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Unaudited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critical accounting estimates, refer to Part II, Item 7, “Management’s Discussion and Analysis of Financial Condition and Results of Operations” of our 2023 Annual Report on Form 10-K. There have been no material changes to the Company’s critical accounting estimates since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89" w:lineRule="exact"/>
        <w:rPr>
          <w:sz w:val="20"/>
          <w:szCs w:val="20"/>
          <w:color w:val="auto"/>
        </w:rPr>
      </w:pPr>
    </w:p>
    <w:p>
      <w:pPr>
        <w:ind w:left="660" w:right="2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human capital we need to drive our growth strategies;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46" w:name="page47"/>
    <w:bookmarkEnd w:id="46"/>
    <w:p>
      <w:pPr>
        <w:spacing w:after="0" w:line="72" w:lineRule="exact"/>
        <w:rPr>
          <w:sz w:val="20"/>
          <w:szCs w:val="20"/>
          <w:color w:val="auto"/>
        </w:rPr>
      </w:pPr>
    </w:p>
    <w:p>
      <w:pPr>
        <w:ind w:left="660" w:right="160" w:hanging="328"/>
        <w:spacing w:after="0" w:line="271"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and our ability to successfully hedge against volatility in raw material pricing, could affect future financial results;</w:t>
      </w:r>
    </w:p>
    <w:p>
      <w:pPr>
        <w:spacing w:after="0" w:line="195" w:lineRule="exact"/>
        <w:rPr>
          <w:rFonts w:ascii="Times New Roman" w:cs="Times New Roman" w:eastAsia="Times New Roman" w:hAnsi="Times New Roman"/>
          <w:sz w:val="20"/>
          <w:szCs w:val="20"/>
          <w:color w:val="auto"/>
        </w:rPr>
      </w:pPr>
    </w:p>
    <w:p>
      <w:pPr>
        <w:ind w:left="660" w:right="4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25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could increase our costs and liabilities or impact demand for our products;</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including impacts on our business arising from the ongoing conflict between Russia and Ukraine, could negatively impact our financial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w:t>
      </w:r>
    </w:p>
    <w:p>
      <w:pPr>
        <w:spacing w:after="0" w:line="252"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with the design, implementation or usage of our new enterprise resource planning system, including the ability to support post-implementation efforts and maintain enhancements, new features or modifications, could adversely impact our business and operations; and</w:t>
      </w:r>
    </w:p>
    <w:p>
      <w:pPr>
        <w:spacing w:after="0" w:line="166"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2023 Annual Report on Form 10-K and our Quarterly Report on Form 10-Q for the quarter ending March 31, 2024, and this Quarterly Report on Form 10-Q, including Part II, Item 1A, ”Risk Factors.”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85" w:lineRule="exact"/>
        <w:rPr>
          <w:sz w:val="20"/>
          <w:szCs w:val="20"/>
          <w:color w:val="auto"/>
        </w:rPr>
      </w:pPr>
    </w:p>
    <w:p>
      <w:pPr>
        <w:ind w:right="4180"/>
        <w:spacing w:after="0" w:line="440"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total amount of short-term debt, net of cash, amounted to net debt of $854.2 million and net debt of $317.9 million, at June 30, 2024 and December 31, 2023, respectively. A hypothetical 100 basis point increase in interest rates applied to this variable-rate short-term debt as of June 30, 2024 would have changed interest expense by approximately $4.1 million for the first six months of 2024 and $3.1 million for 2023.</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June 30, 2024 and December 31, 2023 by approximately $169 million and $203 million, respectively. However, since we currently have no plans to repurchase our outstanding fixed-rate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273685</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ind w:right="200"/>
        <w:spacing w:after="0" w:line="438" w:lineRule="auto"/>
        <w:rPr>
          <w:sz w:val="20"/>
          <w:szCs w:val="20"/>
          <w:color w:val="auto"/>
        </w:rPr>
      </w:pPr>
      <w:r>
        <w:rPr>
          <w:rFonts w:ascii="Times New Roman" w:cs="Times New Roman" w:eastAsia="Times New Roman" w:hAnsi="Times New Roman"/>
          <w:sz w:val="18"/>
          <w:szCs w:val="18"/>
          <w:color w:val="auto"/>
        </w:rPr>
        <w:t xml:space="preserve">before their maturities, the impact of market interest rate fluctuations on our long-term debt does not affect our results of operations or financial position. </w:t>
      </w:r>
      <w:r>
        <w:rPr>
          <w:rFonts w:ascii="Times New Roman" w:cs="Times New Roman" w:eastAsia="Times New Roman" w:hAnsi="Times New Roman"/>
          <w:sz w:val="18"/>
          <w:szCs w:val="18"/>
          <w:b w:val="1"/>
          <w:bCs w:val="1"/>
          <w:color w:val="auto"/>
        </w:rPr>
        <w:t>Foreign Currency Exchange Rate Risk</w:t>
      </w:r>
    </w:p>
    <w:p>
      <w:pPr>
        <w:spacing w:after="0" w:line="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spacing w:after="0" w:line="12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$11.6 million as of June 30, 2024 and $20.2 million as of December 31, 2023, generally offset by a reduction in foreign exchange associated with our transactional activities.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Derivative Contracts</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2023 Annual Report on Form 10-K are described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2024, the average cocoa futures contract price was $3.34 per pound, with a trading range of $1.84 to $5.20 per pound, based on the Intercontinental Exchange futures contract. This average cocoa futures contract price represents an increase of approximately 124% compared to the 2023 annual average of $1.49 per pound. The production forecast for the 2024 – 2025 season is improving in Ghana and Ivory Coast, due to a combination of favorable weather conditions and decreased demand for cocoa; however, the price outlook for cocoa remains uncertain due to significant liquidity and volatility issues, which may have an impact on our financial condition and results of operations.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 cocoa liquor, cocoa butter and cocoa powder. We generally hedge commodity price risks for 3- to 24-month periods. As a result, the average market prices are not necessarily indicative of our average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$92.3 million as of June 30, 2024 and $94.9 million as of December 31, 2023. At the end of the second quarter of 2024, the potential change in fair value of commodity derivative instruments, assuming a 10% decrease in the underlying commodity price, would have increased our net unrealized losses by $1.4 million, generally offset by a reduction in the cost of the underlying commodity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risks, see Item 7A under Part II of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8" w:name="page49"/>
    <w:bookmarkEnd w:id="48"/>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2024. Based on this evaluation, our Chief Executive Officer and Chief Financial Officer concluded that our disclosure controls and procedures were effective as of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second quarter of 2024, we completed the process of our multi-year implementation of a new global enterprise resource planning (“ERP”) system, which replaced our existing operating and financial systems. The ERP system is designed to accurately maintain the Company’s financial records, enhance operational functionality, and provide timely information to the Company’s management team related to the operation of the business. During the third quarter of 2022, we completed the implementation of one operating segment that is included in our International segment. In July 2023, we completed the transition to our new consolidated financial reporting book of record. During October 2023, we completed the implementation of our new ERP system in the North America Salty Snacks segment. We completed the implementation of our new ERP system in the North America Confectionery segment and select operating segments included in our International segment in April 2024. The implementation of the new ERP system results in material changes to our internal controls over financial reporting. The Company has updated the internal controls as appropriate and will continue to monitor the impact of the implementation on our financial reporting business processes. Other than the ERP system implementation, there have been no changes to the Company’s internal control over financial reporting during the quarter ended June 30, 2024,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382270</wp:posOffset>
            </wp:positionV>
            <wp:extent cx="1968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evaluating an investment in our Common Stock, investors should consider carefully, among other things, the risk factors previously disclosed in Part I, Item 1A, “Risk Factors,” of our 2023 Annual Report on Form 10-K (the "2023 Form 10-K"), Part II, Item 1A, “Risk Factors,” of our Quarterly Report on Form 10-Q for the quarterly period ended March 31, 2024 (the “Q1 2024 Quarterly Report”), and the information contained in this Quarterly Report on Form 10-Q and our other reports and registration statements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purchases of our Common Stock made by or on behalf of Hershey, or any “affiliated purchaser” (as defined in Rule 10b-18(a)(3) under the Securities Exchange Act of 1934, as amended, of Hershey, during the three months ended June 30, 2024.</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582930</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0" w:name="page51"/>
    <w:bookmarkEnd w:id="5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table describes the contracts, instructions or written plans for the purchase or sale of securities adopted by our directors or officers (as defined in Rule 16a-1(f) under the Exchange Act) during the three months ended June 30, 2024, that are intended to satisfy the affirmative defense conditions of Rule 10b5-1(c). No other Rule 10b5-1 trading arrangements or “non-Rule 10b5–1 trading arrangements” (as defined by S-K Item 408(c)) were entered into or terminated by our directors or officers during such period.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Adoption of</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Duration of 10b5-1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5"/>
        </w:trPr>
        <w:tc>
          <w:tcPr>
            <w:tcW w:w="542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4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Sold or</w:t>
            </w:r>
          </w:p>
        </w:tc>
        <w:tc>
          <w:tcPr>
            <w:tcW w:w="0" w:type="dxa"/>
            <w:vAlign w:val="bottom"/>
          </w:tcPr>
          <w:p>
            <w:pPr>
              <w:spacing w:after="0"/>
              <w:rPr>
                <w:sz w:val="1"/>
                <w:szCs w:val="1"/>
                <w:color w:val="auto"/>
              </w:rPr>
            </w:pPr>
          </w:p>
        </w:tc>
      </w:tr>
      <w:tr>
        <w:trPr>
          <w:trHeight w:val="243"/>
        </w:trPr>
        <w:tc>
          <w:tcPr>
            <w:tcW w:w="5420" w:type="dxa"/>
            <w:vAlign w:val="bottom"/>
            <w:gridSpan w:val="2"/>
            <w:vMerge w:val="continue"/>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10b5-1 Plan</w:t>
            </w:r>
          </w:p>
        </w:tc>
        <w:tc>
          <w:tcPr>
            <w:tcW w:w="17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0"/>
              </w:rPr>
              <w:t>Plan</w:t>
            </w:r>
            <w:r>
              <w:rPr>
                <w:rFonts w:ascii="Times New Roman" w:cs="Times New Roman" w:eastAsia="Times New Roman" w:hAnsi="Times New Roman"/>
                <w:sz w:val="23"/>
                <w:szCs w:val="23"/>
                <w:b w:val="1"/>
                <w:bCs w:val="1"/>
                <w:color w:val="auto"/>
                <w:w w:val="90"/>
                <w:vertAlign w:val="superscript"/>
              </w:rPr>
              <w:t>(1)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169"/>
        </w:trPr>
        <w:tc>
          <w:tcPr>
            <w:tcW w:w="5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Michele G. Buck</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5/23/2024</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04/30/2025</w:t>
            </w: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Exercise and sell 66,710 stock</w:t>
            </w:r>
          </w:p>
        </w:tc>
        <w:tc>
          <w:tcPr>
            <w:tcW w:w="0" w:type="dxa"/>
            <w:vAlign w:val="bottom"/>
          </w:tcPr>
          <w:p>
            <w:pPr>
              <w:spacing w:after="0"/>
              <w:rPr>
                <w:sz w:val="1"/>
                <w:szCs w:val="1"/>
                <w:color w:val="auto"/>
              </w:rPr>
            </w:pPr>
          </w:p>
        </w:tc>
      </w:tr>
      <w:tr>
        <w:trPr>
          <w:trHeight w:val="148"/>
        </w:trPr>
        <w:tc>
          <w:tcPr>
            <w:tcW w:w="5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0" w:type="dxa"/>
            <w:vAlign w:val="bottom"/>
          </w:tcPr>
          <w:p>
            <w:pPr>
              <w:spacing w:after="0"/>
              <w:rPr>
                <w:sz w:val="1"/>
                <w:szCs w:val="1"/>
                <w:color w:val="auto"/>
              </w:rPr>
            </w:pPr>
          </w:p>
        </w:tc>
      </w:tr>
      <w:tr>
        <w:trPr>
          <w:trHeight w:val="94"/>
        </w:trPr>
        <w:tc>
          <w:tcPr>
            <w:tcW w:w="5420" w:type="dxa"/>
            <w:vAlign w:val="bottom"/>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Jennifer L. McCalman</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5/10/2024</w:t>
            </w:r>
          </w:p>
        </w:tc>
        <w:tc>
          <w:tcPr>
            <w:tcW w:w="10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5/13/2025</w:t>
            </w:r>
          </w:p>
        </w:tc>
        <w:tc>
          <w:tcPr>
            <w:tcW w:w="10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Sell 1,094 shares</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VP, Chief Accounting Officer</w:t>
            </w: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420" w:type="dxa"/>
            <w:vAlign w:val="bottom"/>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Charles R. Raup</w:t>
            </w: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5/29/2024</w:t>
            </w:r>
          </w:p>
        </w:tc>
        <w:tc>
          <w:tcPr>
            <w:tcW w:w="1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8/29/2025</w:t>
            </w:r>
          </w:p>
        </w:tc>
        <w:tc>
          <w:tcPr>
            <w:tcW w:w="100" w:type="dxa"/>
            <w:vAlign w:val="bottom"/>
            <w:shd w:val="clear" w:color="auto" w:fill="CCEEFF"/>
          </w:tcPr>
          <w:p>
            <w:pPr>
              <w:spacing w:after="0"/>
              <w:rPr>
                <w:sz w:val="15"/>
                <w:szCs w:val="15"/>
                <w:color w:val="auto"/>
              </w:rPr>
            </w:pPr>
          </w:p>
        </w:tc>
        <w:tc>
          <w:tcPr>
            <w:tcW w:w="2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 4,000 shares</w:t>
            </w:r>
          </w:p>
        </w:tc>
        <w:tc>
          <w:tcPr>
            <w:tcW w:w="0" w:type="dxa"/>
            <w:vAlign w:val="bottom"/>
          </w:tcPr>
          <w:p>
            <w:pPr>
              <w:spacing w:after="0"/>
              <w:rPr>
                <w:sz w:val="1"/>
                <w:szCs w:val="1"/>
                <w:color w:val="auto"/>
              </w:rPr>
            </w:pPr>
          </w:p>
        </w:tc>
      </w:tr>
      <w:tr>
        <w:trPr>
          <w:trHeight w:val="149"/>
        </w:trPr>
        <w:tc>
          <w:tcPr>
            <w:tcW w:w="5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U.S. Confection</w:t>
            </w: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420" w:type="dxa"/>
            <w:vAlign w:val="bottom"/>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Kristin J. Riggs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5/31/2024</w:t>
            </w:r>
          </w:p>
        </w:tc>
        <w:tc>
          <w:tcPr>
            <w:tcW w:w="10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5/30/2025</w:t>
            </w:r>
          </w:p>
        </w:tc>
        <w:tc>
          <w:tcPr>
            <w:tcW w:w="10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Sell 9,000 shares</w:t>
            </w:r>
          </w:p>
        </w:tc>
        <w:tc>
          <w:tcPr>
            <w:tcW w:w="0" w:type="dxa"/>
            <w:vAlign w:val="bottom"/>
          </w:tcPr>
          <w:p>
            <w:pPr>
              <w:spacing w:after="0"/>
              <w:rPr>
                <w:sz w:val="1"/>
                <w:szCs w:val="1"/>
                <w:color w:val="auto"/>
              </w:rPr>
            </w:pPr>
          </w:p>
        </w:tc>
      </w:tr>
      <w:tr>
        <w:trPr>
          <w:trHeight w:val="149"/>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President, Salty Snacks</w:t>
            </w: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420" w:type="dxa"/>
            <w:vAlign w:val="bottom"/>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Christopher M. Scalia</w:t>
            </w: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5/24/2024</w:t>
            </w:r>
          </w:p>
        </w:tc>
        <w:tc>
          <w:tcPr>
            <w:tcW w:w="1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11/29/2024</w:t>
            </w:r>
          </w:p>
        </w:tc>
        <w:tc>
          <w:tcPr>
            <w:tcW w:w="100" w:type="dxa"/>
            <w:vAlign w:val="bottom"/>
            <w:shd w:val="clear" w:color="auto" w:fill="CCEEFF"/>
          </w:tcPr>
          <w:p>
            <w:pPr>
              <w:spacing w:after="0"/>
              <w:rPr>
                <w:sz w:val="15"/>
                <w:szCs w:val="15"/>
                <w:color w:val="auto"/>
              </w:rPr>
            </w:pPr>
          </w:p>
        </w:tc>
        <w:tc>
          <w:tcPr>
            <w:tcW w:w="2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 5,000 shares</w:t>
            </w:r>
          </w:p>
        </w:tc>
        <w:tc>
          <w:tcPr>
            <w:tcW w:w="0" w:type="dxa"/>
            <w:vAlign w:val="bottom"/>
          </w:tcPr>
          <w:p>
            <w:pPr>
              <w:spacing w:after="0"/>
              <w:rPr>
                <w:sz w:val="1"/>
                <w:szCs w:val="1"/>
                <w:color w:val="auto"/>
              </w:rPr>
            </w:pPr>
          </w:p>
        </w:tc>
      </w:tr>
      <w:tr>
        <w:trPr>
          <w:trHeight w:val="175"/>
        </w:trPr>
        <w:tc>
          <w:tcPr>
            <w:tcW w:w="5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Chief Human Resources Officer and Chief</w:t>
            </w:r>
          </w:p>
        </w:tc>
        <w:tc>
          <w:tcPr>
            <w:tcW w:w="1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Officer</w:t>
            </w: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James Turoff</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5/29/2024</w:t>
            </w:r>
          </w:p>
        </w:tc>
        <w:tc>
          <w:tcPr>
            <w:tcW w:w="10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8/30/2024</w:t>
            </w:r>
          </w:p>
        </w:tc>
        <w:tc>
          <w:tcPr>
            <w:tcW w:w="10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Gift 543 shares</w:t>
            </w:r>
          </w:p>
        </w:tc>
        <w:tc>
          <w:tcPr>
            <w:tcW w:w="0" w:type="dxa"/>
            <w:vAlign w:val="bottom"/>
          </w:tcPr>
          <w:p>
            <w:pPr>
              <w:spacing w:after="0"/>
              <w:rPr>
                <w:sz w:val="1"/>
                <w:szCs w:val="1"/>
                <w:color w:val="auto"/>
              </w:rPr>
            </w:pPr>
          </w:p>
        </w:tc>
      </w:tr>
      <w:tr>
        <w:trPr>
          <w:trHeight w:val="149"/>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420" w:type="dxa"/>
            <w:vAlign w:val="bottom"/>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Steven E. Voskuil</w:t>
            </w: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5/17/2024</w:t>
            </w:r>
          </w:p>
        </w:tc>
        <w:tc>
          <w:tcPr>
            <w:tcW w:w="1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100" w:type="dxa"/>
            <w:vAlign w:val="bottom"/>
            <w:shd w:val="clear" w:color="auto" w:fill="CCEEFF"/>
          </w:tcPr>
          <w:p>
            <w:pPr>
              <w:spacing w:after="0"/>
              <w:rPr>
                <w:sz w:val="15"/>
                <w:szCs w:val="15"/>
                <w:color w:val="auto"/>
              </w:rPr>
            </w:pPr>
          </w:p>
        </w:tc>
        <w:tc>
          <w:tcPr>
            <w:tcW w:w="2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Sell 12,000 shares</w:t>
            </w:r>
          </w:p>
        </w:tc>
        <w:tc>
          <w:tcPr>
            <w:tcW w:w="0" w:type="dxa"/>
            <w:vAlign w:val="bottom"/>
          </w:tcPr>
          <w:p>
            <w:pPr>
              <w:spacing w:after="0"/>
              <w:rPr>
                <w:sz w:val="1"/>
                <w:szCs w:val="1"/>
                <w:color w:val="auto"/>
              </w:rPr>
            </w:pPr>
          </w:p>
        </w:tc>
      </w:tr>
      <w:tr>
        <w:trPr>
          <w:trHeight w:val="149"/>
        </w:trPr>
        <w:tc>
          <w:tcPr>
            <w:tcW w:w="5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420" w:type="dxa"/>
            <w:vAlign w:val="bottom"/>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80" w:firstLine="8"/>
        <w:spacing w:after="0" w:line="28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457200</wp:posOffset>
            </wp:positionV>
            <wp:extent cx="196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Times New Roman" w:cs="Times New Roman" w:eastAsia="Times New Roman" w:hAnsi="Times New Roman"/>
                <w:sz w:val="16"/>
                <w:szCs w:val="16"/>
                <w:color w:val="0000FF"/>
                <w:w w:val="99"/>
              </w:rPr>
            </w:pPr>
            <w:hyperlink r:id="rId13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9"/>
            <w:shd w:val="clear" w:color="auto" w:fill="CCEEFF"/>
          </w:tcPr>
          <w:p>
            <w:pPr>
              <w:spacing w:after="0" w:line="17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The Company’s Restated Certificate of Incorporation, as amended, is incorporated by reference from Exhibit 3 to the Company’s Quarterly Report on</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Form 10-Q for the quarter ended April 3, 2005.</w:t>
              </w:r>
            </w:hyperlink>
          </w:p>
        </w:tc>
        <w:tc>
          <w:tcPr>
            <w:tcW w:w="22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gridSpan w:val="3"/>
          </w:tcPr>
          <w:p>
            <w:pPr>
              <w:jc w:val="center"/>
              <w:ind w:left="419"/>
              <w:spacing w:after="0" w:line="175" w:lineRule="exact"/>
              <w:rPr>
                <w:rFonts w:ascii="Times New Roman" w:cs="Times New Roman" w:eastAsia="Times New Roman" w:hAnsi="Times New Roman"/>
                <w:sz w:val="16"/>
                <w:szCs w:val="16"/>
                <w:color w:val="0000FF"/>
                <w:w w:val="99"/>
              </w:rPr>
            </w:pPr>
            <w:hyperlink r:id="rId13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36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and Steven E. Voskuil, Chief Financial Officer, pursuant to Section 906 of the Sarbanes-</w:t>
            </w:r>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r>
              <w:rPr>
                <w:rFonts w:ascii="Times New Roman" w:cs="Times New Roman" w:eastAsia="Times New Roman" w:hAnsi="Times New Roman"/>
                <w:sz w:val="16"/>
                <w:szCs w:val="16"/>
                <w:color w:val="000000"/>
              </w:rPr>
              <w:t>**</w:t>
            </w:r>
          </w:p>
        </w:tc>
        <w:tc>
          <w:tcPr>
            <w:tcW w:w="360" w:type="dxa"/>
            <w:vAlign w:val="bottom"/>
            <w:tcBorders>
              <w:top w:val="single" w:sz="8" w:color="CCEEFF"/>
            </w:tcBorders>
            <w:gridSpan w:val="3"/>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00" w:type="dxa"/>
            <w:vAlign w:val="bottom"/>
            <w:gridSpan w:val="6"/>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4"/>
                <w:szCs w:val="14"/>
                <w:color w:val="auto"/>
              </w:rPr>
            </w:pPr>
          </w:p>
        </w:tc>
        <w:tc>
          <w:tcPr>
            <w:tcW w:w="992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3"/>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32"/>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20"/>
                <w:szCs w:val="20"/>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20" w:type="dxa"/>
            <w:vAlign w:val="bottom"/>
          </w:tcPr>
          <w:p>
            <w:pPr>
              <w:spacing w:after="0"/>
              <w:rPr>
                <w:sz w:val="19"/>
                <w:szCs w:val="19"/>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bl>
    <w:p>
      <w:pPr>
        <w:ind w:left="1300" w:right="500" w:hanging="826"/>
        <w:spacing w:after="0" w:line="245" w:lineRule="auto"/>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quarterly period ended June 30, 2024, formatted in Inline XBRL and contained in Exhibit 101.</w:t>
      </w:r>
    </w:p>
    <w:p>
      <w:pPr>
        <w:spacing w:after="0" w:line="272" w:lineRule="exact"/>
        <w:rPr>
          <w:sz w:val="20"/>
          <w:szCs w:val="20"/>
          <w:color w:val="auto"/>
        </w:rPr>
      </w:pPr>
    </w:p>
    <w:p>
      <w:pPr>
        <w:ind w:left="1300" w:hanging="745"/>
        <w:spacing w:after="0"/>
        <w:tabs>
          <w:tab w:leader="none" w:pos="13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1169035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38"/>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Steven E. Voskuil</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Jennifer L. McCalman</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2024 Form 10-Q | Page 50</w:t>
      </w:r>
    </w:p>
    <w:p>
      <w:pPr>
        <w:sectPr>
          <w:pgSz w:w="11900" w:h="16838" w:orient="portrait"/>
          <w:cols w:equalWidth="0" w:num="1">
            <w:col w:w="11220"/>
          </w:cols>
          <w:pgMar w:left="320" w:top="1251"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3463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487680</wp:posOffset>
            </wp:positionV>
            <wp:extent cx="196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Q2 2024 Form 10-Q | Exhibit 31.1</w:t>
      </w:r>
    </w:p>
    <w:p>
      <w:pPr>
        <w:sectPr>
          <w:pgSz w:w="11900" w:h="16838" w:orient="portrait"/>
          <w:cols w:equalWidth="0" w:num="1">
            <w:col w:w="11200"/>
          </w:cols>
          <w:pgMar w:left="36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92075</wp:posOffset>
            </wp:positionV>
            <wp:extent cx="3463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41"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Q2 2024 Form 10-Q | Exhibit 31.2</w:t>
      </w:r>
    </w:p>
    <w:p>
      <w:pPr>
        <w:sectPr>
          <w:pgSz w:w="11900" w:h="16838" w:orient="portrait"/>
          <w:cols w:equalWidth="0" w:num="1">
            <w:col w:w="11200"/>
          </w:cols>
          <w:pgMar w:left="36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June 30,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bl>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1049020</wp:posOffset>
            </wp:positionV>
            <wp:extent cx="1968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Q2 2024 Form 10-Q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lvl w:ilvl="1">
      <w:lvlJc w:val="left"/>
      <w:lvlText w:val="(%2)"/>
      <w:numFmt w:val="decimal"/>
      <w:start w:val="2"/>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png"/><Relationship Id="rId136" Type="http://schemas.openxmlformats.org/officeDocument/2006/relationships/image" Target="media/image127.jpeg"/><Relationship Id="rId137" Type="http://schemas.openxmlformats.org/officeDocument/2006/relationships/image" Target="media/image128.png"/><Relationship Id="rId138" Type="http://schemas.openxmlformats.org/officeDocument/2006/relationships/image" Target="media/image129.jpeg"/><Relationship Id="rId139" Type="http://schemas.openxmlformats.org/officeDocument/2006/relationships/image" Target="media/image130.png"/><Relationship Id="rId140" Type="http://schemas.openxmlformats.org/officeDocument/2006/relationships/image" Target="media/image131.jpeg"/><Relationship Id="rId141" Type="http://schemas.openxmlformats.org/officeDocument/2006/relationships/image" Target="media/image132.jpeg"/><Relationship Id="rId132" Type="http://schemas.openxmlformats.org/officeDocument/2006/relationships/hyperlink" Target="https://www.sec.gov/Archives/edgar/data/47111/000004711105000159/exhibit3.htm?_sm_byp=iVV7PRrr5tFtD2T5" TargetMode="External"/><Relationship Id="rId133" Type="http://schemas.openxmlformats.org/officeDocument/2006/relationships/hyperlink" Target="https://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2024-08-01T10:24:29Z</dcterms:created>
  <dcterms:modified xsi:type="dcterms:W3CDTF">2024-08-01T10:24:29Z</dcterms:modified>
</cp:coreProperties>
</file>