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4"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23-0691590</w:t>
            </w:r>
          </w:p>
        </w:tc>
      </w:tr>
      <w:tr>
        <w:trPr>
          <w:trHeight w:val="234"/>
        </w:trPr>
        <w:tc>
          <w:tcPr>
            <w:tcW w:w="692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84"/>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3"/>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238"/>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58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87"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p>
      <w:pPr>
        <w:spacing w:after="0" w:line="56" w:lineRule="exact"/>
        <w:rPr>
          <w:sz w:val="24"/>
          <w:szCs w:val="24"/>
          <w:color w:val="auto"/>
        </w:rPr>
      </w:pPr>
    </w:p>
    <w:p>
      <w:pPr>
        <w:ind w:left="160"/>
        <w:spacing w:after="0" w:line="207" w:lineRule="exact"/>
        <w:tabs>
          <w:tab w:leader="none" w:pos="1920" w:val="left"/>
          <w:tab w:leader="none" w:pos="872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3"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value—148,171,608 shares, as of October 24, 2025.</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value—54,613,514 shares, as of October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Period Ended September 28, 2025</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2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9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1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8020" w:type="dxa"/>
            <w:vAlign w:val="bottom"/>
            <w:gridSpan w:val="21"/>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for the Three and Nine Months Ended September 28, 2025 and September 29, 2024</w:t>
            </w:r>
          </w:p>
        </w:tc>
        <w:tc>
          <w:tcPr>
            <w:tcW w:w="2060" w:type="dxa"/>
            <w:vAlign w:val="bottom"/>
            <w:gridSpan w:val="3"/>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7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28, 2025 and September 29, 2024</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7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September 28, 2025 and December 31, 2024</w:t>
            </w:r>
          </w:p>
        </w:tc>
        <w:tc>
          <w:tcPr>
            <w:tcW w:w="4960" w:type="dxa"/>
            <w:vAlign w:val="bottom"/>
            <w:gridSpan w:val="6"/>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7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28, 2025 and September 29, 2024</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8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28, 2025 and September 29, 2024</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780" w:type="dxa"/>
            <w:vAlign w:val="bottom"/>
            <w:gridSpan w:val="39"/>
          </w:tcPr>
          <w:p>
            <w:pPr>
              <w:ind w:left="80"/>
              <w:spacing w:after="0" w:line="189"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1 - Summary of Significant Accounting Policies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Note 2 - Business Acquisitions</w:t>
            </w:r>
          </w:p>
        </w:tc>
        <w:tc>
          <w:tcPr>
            <w:tcW w:w="6520" w:type="dxa"/>
            <w:vAlign w:val="bottom"/>
            <w:gridSpan w:val="10"/>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0000FF"/>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3 - Goodwill and Intangible Assets</w:t>
            </w:r>
          </w:p>
        </w:tc>
        <w:tc>
          <w:tcPr>
            <w:tcW w:w="7460" w:type="dxa"/>
            <w:vAlign w:val="bottom"/>
            <w:tcBorders>
              <w:bottom w:val="single" w:sz="8" w:color="CCEEFF"/>
            </w:tcBorders>
            <w:gridSpan w:val="15"/>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80" w:type="dxa"/>
            <w:vAlign w:val="bottom"/>
            <w:gridSpan w:val="37"/>
          </w:tcPr>
          <w:p>
            <w:pPr>
              <w:ind w:left="300"/>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5 - Derivative Instruments</w:t>
            </w:r>
          </w:p>
        </w:tc>
        <w:tc>
          <w:tcPr>
            <w:tcW w:w="8080" w:type="dxa"/>
            <w:vAlign w:val="bottom"/>
            <w:tcBorders>
              <w:bottom w:val="single" w:sz="8" w:color="CCEEFF"/>
            </w:tcBorders>
            <w:gridSpan w:val="2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80" w:type="dxa"/>
            <w:vAlign w:val="bottom"/>
            <w:gridSpan w:val="37"/>
          </w:tcPr>
          <w:p>
            <w:pPr>
              <w:ind w:left="300"/>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7 - Leases</w:t>
            </w:r>
          </w:p>
        </w:tc>
        <w:tc>
          <w:tcPr>
            <w:tcW w:w="9240" w:type="dxa"/>
            <w:vAlign w:val="bottom"/>
            <w:tcBorders>
              <w:bottom w:val="single" w:sz="8" w:color="CCEEFF"/>
            </w:tcBorders>
            <w:gridSpan w:val="3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80" w:type="dxa"/>
            <w:vAlign w:val="bottom"/>
            <w:gridSpan w:val="37"/>
          </w:tcPr>
          <w:p>
            <w:pPr>
              <w:ind w:left="300"/>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9 - Business Realignment Activities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980" w:type="dxa"/>
            <w:vAlign w:val="bottom"/>
            <w:tcBorders>
              <w:top w:val="single" w:sz="8" w:color="0000FF"/>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7400" w:type="dxa"/>
            <w:vAlign w:val="bottom"/>
            <w:tcBorders>
              <w:top w:val="single" w:sz="8" w:color="CCEEFF"/>
            </w:tcBorders>
            <w:gridSpan w:val="14"/>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FF"/>
            </w:tcBorders>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11 - Pension and Other Post-Retirement Benefit Plans</w:t>
            </w:r>
          </w:p>
        </w:tc>
        <w:tc>
          <w:tcPr>
            <w:tcW w:w="6100" w:type="dxa"/>
            <w:vAlign w:val="bottom"/>
            <w:tcBorders>
              <w:bottom w:val="single" w:sz="8" w:color="CCEEFF"/>
            </w:tcBorders>
            <w:gridSpan w:val="9"/>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80" w:type="dxa"/>
            <w:vAlign w:val="bottom"/>
            <w:gridSpan w:val="37"/>
          </w:tcPr>
          <w:p>
            <w:pPr>
              <w:ind w:left="300"/>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14 - Treasury Stock Activity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15 - Contingencies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17 - Other (Income) Expense, Net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18 - Supplemental Balance Sheet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76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90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9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8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900" w:type="dxa"/>
            <w:vAlign w:val="bottom"/>
            <w:tcBorders>
              <w:top w:val="single" w:sz="8" w:color="CCEEFF"/>
            </w:tcBorders>
            <w:gridSpan w:val="31"/>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880" w:type="dxa"/>
            <w:vAlign w:val="bottom"/>
            <w:tcBorders>
              <w:top w:val="single" w:sz="8" w:color="CCEEFF"/>
            </w:tcBorders>
            <w:gridSpan w:val="8"/>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8460" w:type="dxa"/>
            <w:vAlign w:val="bottom"/>
            <w:tcBorders>
              <w:top w:val="single" w:sz="8" w:color="CCEEFF"/>
            </w:tcBorders>
            <w:gridSpan w:val="27"/>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Exhibits</w:t>
            </w:r>
          </w:p>
        </w:tc>
        <w:tc>
          <w:tcPr>
            <w:tcW w:w="9620" w:type="dxa"/>
            <w:vAlign w:val="bottom"/>
            <w:tcBorders>
              <w:bottom w:val="single" w:sz="8" w:color="CCEEFF"/>
            </w:tcBorders>
            <w:gridSpan w:val="34"/>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0" w:type="dxa"/>
            <w:vAlign w:val="bottom"/>
            <w:tcBorders>
              <w:bottom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10140" w:type="dxa"/>
            <w:vAlign w:val="bottom"/>
            <w:gridSpan w:val="35"/>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659765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51"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160" w:type="dxa"/>
            <w:vAlign w:val="bottom"/>
          </w:tcPr>
          <w:p>
            <w:pPr>
              <w:spacing w:after="0"/>
              <w:rPr>
                <w:sz w:val="14"/>
                <w:szCs w:val="14"/>
                <w:color w:val="auto"/>
              </w:rPr>
            </w:pPr>
          </w:p>
        </w:tc>
        <w:tc>
          <w:tcPr>
            <w:tcW w:w="1380" w:type="dxa"/>
            <w:vAlign w:val="bottom"/>
            <w:tcBorders>
              <w:top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28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Pr>
          <w:p>
            <w:pPr>
              <w:spacing w:after="0"/>
              <w:rPr>
                <w:sz w:val="14"/>
                <w:szCs w:val="14"/>
                <w:color w:val="auto"/>
              </w:rPr>
            </w:pPr>
          </w:p>
        </w:tc>
        <w:tc>
          <w:tcPr>
            <w:tcW w:w="1380" w:type="dxa"/>
            <w:vAlign w:val="bottom"/>
            <w:tcBorders>
              <w:top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28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29,</w:t>
            </w:r>
          </w:p>
        </w:tc>
      </w:tr>
      <w:tr>
        <w:trPr>
          <w:trHeight w:val="241"/>
        </w:trPr>
        <w:tc>
          <w:tcPr>
            <w:tcW w:w="5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8,314,723</w:t>
            </w:r>
          </w:p>
        </w:tc>
      </w:tr>
      <w:tr>
        <w:trPr>
          <w:trHeight w:val="229"/>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1,754,775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5,823,681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4,572,178</w:t>
            </w:r>
          </w:p>
        </w:tc>
      </w:tr>
      <w:tr>
        <w:trPr>
          <w:trHeight w:val="223"/>
        </w:trPr>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3,742,545</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1,750,888</w:t>
            </w: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3"/>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1,959,085</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125,511</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82,695</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1,750,879</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326,231</w:t>
            </w:r>
          </w:p>
        </w:tc>
      </w:tr>
      <w:tr>
        <w:trPr>
          <w:trHeight w:val="248"/>
        </w:trPr>
        <w:tc>
          <w:tcPr>
            <w:tcW w:w="5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1,424,648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29"/>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r>
    </w:tbl>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1" w:right="5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42" w:lineRule="exact"/>
        <w:rPr>
          <w:sz w:val="20"/>
          <w:szCs w:val="20"/>
          <w:color w:val="auto"/>
        </w:rPr>
      </w:pPr>
    </w:p>
    <w:p>
      <w:pPr>
        <w:ind w:left="20" w:right="80"/>
        <w:spacing w:after="0" w:line="253" w:lineRule="auto"/>
        <w:rPr>
          <w:sz w:val="20"/>
          <w:szCs w:val="20"/>
          <w:color w:val="auto"/>
        </w:rPr>
      </w:pPr>
      <w:r>
        <w:rPr>
          <w:rFonts w:ascii="Times New Roman" w:cs="Times New Roman" w:eastAsia="Times New Roman" w:hAnsi="Times New Roman"/>
          <w:sz w:val="14"/>
          <w:szCs w:val="14"/>
          <w:b w:val="1"/>
          <w:bCs w:val="1"/>
          <w:color w:val="auto"/>
        </w:rPr>
        <w:t>Other comprehensive income, net of tax:</w:t>
      </w:r>
    </w:p>
    <w:p>
      <w:pPr>
        <w:ind w:left="140" w:right="540"/>
        <w:spacing w:after="0" w:line="251"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 w:lineRule="exact"/>
        <w:rPr>
          <w:sz w:val="20"/>
          <w:szCs w:val="20"/>
          <w:color w:val="auto"/>
        </w:rPr>
      </w:pPr>
    </w:p>
    <w:p>
      <w:pPr>
        <w:ind w:left="220" w:right="120"/>
        <w:spacing w:after="0" w:line="251" w:lineRule="auto"/>
        <w:rPr>
          <w:sz w:val="20"/>
          <w:szCs w:val="20"/>
          <w:color w:val="auto"/>
        </w:rPr>
      </w:pPr>
      <w:r>
        <w:rPr>
          <w:rFonts w:ascii="Times New Roman" w:cs="Times New Roman" w:eastAsia="Times New Roman" w:hAnsi="Times New Roman"/>
          <w:sz w:val="14"/>
          <w:szCs w:val="14"/>
          <w:color w:val="auto"/>
        </w:rPr>
        <w:t>Foreign currency translation gains (losses) during period</w:t>
      </w:r>
    </w:p>
    <w:p>
      <w:pPr>
        <w:spacing w:after="0" w:line="1" w:lineRule="exact"/>
        <w:rPr>
          <w:sz w:val="20"/>
          <w:szCs w:val="20"/>
          <w:color w:val="auto"/>
        </w:rPr>
      </w:pPr>
    </w:p>
    <w:p>
      <w:pPr>
        <w:ind w:left="140" w:right="120"/>
        <w:spacing w:after="0" w:line="251" w:lineRule="auto"/>
        <w:rPr>
          <w:sz w:val="20"/>
          <w:szCs w:val="20"/>
          <w:color w:val="auto"/>
        </w:rPr>
      </w:pPr>
      <w:r>
        <w:rPr>
          <w:rFonts w:ascii="Times New Roman" w:cs="Times New Roman" w:eastAsia="Times New Roman" w:hAnsi="Times New Roman"/>
          <w:sz w:val="14"/>
          <w:szCs w:val="14"/>
          <w:color w:val="auto"/>
        </w:rPr>
        <w:t>Pension and post-retirement benefit plans:</w:t>
      </w:r>
    </w:p>
    <w:p>
      <w:pPr>
        <w:spacing w:after="0" w:line="1" w:lineRule="exact"/>
        <w:rPr>
          <w:sz w:val="20"/>
          <w:szCs w:val="20"/>
          <w:color w:val="auto"/>
        </w:rPr>
      </w:pPr>
    </w:p>
    <w:p>
      <w:pPr>
        <w:ind w:left="220" w:right="20"/>
        <w:spacing w:after="0" w:line="251" w:lineRule="auto"/>
        <w:rPr>
          <w:sz w:val="20"/>
          <w:szCs w:val="20"/>
          <w:color w:val="auto"/>
        </w:rPr>
      </w:pPr>
      <w:r>
        <w:rPr>
          <w:rFonts w:ascii="Times New Roman" w:cs="Times New Roman" w:eastAsia="Times New Roman" w:hAnsi="Times New Roman"/>
          <w:sz w:val="14"/>
          <w:szCs w:val="14"/>
          <w:color w:val="auto"/>
        </w:rPr>
        <w:t>Net actuarial gain (loss) and service cost</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flow hedges:</w:t>
      </w:r>
    </w:p>
    <w:p>
      <w:pPr>
        <w:spacing w:after="0" w:line="42" w:lineRule="exact"/>
        <w:rPr>
          <w:sz w:val="20"/>
          <w:szCs w:val="20"/>
          <w:color w:val="auto"/>
        </w:rPr>
      </w:pPr>
    </w:p>
    <w:p>
      <w:pPr>
        <w:ind w:left="220"/>
        <w:spacing w:after="0" w:line="251" w:lineRule="auto"/>
        <w:rPr>
          <w:sz w:val="20"/>
          <w:szCs w:val="20"/>
          <w:color w:val="auto"/>
        </w:rPr>
      </w:pPr>
      <w:r>
        <w:rPr>
          <w:rFonts w:ascii="Times New Roman" w:cs="Times New Roman" w:eastAsia="Times New Roman" w:hAnsi="Times New Roman"/>
          <w:sz w:val="14"/>
          <w:szCs w:val="14"/>
          <w:color w:val="auto"/>
        </w:rPr>
        <w:t>Gains (losses) on cash flow hedging derivatives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28, 2025</w:t>
            </w:r>
          </w:p>
        </w:tc>
        <w:tc>
          <w:tcPr>
            <w:tcW w:w="80" w:type="dxa"/>
            <w:vAlign w:val="bottom"/>
          </w:tcPr>
          <w:p>
            <w:pPr>
              <w:spacing w:after="0"/>
              <w:rPr>
                <w:sz w:val="19"/>
                <w:szCs w:val="19"/>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80" w:type="dxa"/>
            <w:vAlign w:val="bottom"/>
          </w:tcPr>
          <w:p>
            <w:pPr>
              <w:spacing w:after="0"/>
              <w:rPr>
                <w:sz w:val="19"/>
                <w:szCs w:val="19"/>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28, 2025</w:t>
            </w:r>
          </w:p>
        </w:tc>
        <w:tc>
          <w:tcPr>
            <w:tcW w:w="80" w:type="dxa"/>
            <w:vAlign w:val="bottom"/>
          </w:tcPr>
          <w:p>
            <w:pPr>
              <w:spacing w:after="0"/>
              <w:rPr>
                <w:sz w:val="19"/>
                <w:szCs w:val="19"/>
                <w:color w:val="auto"/>
              </w:rPr>
            </w:pPr>
          </w:p>
        </w:tc>
        <w:tc>
          <w:tcPr>
            <w:tcW w:w="22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jc w:val="right"/>
              <w:ind w:right="868"/>
              <w:spacing w:after="0" w:line="131"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Tax</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jc w:val="center"/>
              <w:ind w:right="648"/>
              <w:spacing w:after="0" w:line="131"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Tax</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4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Pre-Tax  (Expense)  After-Tax</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340" w:type="dxa"/>
            <w:vAlign w:val="bottom"/>
            <w:gridSpan w:val="11"/>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Pre-Tax  (Expense)  After-Tax   Pre-Tax  (Expense)   After-Tax</w:t>
            </w:r>
          </w:p>
        </w:tc>
        <w:tc>
          <w:tcPr>
            <w:tcW w:w="0" w:type="dxa"/>
            <w:vAlign w:val="bottom"/>
          </w:tcPr>
          <w:p>
            <w:pPr>
              <w:spacing w:after="0"/>
              <w:rPr>
                <w:sz w:val="1"/>
                <w:szCs w:val="1"/>
                <w:color w:val="auto"/>
              </w:rPr>
            </w:pPr>
          </w:p>
        </w:tc>
      </w:tr>
      <w:tr>
        <w:trPr>
          <w:trHeight w:val="198"/>
        </w:trPr>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Benefit   Amount</w:t>
            </w:r>
          </w:p>
        </w:tc>
        <w:tc>
          <w:tcPr>
            <w:tcW w:w="8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Benefit   Amount</w:t>
            </w:r>
          </w:p>
        </w:tc>
        <w:tc>
          <w:tcPr>
            <w:tcW w:w="80" w:type="dxa"/>
            <w:vAlign w:val="bottom"/>
          </w:tcPr>
          <w:p>
            <w:pPr>
              <w:spacing w:after="0"/>
              <w:rPr>
                <w:sz w:val="17"/>
                <w:szCs w:val="17"/>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   Benefit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$ 276,320</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$ 446,301</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$ 563,242</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$ 1,424,648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-144780</wp:posOffset>
            </wp:positionV>
            <wp:extent cx="70294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-1555750</wp:posOffset>
            </wp:positionH>
            <wp:positionV relativeFrom="paragraph">
              <wp:posOffset>205740</wp:posOffset>
            </wp:positionV>
            <wp:extent cx="702945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(2,190)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(4,231)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$ 29,355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29,355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(36,073)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(36,073)</w:t>
            </w:r>
          </w:p>
        </w:tc>
      </w:tr>
      <w:tr>
        <w:trPr>
          <w:trHeight w:val="675"/>
        </w:trPr>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14,418</w:t>
            </w:r>
          </w:p>
        </w:tc>
        <w:tc>
          <w:tcPr>
            <w:tcW w:w="200" w:type="dxa"/>
            <w:vAlign w:val="bottom"/>
          </w:tcPr>
          <w:p>
            <w:pPr>
              <w:spacing w:after="0"/>
              <w:rPr>
                <w:sz w:val="24"/>
                <w:szCs w:val="2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(3,465)</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10,953</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14,351</w:t>
            </w:r>
          </w:p>
        </w:tc>
        <w:tc>
          <w:tcPr>
            <w:tcW w:w="180" w:type="dxa"/>
            <w:vAlign w:val="bottom"/>
          </w:tcPr>
          <w:p>
            <w:pPr>
              <w:spacing w:after="0"/>
              <w:rPr>
                <w:sz w:val="24"/>
                <w:szCs w:val="2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(3,609)</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10,742</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200" w:type="dxa"/>
            <w:vAlign w:val="bottom"/>
          </w:tcPr>
          <w:p>
            <w:pPr>
              <w:spacing w:after="0"/>
              <w:rPr>
                <w:sz w:val="24"/>
                <w:szCs w:val="2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03"/>
        </w:trPr>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13,479</w:t>
            </w:r>
          </w:p>
        </w:tc>
        <w:tc>
          <w:tcPr>
            <w:tcW w:w="20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(3,243)</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10,236</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2,540</w:t>
            </w:r>
          </w:p>
        </w:tc>
        <w:tc>
          <w:tcPr>
            <w:tcW w:w="2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(611)</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1,929</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19,244</w:t>
            </w:r>
          </w:p>
        </w:tc>
        <w:tc>
          <w:tcPr>
            <w:tcW w:w="18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(4,613)</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14,631</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7,618</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5,789</w:t>
            </w:r>
          </w:p>
        </w:tc>
      </w:tr>
      <w:tr>
        <w:trPr>
          <w:trHeight w:val="540"/>
        </w:trPr>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24"/>
                <w:szCs w:val="2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1,779</w:t>
            </w:r>
          </w:p>
        </w:tc>
        <w:tc>
          <w:tcPr>
            <w:tcW w:w="20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599</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2,378</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18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771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5,636</w:t>
            </w:r>
          </w:p>
        </w:tc>
        <w:tc>
          <w:tcPr>
            <w:tcW w:w="20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w:t>
            </w:r>
          </w:p>
        </w:tc>
      </w:tr>
      <w:tr>
        <w:trPr>
          <w:trHeight w:val="203"/>
        </w:trPr>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2,206</w:t>
            </w:r>
          </w:p>
        </w:tc>
        <w:tc>
          <w:tcPr>
            <w:tcW w:w="20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(634)</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1,572</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560</w:t>
            </w:r>
          </w:p>
        </w:tc>
        <w:tc>
          <w:tcPr>
            <w:tcW w:w="2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(1,154)</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5,672</w:t>
            </w:r>
          </w:p>
        </w:tc>
        <w:tc>
          <w:tcPr>
            <w:tcW w:w="18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(1,275)</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4,397</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4,210</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(2,122)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-1013460</wp:posOffset>
            </wp:positionV>
            <wp:extent cx="702945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214630"/>
                    </a:xfrm>
                    <a:prstGeom prst="rect">
                      <a:avLst/>
                    </a:prstGeom>
                    <a:noFill/>
                  </pic:spPr>
                </pic:pic>
              </a:graphicData>
            </a:graphic>
          </wp:anchor>
        </w:drawing>
        <w:drawing>
          <wp:anchor simplePos="0" relativeHeight="251657728" behindDoc="1" locked="0" layoutInCell="0" allowOverlap="1">
            <wp:simplePos x="0" y="0"/>
            <wp:positionH relativeFrom="column">
              <wp:posOffset>-1555750</wp:posOffset>
            </wp:positionH>
            <wp:positionV relativeFrom="paragraph">
              <wp:posOffset>-584835</wp:posOffset>
            </wp:positionV>
            <wp:extent cx="702945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-1555750</wp:posOffset>
            </wp:positionH>
            <wp:positionV relativeFrom="paragraph">
              <wp:posOffset>-327660</wp:posOffset>
            </wp:positionV>
            <wp:extent cx="702945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21463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2320" w:space="140"/>
            <w:col w:w="8620"/>
          </w:cols>
          <w:pgMar w:left="400" w:top="1251" w:right="419" w:bottom="1440" w:gutter="0" w:footer="0" w:header="0"/>
        </w:sectPr>
      </w:pPr>
    </w:p>
    <w:tbl>
      <w:tblPr>
        <w:tblLayout w:type="fixed"/>
        <w:tblInd w:w="0" w:type="dxa"/>
        <w:tblCellMar>
          <w:top w:w="0" w:type="dxa"/>
          <w:left w:w="0" w:type="dxa"/>
          <w:bottom w:w="0" w:type="dxa"/>
          <w:right w:w="0" w:type="dxa"/>
        </w:tblCellMar>
      </w:tblPr>
      <w:tr>
        <w:trPr>
          <w:trHeight w:val="137"/>
        </w:trPr>
        <w:tc>
          <w:tcPr>
            <w:tcW w:w="2460" w:type="dxa"/>
            <w:vAlign w:val="bottom"/>
            <w:tcBorders>
              <w:top w:val="single" w:sz="8" w:color="CCEEFF"/>
            </w:tcBorders>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Total other comprehensive income</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$ 28,313</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(7,913)</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20,400</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(1,220)</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$ 62,592</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(8,726)</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53,866</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(18,306)</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(3,736)</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(22,042)</w:t>
            </w:r>
          </w:p>
        </w:tc>
        <w:tc>
          <w:tcPr>
            <w:tcW w:w="0" w:type="dxa"/>
            <w:vAlign w:val="bottom"/>
          </w:tcPr>
          <w:p>
            <w:pPr>
              <w:spacing w:after="0"/>
              <w:rPr>
                <w:sz w:val="1"/>
                <w:szCs w:val="1"/>
                <w:color w:val="auto"/>
              </w:rPr>
            </w:pPr>
          </w:p>
        </w:tc>
      </w:tr>
      <w:tr>
        <w:trPr>
          <w:trHeight w:val="233"/>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4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$ 296,720</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$ 445,794</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$ 617,108</w:t>
            </w: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$ 1,402,606</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294005</wp:posOffset>
            </wp:positionV>
            <wp:extent cx="196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20"/>
        <w:spacing w:after="0"/>
        <w:tabs>
          <w:tab w:leader="none" w:pos="37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342265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251" w:right="419" w:bottom="1440" w:gutter="0" w:footer="0" w:header="0"/>
          <w:type w:val="continuous"/>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020" w:type="dxa"/>
            <w:vAlign w:val="bottom"/>
            <w:gridSpan w:val="2"/>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730,746</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800,402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1,254,094</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974,215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3,759,457</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3,458,853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2,705,753</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1,873,866</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1,111,867</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12,946,861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1,159,177</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807,341</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income taxes</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1,306,976</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604,965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3,929,495</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4,677,086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3,190,210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688,259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424,243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9,014,980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8,232,207</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shares issued: none in 2025 and 2024</w:t>
            </w:r>
          </w:p>
        </w:tc>
        <w:tc>
          <w:tcPr>
            <w:tcW w:w="3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shares issued: 166,939,511 at September 28, 2025 and December 31,</w:t>
            </w: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shares issued: 54,613,514 at September 28, 2025 and</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1,377,226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5,698,316</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Treasury—common stock shares, at cost: 18,775,431 at September 28, 2025 and</w:t>
            </w: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19,169,956 at December 31, 2024</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(2,278,551)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(303,890)</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4,564,446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4,714,654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12,946,861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8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0" w:type="dxa"/>
            <w:vAlign w:val="bottom"/>
          </w:tcPr>
          <w:p>
            <w:pPr>
              <w:spacing w:after="0"/>
              <w:rPr>
                <w:sz w:val="1"/>
                <w:szCs w:val="1"/>
                <w:color w:val="auto"/>
              </w:rPr>
            </w:pPr>
          </w:p>
        </w:tc>
      </w:tr>
      <w:tr>
        <w:trPr>
          <w:trHeight w:val="198"/>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563,242</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1,424,648</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331,440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32,573</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(25,623)</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Write-down of equity investments</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81,017</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Unrealized losses (gains) on derivative contracts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(200,284)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53,520</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acquisition:</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Accounts receivable—trade, net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(330,777)</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(52,193)</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119,168</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138,503</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Contributions to pension and other benefit plans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1,350,814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1,589,994</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Capital additions (including software)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(471,415)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Receipts (payments) related to equity investments in tax credit qualifying partnerships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(78,196)</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(382,182)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(549,324)</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increase in short-term debt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(1,102,467)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482,767</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Long-term borrowings, net of debt issuance costs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Repayment of long-term debt and finance leases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dividends paid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(814,309)</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(494,191)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13,786</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Taxes withheld and paid on employee stock awards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(30,546)</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(846,969)</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19,348</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213,049</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730,746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401,902</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1,163,017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614,951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128,875</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180,338</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251"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Three Months Ended September 28, 2025 and September 29, 2024</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29, 2025</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1,387,873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5,442,869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(2,267,253)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(270,424)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4,514,618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276,320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(203,828)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September 28, 2025</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1,407,685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5,447,367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(2,262,135)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(250,024)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4,564,446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24"/>
                <w:szCs w:val="24"/>
                <w:color w:val="auto"/>
              </w:rPr>
            </w:pPr>
          </w:p>
        </w:tc>
        <w:tc>
          <w:tcPr>
            <w:tcW w:w="9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1,325,876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4,997,269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(2,283,219)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4,009,866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446,301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29, 2024</w:t>
            </w: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1,342,935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5,172,717</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(2,280,116)</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(252,120)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4,204,969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951230</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Nine Months Ended September 28, 2025 and September 29, 2024</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1,377,226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5,698,316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(2,278,551)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(303,890)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4,714,654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563,242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$4.110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(610,210)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(610,210)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 $3.735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(203,981)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(203,981)</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(16,340)</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16,416</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28, 2025</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1,407,685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5,447,367</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(2,262,135)</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(250,024)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4,564,446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0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1,345,580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4,562,263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(1,800,232)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(230,078)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1,424,648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1,424,648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$4.110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$3.735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(203,981)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29, 2024</w:t>
            </w:r>
          </w:p>
        </w:tc>
        <w:tc>
          <w:tcPr>
            <w:tcW w:w="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1,342,935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5,172,717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(2,280,116)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4,204,969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440055</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method investments and cost, less impairment, investments are included as Other non-current assets in the Consolidated Balance Sheets.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September 28, 2025 may not be indicative of the results that may be expected for the year ending December 31, 2025 because of seasonal effects on our business. These financial statements should be read in conjunction with our Annual Report on Form 10-K for the year ended December 31, 2024 (our “2024 Annual Report on Form 10-K”), which provides a more complete understanding of our accounting policies, financial position, operating results and 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This ASU requires disclosure of significant segment expenses that are regularly provided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operating decision maker (“CODM”), an amount for other segment items with a description of the composition, and disclosure of the title and position of the CODM. ASU 2023-07 is effective for annual periods beginning after December 15, 2023 and interim periods within fiscal years beginning after December 15, 2024. We adopted the provisions of this ASU in the fourth quarter of 2024 and applied the provisions retrospectively to each period presented in the consolidated financial statements. Adoption of the new standard did not have a material impact on our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Early adoption is permitted and the update should be applied on a prospective basis, with a retrospective application permitted in the financial statements. We are currently evaluating the impact of the new standard on our consolidated financial statements and related disclosures. As a result, we intend to adopt the provisions of this ASU in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266065</wp:posOffset>
            </wp:positionV>
            <wp:extent cx="196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This ASU requires entities to disclose certain additional expense information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items, purchases of inventory, employee compensation, depreciation and intangible asset amortization included within each Consolidated Statement of Income expense caption. ASU 2024-03 is effective for annual reporting periods beginning after December 15, 2026, and interim reporting periods beginning after December 15, 2027. Early adoption is permitted and the update should be applied on a prospective basis, with a retrospective application permitted in the financial statements. We are currently evaluating the impact of the new standard on our consolidated financial statements and related disclosures.</w:t>
      </w:r>
    </w:p>
    <w:p>
      <w:pPr>
        <w:spacing w:after="0" w:line="1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ASU modernizes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Under this ASU, costs are capitalized when management has authorized and committed funding and it is probable the project will be completed and the software used as intended. ASU 2025-06 is effective for annual reporting periods beginning after December 15, 2027, and interim reporting periods within those annual reporting periods. Early adoption is permitted and the amendments in this update permit an entity to apply the new guidance using a prospective, retrospective or modified transition approach. We are currently evaluating the impact of the new standard on our consolidated financial statements and related disclosures.</w:t>
      </w:r>
    </w:p>
    <w:p>
      <w:pPr>
        <w:spacing w:after="0" w:line="13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LesserEvil, LLC</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31, 2025, we entered into a Merger Agreement to acquire LesserEvil, LLC, a privately held company that produces and sells organic popcorn and puffed snack products to retailers and distributors in the United States and Canada, which complements Hershey’s existing product portfolio. The Merger Agreement contains customary conditions, including, among others, (i) the expiration or termination of the applicable waiting period under the Hart-Scott-Rodino Antitrust Improvements Act of 1976, as amended, (ii) the absence of any law or order prohibiting the consummation of the transactions contemplated in the Merger Agreement and (iii) the accuracy, to specified degrees, of representations and warranties set forth therein and material compliance with covenants. If approved, the Company expects the acquisition to close by the end of 2025 and will be financed with cash on hand and short-term borrowings.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 Strips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 an emerging sour candy brand and is available in a wide range of food distribution channels in the United States. The initial cash consideration paid for Sour Strips was deemed immaterial and consisted of cash on hand and short-term borrowings; however, the Company may be required to pay additional contingent consideration if certain defined targets are met over a multi-year period. Acquisition-related costs for the Sour Strips acquisition were immaterial.</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Sour Strips has been included within the North America Confectionery segment from the date of acquisition. The purchase consideration, inclusive of the acquisition date fair value of the contingent consideration, was allocated to minimal net assets acquired, goodwill and other intangible assets. The purchase price allocation has been finalized as of the second quarter of 2025 and includes an immaterial amount of measurement period adjustments. The measurement period adjustments to the initial allocation were based on more detailed information obtained about the specific assets acquired and liabilities assumed, specifically, post-closing adjustments to the working capital acquired.</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commercial capabilities and retail relationships to accelerate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intangible assets include trademarks valued at $41,800 and customer relationships valued at $41,300. Trademarks were assigned an estimated useful life of 22 years and customer relationships were assigned estimated useful lives ranging from 14 to 16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nine months ended September 28, 2025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 Salty</w:t>
            </w:r>
          </w:p>
        </w:tc>
        <w:tc>
          <w:tcPr>
            <w:tcW w:w="240" w:type="dxa"/>
            <w:vAlign w:val="bottom"/>
          </w:tcPr>
          <w:p>
            <w:pPr>
              <w:spacing w:after="0"/>
              <w:rPr>
                <w:sz w:val="17"/>
                <w:szCs w:val="17"/>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17"/>
                <w:szCs w:val="17"/>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0"/>
                <w:szCs w:val="20"/>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Snacks</w:t>
            </w:r>
          </w:p>
        </w:tc>
        <w:tc>
          <w:tcPr>
            <w:tcW w:w="24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2,705,753</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28,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2,037,454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2,711,338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140" w:type="dxa"/>
            <w:vAlign w:val="bottom"/>
          </w:tcPr>
          <w:p>
            <w:pPr>
              <w:spacing w:after="0"/>
              <w:rPr>
                <w:sz w:val="20"/>
                <w:szCs w:val="20"/>
                <w:color w:val="auto"/>
              </w:rPr>
            </w:pPr>
          </w:p>
        </w:tc>
        <w:tc>
          <w:tcPr>
            <w:tcW w:w="30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69"/>
        </w:trPr>
        <w:tc>
          <w:tcPr>
            <w:tcW w:w="4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1"/>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1,801,222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(282,819)</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(151,409)</w:t>
            </w: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(441,807)</w:t>
            </w:r>
          </w:p>
        </w:tc>
      </w:tr>
      <w:tr>
        <w:trPr>
          <w:trHeight w:val="270"/>
        </w:trPr>
        <w:tc>
          <w:tcPr>
            <w:tcW w:w="4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2025, the gross carrying amount of our intangible assets and corresponding accumulated amortization increased as a result of the purchase of the Fulfil brand in North America.</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28, 2025 and September 29, 2024 was $21,202 and $19,534, respectively. Total amortization expense for the nine months ended September 28, 2025 and September 29, 2024 was $62,958 and $58,627,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As of September 28, 2025, we maintained a $1.35 billion unsecured revolving credit facility with the option to increase the aggregate amount of the commitments by up to $500 million with the consent of the lenders (the “prior credit facility”). On October 21, 2025, we terminated the prior credit facility, which was scheduled to expire in April 2028, and entered into a new unsecured revolving credit facility (the “new credit facility”). The new credit facility allows the Company to borrow up to $1.875 billion with the option to increase the aggregate amount of the commitments by up to $1.0 billion with the consent of the lenders. The new credit facility is scheduled to expire on October 21, 2030; however, we may extend the termination date for up to two additional one-year periods upon notice to the administrative agent under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482600</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prior credit facility and the new credit facility contain certain financial and other covenants, customary representations, warranties and events of default. As of September 28, 2025, we were in compliance with all covenants pertaining to the prior credit facility, and we had no significant compensating balance agreements that legally restricted access to these funds. For more information, refer to the Consolidated Financial Statements included in our 2024 Annual Report on Form 10-K.</w:t>
      </w:r>
    </w:p>
    <w:p>
      <w:pPr>
        <w:spacing w:after="0" w:line="45" w:lineRule="exact"/>
        <w:rPr>
          <w:sz w:val="20"/>
          <w:szCs w:val="20"/>
          <w:color w:val="auto"/>
        </w:rPr>
      </w:pPr>
    </w:p>
    <w:p>
      <w:pPr>
        <w:ind w:left="20" w:right="140"/>
        <w:spacing w:after="0" w:line="271"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foreign bank borrowings against lines of credit</w:t>
            </w:r>
          </w:p>
        </w:tc>
        <w:tc>
          <w:tcPr>
            <w:tcW w:w="19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214,959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214,959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1,306,976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outstanding commercial paper</w:t>
            </w: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5"/>
            <w:vMerge w:val="continue"/>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7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Debt Type and Rate</w:t>
            </w:r>
          </w:p>
        </w:tc>
        <w:tc>
          <w:tcPr>
            <w:tcW w:w="2460" w:type="dxa"/>
            <w:vAlign w:val="bottom"/>
            <w:gridSpan w:val="4"/>
          </w:tcPr>
          <w:p>
            <w:pPr>
              <w:jc w:val="right"/>
              <w:ind w:right="93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(1)</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4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August 21, 2025</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August 15, 2026</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24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August 15, 2027</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193,639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(3)</w:t>
            </w:r>
          </w:p>
        </w:tc>
        <w:tc>
          <w:tcPr>
            <w:tcW w:w="2460" w:type="dxa"/>
            <w:vAlign w:val="bottom"/>
            <w:gridSpan w:val="4"/>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February 24, 2028</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May 4, 2028</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November 15, 2029</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 (3)</w:t>
            </w:r>
          </w:p>
        </w:tc>
        <w:tc>
          <w:tcPr>
            <w:tcW w:w="24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w w:val="99"/>
              </w:rPr>
              <w:t>February 24, 2030</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June 1, 2030</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 (3)</w:t>
            </w:r>
          </w:p>
        </w:tc>
        <w:tc>
          <w:tcPr>
            <w:tcW w:w="24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w w:val="99"/>
              </w:rPr>
              <w:t>February 24, 2032</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May 4, 2033</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 (3)</w:t>
            </w:r>
          </w:p>
        </w:tc>
        <w:tc>
          <w:tcPr>
            <w:tcW w:w="24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w w:val="99"/>
              </w:rPr>
              <w:t>February 24, 2035</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August 15, 2046</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November 15, 2049</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60" w:type="dxa"/>
            <w:vAlign w:val="bottom"/>
            <w:gridSpan w:val="4"/>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June 1, 2050</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Finance lease obligations (see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w:t>
            </w: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69,743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73,802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(33,962)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5,179,420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502,334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604,965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1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4,677,086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80" w:hanging="25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repaid $300,000 of 0.900% Notes due upon their maturity.</w:t>
      </w:r>
    </w:p>
    <w:p>
      <w:pPr>
        <w:spacing w:after="0" w:line="63" w:lineRule="exact"/>
        <w:rPr>
          <w:rFonts w:ascii="Times New Roman" w:cs="Times New Roman" w:eastAsia="Times New Roman" w:hAnsi="Times New Roman"/>
          <w:sz w:val="18"/>
          <w:szCs w:val="18"/>
          <w:color w:val="auto"/>
        </w:rPr>
      </w:pPr>
    </w:p>
    <w:p>
      <w:pPr>
        <w:ind w:left="280" w:hanging="25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repaid $300,000 of 3.200% Notes due upon their maturity.</w:t>
      </w:r>
    </w:p>
    <w:p>
      <w:pPr>
        <w:spacing w:after="0" w:line="63" w:lineRule="exact"/>
        <w:rPr>
          <w:rFonts w:ascii="Times New Roman" w:cs="Times New Roman" w:eastAsia="Times New Roman" w:hAnsi="Times New Roman"/>
          <w:sz w:val="18"/>
          <w:szCs w:val="18"/>
          <w:color w:val="auto"/>
        </w:rPr>
      </w:pPr>
    </w:p>
    <w:p>
      <w:pPr>
        <w:ind w:left="280" w:hanging="25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2025, we issued $500,000 of 4.550% Notes due in February 2028, $500,000 of 4.750% Notes due in February 2030,</w:t>
      </w:r>
    </w:p>
    <w:p>
      <w:pPr>
        <w:spacing w:after="0" w:line="27" w:lineRule="exact"/>
        <w:rPr>
          <w:sz w:val="20"/>
          <w:szCs w:val="20"/>
          <w:color w:val="auto"/>
        </w:rPr>
      </w:pPr>
    </w:p>
    <w:p>
      <w:pPr>
        <w:jc w:val="both"/>
        <w:ind w:left="20" w:right="340"/>
        <w:spacing w:after="0" w:line="255" w:lineRule="auto"/>
        <w:rPr>
          <w:sz w:val="20"/>
          <w:szCs w:val="20"/>
          <w:color w:val="auto"/>
        </w:rPr>
      </w:pPr>
      <w:r>
        <w:rPr>
          <w:rFonts w:ascii="Times New Roman" w:cs="Times New Roman" w:eastAsia="Times New Roman" w:hAnsi="Times New Roman"/>
          <w:sz w:val="18"/>
          <w:szCs w:val="18"/>
          <w:color w:val="auto"/>
        </w:rPr>
        <w:t>$500,000 of 4.950% Notes due in February 2032 and $500,000 of 5.100% Notes due in February 2035 (together, the “2025 Notes”). Proceeds from the issuance of the 2025 Notes, net of discounts and issuance costs, totaled $1,984,545. The 2025 Notes were issued under a shelf registration statement on Form S-3 filed in May 2024 that registered an indeterminate amount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266700</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5"/>
          </w:tcPr>
          <w:p>
            <w:pPr>
              <w:ind w:left="1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96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61,456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51,906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148,099</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8"/>
              </w:rPr>
              <w:t>(5,343)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(15,620)</w:t>
            </w: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59,199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46,563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132,479</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8"/>
              </w:rPr>
              <w:t>(2,247)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51,474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44,316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125,511</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$591,789 as of September 28, 2025 and $667,421 as of December 31, 2024.</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18 months. The contracts are either designated as cash flow hedges or are undesignated. The net notional amount of foreign exchange contracts accounted for as cash flow hedges was $240,306 at September 28, 2025 and $79,028 at December 31, 2024.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$20,615 at September 28, 2025 and $123,014 at December 31, 2024. The change in fair value on these instruments is recorded directly in cost of sales or selling, marketing and administrative (“SM&amp;A”)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791210</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September 28, 2025 and December 31, 2024 was $33,198 and $30,524,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September 28,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20" w:hanging="330"/>
        <w:spacing w:after="0" w:line="281" w:lineRule="auto"/>
        <w:tabs>
          <w:tab w:leader="none" w:pos="4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120" w:hanging="330"/>
        <w:spacing w:after="0" w:line="258" w:lineRule="auto"/>
        <w:tabs>
          <w:tab w:leader="none" w:pos="4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28, 2025, amounts reflected on a net basis in assets were assets of $71,402 and liabilities of $68,188, which are associated with cash transfers receivable or payable on commodities futures contracts reflecting the change in quoted market prices on the last trading day for the period. The comparable amounts reflected on a net basis in liabilities at December 31, 2024 were assets of $533,115 and liabilities of $32,998. At September 28, 2025 and December 31, 2024,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608330</wp:posOffset>
            </wp:positionV>
            <wp:extent cx="196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September 28, 2025 and September 29, 2024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58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nine months ended September 28, 2025 and September 29, 2024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right="20" w:hanging="332"/>
        <w:spacing w:after="0" w:line="266" w:lineRule="auto"/>
        <w:tabs>
          <w:tab w:leader="none" w:pos="3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20" w:hanging="332"/>
        <w:spacing w:after="0" w:line="312" w:lineRule="auto"/>
        <w:tabs>
          <w:tab w:leader="none" w:pos="3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amount of pre-tax net loss on derivative instruments, including interest rate swap agreements and foreign currency forward exchange contracts expected to be reclassified into earnings in the next 12 months was approximately $10,730 as of September 28, 2025. This amount is primarily associated with interest rate swap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08"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 participant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300355</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2025 and December 31,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Assets / Liabilities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7"/>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47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514,623</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bl>
    <w:p>
      <w:pPr>
        <w:spacing w:after="0" w:line="157" w:lineRule="exact"/>
        <w:rPr>
          <w:sz w:val="20"/>
          <w:szCs w:val="20"/>
          <w:color w:val="auto"/>
        </w:rPr>
      </w:pPr>
    </w:p>
    <w:p>
      <w:pPr>
        <w:ind w:left="660" w:right="2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75"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September 28, 2025 and December 31, 2024 because of the relatively short maturity of these instruments.</w:t>
      </w:r>
    </w:p>
    <w:p>
      <w:pPr>
        <w:spacing w:after="0" w:line="108"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5"/>
          </w:tcPr>
          <w:p>
            <w:pPr>
              <w:ind w:left="1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368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3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604,965</w:t>
            </w:r>
          </w:p>
        </w:tc>
      </w:tr>
      <w:tr>
        <w:trPr>
          <w:trHeight w:val="23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4,361,035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2,734,322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4,677,086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3,190,210</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3,795,175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737235</wp:posOffset>
            </wp:positionV>
            <wp:extent cx="1968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Activity</w:t>
      </w:r>
    </w:p>
    <w:p>
      <w:pPr>
        <w:spacing w:after="0" w:line="9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acquisition of Sour Strips in 2024,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 Additionally, we estimated the fair value of the contingent consideration using a Monte Carlo simulation model.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1542415</wp:posOffset>
            </wp:positionV>
            <wp:extent cx="1968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September 28, 2025 and September 29, 2024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Pr>
          <w:p>
            <w:pPr>
              <w:spacing w:after="0"/>
              <w:rPr>
                <w:sz w:val="18"/>
                <w:szCs w:val="18"/>
                <w:color w:val="auto"/>
              </w:rPr>
            </w:pPr>
          </w:p>
        </w:tc>
        <w:tc>
          <w:tcPr>
            <w:tcW w:w="17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nine months ended September 28, 2025 and September 29, 2024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Pr>
          <w:p>
            <w:pPr>
              <w:spacing w:after="0"/>
              <w:rPr>
                <w:sz w:val="18"/>
                <w:szCs w:val="18"/>
                <w:color w:val="auto"/>
              </w:rPr>
            </w:pPr>
          </w:p>
        </w:tc>
        <w:tc>
          <w:tcPr>
            <w:tcW w:w="17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39,159</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lease terms and discount rates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70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pacing w:after="0" w:line="52" w:lineRule="exact"/>
        <w:rPr>
          <w:sz w:val="20"/>
          <w:szCs w:val="20"/>
          <w:color w:val="auto"/>
        </w:rPr>
      </w:pPr>
    </w:p>
    <w:p>
      <w:pPr>
        <w:ind w:left="20"/>
        <w:spacing w:after="0"/>
        <w:tabs>
          <w:tab w:leader="none" w:pos="3540" w:val="left"/>
          <w:tab w:leader="none" w:pos="7540" w:val="left"/>
          <w:tab w:leader="none" w:pos="9600" w:val="left"/>
        </w:tabs>
        <w:rPr>
          <w:sz w:val="20"/>
          <w:szCs w:val="20"/>
          <w:color w:val="auto"/>
        </w:rPr>
      </w:pPr>
      <w:r>
        <w:rPr>
          <w:rFonts w:ascii="Times New Roman" w:cs="Times New Roman" w:eastAsia="Times New Roman" w:hAnsi="Times New Roman"/>
          <w:sz w:val="16"/>
          <w:szCs w:val="16"/>
          <w:b w:val="1"/>
          <w:bCs w:val="1"/>
          <w:color w:val="auto"/>
        </w:rPr>
        <w:t>Leases</w:t>
      </w:r>
      <w:r>
        <w:rPr>
          <w:sz w:val="20"/>
          <w:szCs w:val="20"/>
          <w:color w:val="auto"/>
        </w:rPr>
        <w:tab/>
      </w:r>
      <w:r>
        <w:rPr>
          <w:rFonts w:ascii="Times New Roman" w:cs="Times New Roman" w:eastAsia="Times New Roman" w:hAnsi="Times New Roman"/>
          <w:sz w:val="16"/>
          <w:szCs w:val="16"/>
          <w:b w:val="1"/>
          <w:bCs w:val="1"/>
          <w:color w:val="auto"/>
        </w:rPr>
        <w:t>Classification</w:t>
      </w:r>
      <w:r>
        <w:rPr>
          <w:sz w:val="20"/>
          <w:szCs w:val="20"/>
          <w:color w:val="auto"/>
        </w:rPr>
        <w:tab/>
      </w:r>
      <w:r>
        <w:rPr>
          <w:rFonts w:ascii="Times New Roman" w:cs="Times New Roman" w:eastAsia="Times New Roman" w:hAnsi="Times New Roman"/>
          <w:sz w:val="16"/>
          <w:szCs w:val="16"/>
          <w:b w:val="1"/>
          <w:bCs w:val="1"/>
          <w:color w:val="auto"/>
        </w:rPr>
        <w:t>September 28, 2025</w:t>
      </w:r>
      <w:r>
        <w:rPr>
          <w:sz w:val="20"/>
          <w:szCs w:val="20"/>
          <w:color w:val="auto"/>
        </w:rPr>
        <w:tab/>
      </w: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336,808</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337,739</w:t>
            </w:r>
          </w:p>
        </w:tc>
      </w:tr>
      <w:tr>
        <w:trPr>
          <w:trHeight w:val="49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(26,721)</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(25,515)</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62,484</w:t>
            </w:r>
          </w:p>
        </w:tc>
      </w:tr>
      <w:tr>
        <w:trPr>
          <w:trHeight w:val="265"/>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391,878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400,223</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46,291</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40,636</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304,767</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66,195</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68,136</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415,784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419,205</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7"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our lease liabilities as of September 28, 2025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64,315</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59,150</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36,166</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40,573</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36,866</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227,184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133,646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360,830</w:t>
            </w:r>
          </w:p>
        </w:tc>
      </w:tr>
      <w:tr>
        <w:trPr>
          <w:trHeight w:val="22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156,440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578,880</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76,399</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163,096</w:t>
            </w: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346,041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415,784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2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20" w:type="dxa"/>
            <w:vAlign w:val="bottom"/>
          </w:tcPr>
          <w:p>
            <w:pPr>
              <w:spacing w:after="0"/>
              <w:rPr>
                <w:sz w:val="18"/>
                <w:szCs w:val="18"/>
                <w:color w:val="auto"/>
              </w:rPr>
            </w:pPr>
          </w:p>
        </w:tc>
        <w:tc>
          <w:tcPr>
            <w:tcW w:w="17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7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36,293</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r>
      <w:tr>
        <w:trPr>
          <w:trHeight w:val="229"/>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70"/>
        </w:trPr>
        <w:tc>
          <w:tcPr>
            <w:tcW w:w="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0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70,383</w:t>
            </w:r>
          </w:p>
        </w:tc>
      </w:tr>
      <w:tr>
        <w:trPr>
          <w:trHeight w:val="234"/>
        </w:trPr>
        <w:tc>
          <w:tcPr>
            <w:tcW w:w="2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765"/>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The Hershey Company | Q3 2025 Form 10-Q | Page 18</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$199,575 and $212,928 as of September 28, 2025 and December 31,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Advancing Agility &amp; Automation Initiative</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2, 2024, the Board of Directors of the Company approved a multi-year productivity initiative (“Advancing Agility &amp; Automation Initiative” or "AAA Initiative") to improve supply chain and manufacturing-related spend, optimize selling, general and administrative expenses, leverage new technology and business models to further simplify and automate processes, and generate long-term savings.</w:t>
      </w:r>
    </w:p>
    <w:p>
      <w:pPr>
        <w:spacing w:after="0" w:line="12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$400,000.</w:t>
      </w:r>
    </w:p>
    <w:p>
      <w:pPr>
        <w:spacing w:after="0" w:line="13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Since inception through September 28, 2025, we recognized total costs associated with the AAA Initiative of $169,105. These charges predominantly included employee severance and related separation benefits related to workforce reductions and third-party costs supporting the design and implementation of the new organizational structure, as well as technology capability costs. The costs and related benefits of the AAA Initiative predominantly relates to the North America Confectionery segment and Corporate. However, segment operating results do not include these business realignment expenses because we evaluate segment performance excluding such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1868170</wp:posOffset>
            </wp:positionV>
            <wp:extent cx="1968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business realignment activities are classified in our Consolidated Statements of Income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52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51,569</w:t>
            </w:r>
          </w:p>
        </w:tc>
        <w:tc>
          <w:tcPr>
            <w:tcW w:w="10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104,795</w:t>
            </w:r>
          </w:p>
        </w:tc>
      </w:tr>
      <w:tr>
        <w:trPr>
          <w:trHeight w:val="21"/>
        </w:trPr>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during the nine months ended September 28, 2025 and September 29, 2024 related to these activities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52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Advancing Agility &amp; Automation Initiative:</w:t>
            </w: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51,569</w:t>
            </w:r>
          </w:p>
        </w:tc>
        <w:tc>
          <w:tcPr>
            <w:tcW w:w="10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104,795</w:t>
            </w:r>
          </w:p>
        </w:tc>
      </w:tr>
      <w:tr>
        <w:trPr>
          <w:trHeight w:val="21"/>
        </w:trPr>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liability activity for costs qualifying as exit and disposal costs for the nine months ended September 28,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September 28, 2025 (1)</w:t>
      </w:r>
    </w:p>
    <w:p>
      <w:pPr>
        <w:spacing w:after="0" w:line="185" w:lineRule="exact"/>
        <w:rPr>
          <w:sz w:val="20"/>
          <w:szCs w:val="20"/>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balances reflected above are reported within accrued liabilities and other long-term liabilities.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reflected in the liability roll-forward represent employee-related charges.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w:t>
            </w:r>
          </w:p>
        </w:tc>
      </w:tr>
      <w:tr>
        <w:trPr>
          <w:trHeight w:val="230"/>
        </w:trPr>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r>
      <w:tr>
        <w:trPr>
          <w:trHeight w:val="234"/>
        </w:trPr>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(20,557)</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7" w:lineRule="exact"/>
        <w:rPr>
          <w:sz w:val="20"/>
          <w:szCs w:val="20"/>
          <w:color w:val="auto"/>
        </w:rPr>
      </w:pPr>
    </w:p>
    <w:p>
      <w:pPr>
        <w:sectPr>
          <w:pgSz w:w="11900" w:h="16838" w:orient="portrait"/>
          <w:cols w:equalWidth="0" w:num="2">
            <w:col w:w="8280" w:space="720"/>
            <w:col w:w="2240"/>
          </w:cols>
          <w:pgMar w:left="320" w:top="117"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majority of our taxable income is generated in the United States and taxed at the United States statutory rate of 21%. The effective tax rates for the nine months ended September 28, 2025 and September 29, 2024 were 33.3% and 18.6%, respectively. Relative to the statutory rate, the 2025 effective tax rate was primarily impacted by tax reserves, foreign rate differential and state taxes.</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Switzerland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$15,594 within the next 12 months because of the expiration of statutes of limitations and settlements of tax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527685</wp:posOffset>
            </wp:positionV>
            <wp:extent cx="19685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 Big Beautiful Bill Act</w:t>
      </w:r>
    </w:p>
    <w:p>
      <w:pPr>
        <w:spacing w:after="0" w:line="15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introduces changes to United States tax policy, trade regulations, and federal spending priorities. Key provisions include the extension and modification of tax provisions from the 2017 Tax Cuts and Jobs Act, modification of certain energy-related tax credits and incentives, and timing of deductions related to certain domestic expenses. The OBBBA did not have a material impact on the Company’s consolidated financial statements for the nine months ended September 28,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September 28, 2025 and September 29, 2024 were as follows:</w:t>
      </w:r>
    </w:p>
    <w:p>
      <w:pPr>
        <w:spacing w:after="0" w:line="133" w:lineRule="exact"/>
        <w:rPr>
          <w:sz w:val="20"/>
          <w:szCs w:val="20"/>
          <w:color w:val="auto"/>
        </w:rPr>
      </w:pPr>
    </w:p>
    <w:p>
      <w:pPr>
        <w:ind w:left="5800"/>
        <w:spacing w:after="0"/>
        <w:tabs>
          <w:tab w:leader="none" w:pos="912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21590</wp:posOffset>
            </wp:positionV>
            <wp:extent cx="41059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21590</wp:posOffset>
            </wp:positionV>
            <wp:extent cx="20142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jc w:val="center"/>
        <w:ind w:left="4860"/>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September 28, 2025</w:t>
      </w:r>
      <w:r>
        <w:rPr>
          <w:sz w:val="20"/>
          <w:szCs w:val="20"/>
          <w:color w:val="auto"/>
        </w:rPr>
        <w:tab/>
      </w:r>
      <w:r>
        <w:rPr>
          <w:rFonts w:ascii="Times New Roman" w:cs="Times New Roman" w:eastAsia="Times New Roman" w:hAnsi="Times New Roman"/>
          <w:sz w:val="16"/>
          <w:szCs w:val="16"/>
          <w:b w:val="1"/>
          <w:bCs w:val="1"/>
          <w:color w:val="auto"/>
        </w:rPr>
        <w:t>September 29, 2024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21590</wp:posOffset>
            </wp:positionV>
            <wp:extent cx="20231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6" w:lineRule="exact"/>
        <w:rPr>
          <w:sz w:val="20"/>
          <w:szCs w:val="20"/>
          <w:color w:val="auto"/>
        </w:rPr>
      </w:pPr>
    </w:p>
    <w:p>
      <w:pPr>
        <w:jc w:val="center"/>
        <w:ind w:right="100"/>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September 28, 2025</w:t>
      </w:r>
      <w:r>
        <w:rPr>
          <w:sz w:val="20"/>
          <w:szCs w:val="20"/>
          <w:color w:val="auto"/>
        </w:rPr>
        <w:tab/>
      </w:r>
      <w:r>
        <w:rPr>
          <w:rFonts w:ascii="Times New Roman" w:cs="Times New Roman" w:eastAsia="Times New Roman" w:hAnsi="Times New Roman"/>
          <w:sz w:val="16"/>
          <w:szCs w:val="16"/>
          <w:b w:val="1"/>
          <w:bCs w:val="1"/>
          <w:color w:val="auto"/>
        </w:rPr>
        <w:t>September 29, 2024</w:t>
      </w:r>
    </w:p>
    <w:p>
      <w:pPr>
        <w:spacing w:after="0" w:line="28" w:lineRule="exact"/>
        <w:rPr>
          <w:sz w:val="20"/>
          <w:szCs w:val="20"/>
          <w:color w:val="auto"/>
        </w:rPr>
      </w:pPr>
    </w:p>
    <w:p>
      <w:pPr>
        <w:sectPr>
          <w:pgSz w:w="11900" w:h="16838" w:orient="portrait"/>
          <w:cols w:equalWidth="0" w:num="2">
            <w:col w:w="7860" w:space="28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made contributions of $254 and $3,181 to our pension plans and other benefits plans, respectively, during the third quarter of 2025. In the third quarter of 2024, we made contributions of $1,134 and $3,498 to our pension plans and other benefit plans, respectively. The contributions in 2025 and 2024 also included benefit payments from our non-qualified pension plans and post-retirement benefit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nine months ended September 28, 2025 and September 29, 2024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Other Benefits</w:t>
            </w:r>
          </w:p>
        </w:tc>
        <w:tc>
          <w:tcPr>
            <w:tcW w:w="6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48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made contributions of $1,366 and $8,612 to our pension plans and other benefits plans, respectively, during the first nine months of 2025. In the first nine months of 2024, we made contributions of $2,120 and $7,980 to our pension plans and other benefit plans, respectively. The contributions in 2025 and 2024 also included benefit payments from our non-qualified pension plans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are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2025, we recognized pension settlement charges in The Hershey Retirement Plan for Salaried and Hourly Employees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third quarter 2025 settlements, the related plan assets and liabilities were remeasured using a discount rate as of the remeasurement date that was 43 basis points lower than the rate as of December 31, 2024 and an expected rate of return on plan assets of 6.8%, which was consistent with the rate as of December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2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stock units (“PSUs”) and performance stock;</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Stock appreciation rights;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Restricted stock units (“RSUs”) and restricted stock;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Other stock-based awards.</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3780" w:type="dxa"/>
            <w:vAlign w:val="bottom"/>
            <w:gridSpan w:val="4"/>
          </w:tcPr>
          <w:p>
            <w:pPr>
              <w:jc w:val="right"/>
              <w:ind w:right="12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3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r>
    </w:tbl>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September 28, 2025, total stock-based compensation expense related to non-vested awards not yet recognized was $99,229 and the weighted-average period over which this amount is expected to be recognized was approximately 2.0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September 28, 2025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579,834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(171,857)</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28, 2025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411,667</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 years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28,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402,518</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options granted was $33.91 and $45.95 per share for the periods ended September 28, 2025 and September 29, 2024, respectively. The fair value was estimated on the date of grant using a Black-Scholes option-pricing model and the following weighted-average assumptions: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4640" w:type="dxa"/>
            <w:vAlign w:val="bottom"/>
            <w:tcBorders>
              <w:bottom w:val="single" w:sz="8" w:color="auto"/>
            </w:tcBorders>
            <w:gridSpan w:val="3"/>
          </w:tcPr>
          <w:p>
            <w:pPr>
              <w:jc w:val="right"/>
              <w:ind w:right="153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6"/>
        </w:trPr>
        <w:tc>
          <w:tcPr>
            <w:tcW w:w="6320" w:type="dxa"/>
            <w:vAlign w:val="bottom"/>
          </w:tcPr>
          <w:p>
            <w:pPr>
              <w:spacing w:after="0"/>
              <w:rPr>
                <w:sz w:val="19"/>
                <w:szCs w:val="19"/>
                <w:color w:val="auto"/>
              </w:rPr>
            </w:pP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29, 2024</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$12,265 and $13,327 for the periods ended September 28, 2025 and September 29,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nine months ended September 28, 2025 and September 29, 2024 can range from 0% to 250% of the targeted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276225</wp:posOffset>
            </wp:positionV>
            <wp:extent cx="1968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28, 2025 and September 29, 2024, we awarded RSUs to certain executive officers and other key employees under the EICP. We also awarded RSUs to non-employee directors.</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September 28, 2025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538,803</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643,726</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240,508</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(318,390)</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(110,222)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September 28, 2025</w:t>
            </w:r>
          </w:p>
        </w:tc>
        <w:tc>
          <w:tcPr>
            <w:tcW w:w="164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8"/>
                <w:szCs w:val="18"/>
                <w:color w:val="auto"/>
                <w:w w:val="99"/>
              </w:rPr>
              <w:t>994,426</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weighted average assumptions used to determine the fair value of the market-based total shareholder return component using the Monte Carlo simulation model on the date of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4"/>
          </w:tcPr>
          <w:p>
            <w:pPr>
              <w:jc w:val="right"/>
              <w:ind w:right="165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300" w:type="dxa"/>
            <w:vAlign w:val="bottom"/>
          </w:tcPr>
          <w:p>
            <w:pPr>
              <w:spacing w:after="0"/>
              <w:rPr>
                <w:sz w:val="18"/>
                <w:szCs w:val="18"/>
                <w:color w:val="auto"/>
              </w:rPr>
            </w:pPr>
          </w:p>
        </w:tc>
        <w:tc>
          <w:tcPr>
            <w:tcW w:w="2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32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357,272</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20" w:type="dxa"/>
            <w:vAlign w:val="bottom"/>
          </w:tcPr>
          <w:p>
            <w:pPr>
              <w:spacing w:after="0"/>
              <w:rPr>
                <w:sz w:val="20"/>
                <w:szCs w:val="20"/>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0" w:type="dxa"/>
            <w:vAlign w:val="bottom"/>
          </w:tcPr>
          <w:p>
            <w:pPr>
              <w:spacing w:after="0"/>
              <w:rPr>
                <w:sz w:val="1"/>
                <w:szCs w:val="1"/>
                <w:color w:val="auto"/>
              </w:rPr>
            </w:pPr>
          </w:p>
        </w:tc>
      </w:tr>
      <w:tr>
        <w:trPr>
          <w:trHeight w:val="90"/>
        </w:trPr>
        <w:tc>
          <w:tcPr>
            <w:tcW w:w="63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$12,265 and $90,372 for the periods ended September 28, 2025 and September 29, 2024, respectively.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242,602 units as of September 28, 2025.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568325</wp:posOffset>
            </wp:positionV>
            <wp:extent cx="1968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reports its operations through three segments: (i) North America Confectionery, (ii) North America Salty Snacks and (iii) International. This organizational structure aligns with how our CODM, Kirk Tanner, President and Chief Executive Officer, manages our business, including resource allocation and performance assessment, and further aligns with our product categories and the key markets we serve.</w:t>
      </w:r>
    </w:p>
    <w:p>
      <w:pPr>
        <w:spacing w:after="0" w:line="118" w:lineRule="exact"/>
        <w:rPr>
          <w:sz w:val="20"/>
          <w:szCs w:val="20"/>
          <w:color w:val="auto"/>
        </w:rPr>
      </w:pPr>
    </w:p>
    <w:p>
      <w:pPr>
        <w:ind w:left="660" w:right="120" w:hanging="328"/>
        <w:spacing w:after="0" w:line="259"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25" w:lineRule="exact"/>
        <w:rPr>
          <w:rFonts w:ascii="Times New Roman" w:cs="Times New Roman" w:eastAsia="Times New Roman" w:hAnsi="Times New Roman"/>
          <w:sz w:val="18"/>
          <w:szCs w:val="18"/>
          <w:b w:val="1"/>
          <w:bCs w:val="1"/>
          <w:i w:val="1"/>
          <w:iCs w:val="1"/>
          <w:color w:val="auto"/>
        </w:rPr>
      </w:pPr>
    </w:p>
    <w:p>
      <w:pPr>
        <w:ind w:left="660" w:right="600" w:hanging="328"/>
        <w:spacing w:after="0" w:line="286"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60" w:hanging="328"/>
        <w:spacing w:after="0" w:line="262"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segment reporting purposes, the CODM uses “segment income” to evaluate segment performance and allocate resources, including considering budget-to-actual variances and prior year-to-actual variances on a monthly basis.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Our segment net sales and earnings for the three months ended September 28, 2025 and September 29, 2024 were as follows: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28, 2025</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24"/>
                <w:szCs w:val="2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24"/>
                <w:szCs w:val="24"/>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3,181,418</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 (loss)</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571,475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615,615</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194,705</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gains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10,577</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434,583</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51,474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11,199</w:t>
            </w:r>
          </w:p>
        </w:tc>
        <w:tc>
          <w:tcPr>
            <w:tcW w:w="0" w:type="dxa"/>
            <w:vAlign w:val="bottom"/>
          </w:tcPr>
          <w:p>
            <w:pPr>
              <w:spacing w:after="0"/>
              <w:rPr>
                <w:sz w:val="1"/>
                <w:szCs w:val="1"/>
                <w:color w:val="auto"/>
              </w:rPr>
            </w:pP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29, 2024</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2,987,494</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793,006</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161,796</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gains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0" w:type="dxa"/>
            <w:vAlign w:val="bottom"/>
          </w:tcPr>
          <w:p>
            <w:pPr>
              <w:spacing w:after="0"/>
              <w:rPr>
                <w:sz w:val="1"/>
                <w:szCs w:val="1"/>
                <w:color w:val="auto"/>
              </w:rPr>
            </w:pPr>
          </w:p>
        </w:tc>
      </w:tr>
      <w:tr>
        <w:trPr>
          <w:trHeight w:val="230"/>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49,129</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613,164</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44,316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50,101</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518,747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1960245</wp:posOffset>
            </wp:positionV>
            <wp:extent cx="19685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net sales and earnings for the nine months ended September 28, 2025 and September 29, 2024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28, 2025</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auto"/>
            </w:tcBorders>
            <w:gridSpan w:val="8"/>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8,601,555</w:t>
            </w:r>
          </w:p>
        </w:tc>
        <w:tc>
          <w:tcPr>
            <w:tcW w:w="0" w:type="dxa"/>
            <w:vAlign w:val="bottom"/>
          </w:tcPr>
          <w:p>
            <w:pPr>
              <w:spacing w:after="0"/>
              <w:rPr>
                <w:sz w:val="1"/>
                <w:szCs w:val="1"/>
                <w:color w:val="auto"/>
              </w:rPr>
            </w:pPr>
          </w:p>
        </w:tc>
      </w:tr>
      <w:tr>
        <w:trPr>
          <w:trHeight w:val="230"/>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1,771,780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166,080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1,972,774</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536,659</w:t>
            </w:r>
          </w:p>
        </w:tc>
        <w:tc>
          <w:tcPr>
            <w:tcW w:w="0" w:type="dxa"/>
            <w:vAlign w:val="bottom"/>
          </w:tcPr>
          <w:p>
            <w:pPr>
              <w:spacing w:after="0"/>
              <w:rPr>
                <w:sz w:val="1"/>
                <w:szCs w:val="1"/>
                <w:color w:val="auto"/>
              </w:rPr>
            </w:pPr>
          </w:p>
        </w:tc>
      </w:tr>
      <w:tr>
        <w:trPr>
          <w:trHeight w:val="230"/>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387,932</w:t>
            </w: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51,568</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996,615</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142,131</w:t>
            </w:r>
          </w:p>
        </w:tc>
        <w:tc>
          <w:tcPr>
            <w:tcW w:w="0" w:type="dxa"/>
            <w:vAlign w:val="bottom"/>
          </w:tcPr>
          <w:p>
            <w:pPr>
              <w:spacing w:after="0"/>
              <w:rPr>
                <w:sz w:val="1"/>
                <w:szCs w:val="1"/>
                <w:color w:val="auto"/>
              </w:rPr>
            </w:pPr>
          </w:p>
        </w:tc>
      </w:tr>
      <w:tr>
        <w:trPr>
          <w:trHeight w:val="21"/>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9,808</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844,676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29, 2024</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8,314,723</w:t>
            </w:r>
          </w:p>
        </w:tc>
        <w:tc>
          <w:tcPr>
            <w:tcW w:w="0" w:type="dxa"/>
            <w:vAlign w:val="bottom"/>
          </w:tcPr>
          <w:p>
            <w:pPr>
              <w:spacing w:after="0"/>
              <w:rPr>
                <w:sz w:val="1"/>
                <w:szCs w:val="1"/>
                <w:color w:val="auto"/>
              </w:rPr>
            </w:pPr>
          </w:p>
        </w:tc>
      </w:tr>
      <w:tr>
        <w:trPr>
          <w:trHeight w:val="230"/>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2,137,514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144,887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2,364,368</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496,215</w:t>
            </w:r>
          </w:p>
        </w:tc>
        <w:tc>
          <w:tcPr>
            <w:tcW w:w="0" w:type="dxa"/>
            <w:vAlign w:val="bottom"/>
          </w:tcPr>
          <w:p>
            <w:pPr>
              <w:spacing w:after="0"/>
              <w:rPr>
                <w:sz w:val="1"/>
                <w:szCs w:val="1"/>
                <w:color w:val="auto"/>
              </w:rPr>
            </w:pPr>
          </w:p>
        </w:tc>
      </w:tr>
      <w:tr>
        <w:trPr>
          <w:trHeight w:val="230"/>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gains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(195,727)</w:t>
            </w: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104,795</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1,959,085</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125,511</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82,695</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1,750,879</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476885</wp:posOffset>
            </wp:positionV>
            <wp:extent cx="1968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adjustment for commodity derivatives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0" w:type="dxa"/>
            <w:vAlign w:val="bottom"/>
          </w:tcPr>
          <w:p>
            <w:pPr>
              <w:spacing w:after="0"/>
              <w:rPr>
                <w:sz w:val="1"/>
                <w:szCs w:val="1"/>
                <w:color w:val="auto"/>
              </w:rPr>
            </w:pPr>
          </w:p>
        </w:tc>
      </w:tr>
      <w:tr>
        <w:trPr>
          <w:trHeight w:val="157"/>
        </w:trPr>
        <w:tc>
          <w:tcPr>
            <w:tcW w:w="49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(gains) losses on mark-to-market valuation of commodity</w:t>
            </w:r>
          </w:p>
        </w:tc>
        <w:tc>
          <w:tcPr>
            <w:tcW w:w="4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positions recognized in income</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(191,734)</w:t>
            </w: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gains (losses) on commodity derivative positions reclassified</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from unallocated to segment income</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335,275</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(gains) losses on mark-to-market valuation of commodity</w:t>
            </w: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 positions recognized in unallocated derivative (gains)</w:t>
            </w:r>
          </w:p>
        </w:tc>
        <w:tc>
          <w:tcPr>
            <w:tcW w:w="460" w:type="dxa"/>
            <w:vAlign w:val="bottom"/>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387,932</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(195,727)</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28, 2025, the cumulative amount of mark-to-market gains on commodity derivatives that have been recognized in our consolidated cost of sales and not yet allocated to reportable segments was $22,299. Based on our forecasts of the timing of the recognition of the underlying hedged items, we expect to reclassify net pre-tax gains on commodity derivatives of $100,866 to segment operating results in the next twelve months.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60" w:type="dxa"/>
            <w:vAlign w:val="bottom"/>
            <w:tcBorders>
              <w:bottom w:val="single" w:sz="8" w:color="auto"/>
            </w:tcBorders>
          </w:tcPr>
          <w:p>
            <w:pPr>
              <w:spacing w:after="0"/>
              <w:rPr>
                <w:sz w:val="18"/>
                <w:szCs w:val="18"/>
                <w:color w:val="auto"/>
              </w:rPr>
            </w:pPr>
          </w:p>
        </w:tc>
      </w:tr>
      <w:tr>
        <w:trPr>
          <w:trHeight w:val="211"/>
        </w:trPr>
        <w:tc>
          <w:tcPr>
            <w:tcW w:w="490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78,752</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221,311</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191,210</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59,475</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62,288</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371,180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331,440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disaggregated by geographical region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2,799,716</w:t>
            </w:r>
          </w:p>
        </w:tc>
        <w:tc>
          <w:tcPr>
            <w:tcW w:w="10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2,640,336</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7,552,700</w:t>
            </w:r>
          </w:p>
        </w:tc>
        <w:tc>
          <w:tcPr>
            <w:tcW w:w="100" w:type="dxa"/>
            <w:vAlign w:val="bottom"/>
          </w:tcPr>
          <w:p>
            <w:pPr>
              <w:spacing w:after="0"/>
              <w:rPr>
                <w:sz w:val="19"/>
                <w:szCs w:val="19"/>
                <w:color w:val="auto"/>
              </w:rPr>
            </w:pPr>
          </w:p>
        </w:tc>
        <w:tc>
          <w:tcPr>
            <w:tcW w:w="68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7,273,235</w:t>
            </w: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2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381,702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1,048,855</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1,041,488</w:t>
            </w:r>
          </w:p>
        </w:tc>
      </w:tr>
      <w:tr>
        <w:trPr>
          <w:trHeight w:val="223"/>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3,181,418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2,987,494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8,601,555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8,314,723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380" w:type="dxa"/>
            <w:vAlign w:val="bottom"/>
            <w:gridSpan w:val="7"/>
          </w:tcPr>
          <w:p>
            <w:pPr>
              <w:ind w:left="1120"/>
              <w:spacing w:after="0"/>
              <w:rPr>
                <w:sz w:val="20"/>
                <w:szCs w:val="20"/>
                <w:color w:val="auto"/>
              </w:rPr>
            </w:pPr>
            <w:r>
              <w:rPr>
                <w:rFonts w:ascii="Times New Roman" w:cs="Times New Roman" w:eastAsia="Times New Roman" w:hAnsi="Times New Roman"/>
                <w:sz w:val="16"/>
                <w:szCs w:val="16"/>
                <w:color w:val="auto"/>
              </w:rPr>
              <w:t>The Hershey Company | Q3 2025 Form 10-Q | Page 28</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p>
      <w:pPr>
        <w:spacing w:after="0" w:line="4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Nine Months Ended September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19685</wp:posOffset>
            </wp:positionV>
            <wp:extent cx="27514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ind w:left="7700"/>
        <w:spacing w:after="0"/>
        <w:tabs>
          <w:tab w:leader="none" w:pos="988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19685</wp:posOffset>
            </wp:positionV>
            <wp:extent cx="27514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0" w:lineRule="exact"/>
        <w:rPr>
          <w:sz w:val="20"/>
          <w:szCs w:val="20"/>
          <w:color w:val="auto"/>
        </w:rPr>
      </w:pPr>
    </w:p>
    <w:p>
      <w:pPr>
        <w:ind w:left="20"/>
        <w:spacing w:after="0"/>
        <w:tabs>
          <w:tab w:leader="none" w:pos="8280" w:val="left"/>
          <w:tab w:leader="none" w:pos="10580" w:val="left"/>
        </w:tabs>
        <w:rPr>
          <w:sz w:val="20"/>
          <w:szCs w:val="20"/>
          <w:color w:val="auto"/>
        </w:rPr>
      </w:pPr>
      <w:r>
        <w:rPr>
          <w:rFonts w:ascii="Times New Roman" w:cs="Times New Roman" w:eastAsia="Times New Roman" w:hAnsi="Times New Roman"/>
          <w:sz w:val="18"/>
          <w:szCs w:val="18"/>
          <w:color w:val="auto"/>
        </w:rPr>
        <w:t>Shares issued for stock options and incentive compensation</w:t>
      </w:r>
      <w:r>
        <w:rPr>
          <w:sz w:val="20"/>
          <w:szCs w:val="20"/>
          <w:color w:val="auto"/>
        </w:rPr>
        <w:tab/>
      </w:r>
      <w:r>
        <w:rPr>
          <w:rFonts w:ascii="Times New Roman" w:cs="Times New Roman" w:eastAsia="Times New Roman" w:hAnsi="Times New Roman"/>
          <w:sz w:val="18"/>
          <w:szCs w:val="18"/>
          <w:color w:val="auto"/>
        </w:rPr>
        <w:t>(394,525)  $</w:t>
      </w:r>
      <w:r>
        <w:rPr>
          <w:sz w:val="20"/>
          <w:szCs w:val="20"/>
          <w:color w:val="auto"/>
        </w:rPr>
        <w:tab/>
      </w:r>
      <w:r>
        <w:rPr>
          <w:rFonts w:ascii="Times New Roman" w:cs="Times New Roman" w:eastAsia="Times New Roman" w:hAnsi="Times New Roman"/>
          <w:sz w:val="18"/>
          <w:szCs w:val="18"/>
          <w:color w:val="auto"/>
        </w:rPr>
        <w:t>(16,416)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633730</wp:posOffset>
            </wp:positionV>
            <wp:extent cx="19685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3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67,993</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44,192</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207,026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69,294</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334,116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112,185</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112,078</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September 28, 2025 and September 29, 2024 excluded 12 and 12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585470</wp:posOffset>
            </wp:positionV>
            <wp:extent cx="19685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40" w:type="dxa"/>
            <w:vAlign w:val="bottom"/>
          </w:tcPr>
          <w:p>
            <w:pPr>
              <w:spacing w:after="0"/>
              <w:rPr>
                <w:sz w:val="18"/>
                <w:szCs w:val="18"/>
                <w:color w:val="auto"/>
              </w:rPr>
            </w:pPr>
          </w:p>
        </w:tc>
        <w:tc>
          <w:tcPr>
            <w:tcW w:w="21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203,981</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(62,886)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457,433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152,906</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356,887</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422,147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141,095</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1,067,761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356,887</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141,230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1,424,648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356,469</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nine months ended September 28, 2025 and September 29, 2024 excluded 27 and 13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25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66"/>
        </w:trPr>
        <w:tc>
          <w:tcPr>
            <w:tcW w:w="4740" w:type="dxa"/>
            <w:vAlign w:val="bottom"/>
            <w:tcBorders>
              <w:top w:val="single" w:sz="8" w:color="CCEEFF"/>
            </w:tcBorders>
            <w:gridSpan w:val="5"/>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Write-down of equity investments in partnerships qualifying for</w:t>
            </w:r>
          </w:p>
        </w:tc>
        <w:tc>
          <w:tcPr>
            <w:tcW w:w="4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r>
      <w:tr>
        <w:trPr>
          <w:trHeight w:val="194"/>
        </w:trPr>
        <w:tc>
          <w:tcPr>
            <w:tcW w:w="474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historic and renewable energy tax credits (see </w:t>
            </w:r>
            <w:r>
              <w:rPr>
                <w:rFonts w:ascii="Times New Roman" w:cs="Times New Roman" w:eastAsia="Times New Roman" w:hAnsi="Times New Roman"/>
                <w:sz w:val="18"/>
                <w:szCs w:val="18"/>
                <w:color w:val="0000FF"/>
              </w:rPr>
              <w:t>Note 8</w:t>
            </w: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3"/>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3"/>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49,626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13"/>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3"/>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81,017</w:t>
            </w:r>
          </w:p>
        </w:tc>
      </w:tr>
      <w:tr>
        <w:trPr>
          <w:trHeight w:val="21"/>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474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474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to pension and other post-retirement 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48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11,938</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14,575</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1,852</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9"/>
        </w:trPr>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4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82,695</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BALANCE SHEET INFORMATION</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7"/>
        </w:trPr>
        <w:tc>
          <w:tcPr>
            <w:tcW w:w="6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477,592</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Goods in process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204,674</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990,785</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at First In First Out</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1,673,051</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 to Last In First Out</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(418,957)</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269,792</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704,423</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974,215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5"/>
        </w:trPr>
        <w:tc>
          <w:tcPr>
            <w:tcW w:w="6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194,502</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1,991,937</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4,147,530</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478,842</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6,812,811</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(3,549,450)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(3,353,958)</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3,458,853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41,298</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347,570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367,087</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337,739</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212,928</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1,111,867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September 28, 2025</w:t>
      </w:r>
      <w:r>
        <w:rPr>
          <w:sz w:val="20"/>
          <w:szCs w:val="20"/>
          <w:color w:val="auto"/>
        </w:rPr>
        <w:tab/>
      </w: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 hedges,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803,839</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807,918</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215,122</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198,539</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136,137</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1,459,680</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1,159,177</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265,045</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226,774</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359,986</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40,636</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211,786</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179,945</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952,330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807,341</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82,109</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87,006</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304,767</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225,637</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262,649</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639,160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688,259</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(148,386)</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(177,741)</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(122,098)</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(250,024)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(303,890)</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-3316605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-1036955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540385</wp:posOffset>
            </wp:positionV>
            <wp:extent cx="1968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35" w:name="page36"/>
    <w:bookmarkEnd w:id="35"/>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September 28, 2025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2024 Annual Report on Form 10-K for information concerning the key risks to achieving future performance goals.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70 countries worldwide.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31, 2025, we entered into a Merger Agreement to acquire LesserEvil, LLC, a privately held company that produces and sells organic popcorn and puffed snack products to retailers and distributors in the United States and Canada, which complements Hershey’s existing product portfolio. The Company expects the acquisition to close by the end of 2025, pending the expiration or termination of the applicable waiting period under the Hart-Scott-Rodino Antitrust Improvements Act of 1976 and satisfaction of other customary closing conditions.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 an emerging sour candy brand and is available in a wide range of food distribution channels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259715</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Throughout the first nine months of 2025, we experienced net sales growth, positive changes in consumer behavior, and price inelasticity despite the persistent dynamic macroeconomic environment. However, increasing inflationary pressures, including ongoing price volatility for select commodities and higher manufacturing costs, continued to challenge the business and led to a decrease in net income. Despite a strategic pricing action in the third quarter combined with other specific actions taken to mitigate the gross margin pressures, our direct product inputs continue to be the primary incremental cost to our business (see </w:t>
      </w:r>
      <w:r>
        <w:rPr>
          <w:rFonts w:ascii="Times New Roman" w:cs="Times New Roman" w:eastAsia="Times New Roman" w:hAnsi="Times New Roman"/>
          <w:sz w:val="18"/>
          <w:szCs w:val="18"/>
          <w:u w:val="single" w:color="auto"/>
          <w:color w:val="0000FF"/>
        </w:rPr>
        <w:t>Consolidated Results of Operations</w:t>
      </w:r>
      <w:r>
        <w:rPr>
          <w:rFonts w:ascii="Times New Roman" w:cs="Times New Roman" w:eastAsia="Times New Roman" w:hAnsi="Times New Roman"/>
          <w:sz w:val="18"/>
          <w:szCs w:val="18"/>
          <w:color w:val="auto"/>
        </w:rPr>
        <w:t xml:space="preserve"> included in this MD&amp;A). We utilize many exchange traded commodities for our business that are subject to price volatility, specifically cocoa products, which continued to experience elevated market prices compared to historical levels (see </w:t>
      </w:r>
      <w:r>
        <w:rPr>
          <w:rFonts w:ascii="Times New Roman" w:cs="Times New Roman" w:eastAsia="Times New Roman" w:hAnsi="Times New Roman"/>
          <w:sz w:val="18"/>
          <w:szCs w:val="18"/>
          <w:u w:val="single" w:color="auto"/>
          <w:color w:val="0000FF"/>
        </w:rPr>
        <w:t>Part I,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3 - Quantitative and Qualitative 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Furthermore, changes in global trade policies, including tariffs on U.S. imports, continue to increase global economic and political uncertainty. We are continuing to monitor the ongoing negotiations related to tariffs, specifically, goods imported into the U.S. from Canada, Mexico and other countries, as well as export markets, in which we have significant business operations, all of which may result in material adverse effects on our results of operations. The scope and length of tariffs, including their effects on the broader economy and our business, remain uncertain. These outcomes may be influenced by factors such as continued U.S. negotiations with impacted countries, retaliatory measures from other nations, possible tariff exemptions, public sentiment toward U.S. products and companies, and the domestic availability of lower-cost alternatives. We expect tariff expense to negatively impact our full year results.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leadership changes at the U.S. Department of Health and Human Services and the U.S. Food and Drug Administration (“FDA”) earlier in 2025, as well as the Make America Healthy Again movement, subject the food industry to increasing laws and regulations, including nutrition, food date labeling and traceability recordkeeping requirements, as well as changes in consumer expectations and behavior. For example, in April 2025 the FDA announced that it would be phasing out the approved use of petroleum-based synthetic dyes in food products. Therefore, in an effort to be responsive to the evolving regulatory environment and to ensure consumers have options to fit their lifestyle while maintaining trust and confidence in our products, we announced our decision to remove all certified Food, Drug &amp; Cosmetic colors from our great tasting snacks by the end of 2027. The estimated costs associated with this removal are not expected to have a material impact on our financial position, results of operations or liquidity.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28, 2025,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Capital Resources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the length and severity of the fluctuating macroeconomic environment, including price volatility for our commodities, the possibility of a recession, changes in consumer shopping and consumption behavior, and changes in geopolitical events, including the imposition of tariffs and retaliatory tariffs, we may continue to experience increasing supply chain costs, higher inflation and other impacts to our business. We will continue to evaluate the nature and extent of these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4"/>
                <w:szCs w:val="14"/>
                <w:color w:val="auto"/>
              </w:rPr>
            </w:pPr>
          </w:p>
        </w:tc>
        <w:tc>
          <w:tcPr>
            <w:tcW w:w="1140" w:type="dxa"/>
            <w:vAlign w:val="bottom"/>
          </w:tcPr>
          <w:p>
            <w:pPr>
              <w:jc w:val="right"/>
              <w:ind w:right="39"/>
              <w:spacing w:after="0" w:line="161"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20" w:type="dxa"/>
            <w:vAlign w:val="bottom"/>
          </w:tcPr>
          <w:p>
            <w:pPr>
              <w:spacing w:after="0"/>
              <w:rPr>
                <w:sz w:val="14"/>
                <w:szCs w:val="14"/>
                <w:color w:val="auto"/>
              </w:rPr>
            </w:pPr>
          </w:p>
        </w:tc>
        <w:tc>
          <w:tcPr>
            <w:tcW w:w="1040" w:type="dxa"/>
            <w:vAlign w:val="bottom"/>
            <w:gridSpan w:val="2"/>
          </w:tcPr>
          <w:p>
            <w:pPr>
              <w:ind w:left="200"/>
              <w:spacing w:after="0" w:line="16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Pr>
          <w:p>
            <w:pPr>
              <w:spacing w:after="0"/>
              <w:rPr>
                <w:sz w:val="14"/>
                <w:szCs w:val="14"/>
                <w:color w:val="auto"/>
              </w:rPr>
            </w:pPr>
          </w:p>
        </w:tc>
        <w:tc>
          <w:tcPr>
            <w:tcW w:w="12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4"/>
                <w:szCs w:val="14"/>
                <w:color w:val="auto"/>
              </w:rPr>
            </w:pPr>
          </w:p>
        </w:tc>
        <w:tc>
          <w:tcPr>
            <w:tcW w:w="1160" w:type="dxa"/>
            <w:vAlign w:val="bottom"/>
          </w:tcPr>
          <w:p>
            <w:pPr>
              <w:jc w:val="right"/>
              <w:ind w:right="59"/>
              <w:spacing w:after="0" w:line="161"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4"/>
                <w:szCs w:val="14"/>
                <w:color w:val="auto"/>
              </w:rPr>
            </w:pPr>
          </w:p>
        </w:tc>
        <w:tc>
          <w:tcPr>
            <w:tcW w:w="960" w:type="dxa"/>
            <w:vAlign w:val="bottom"/>
          </w:tcPr>
          <w:p>
            <w:pPr>
              <w:jc w:val="right"/>
              <w:ind w:right="139"/>
              <w:spacing w:after="0" w:line="16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4"/>
        </w:trPr>
        <w:tc>
          <w:tcPr>
            <w:tcW w:w="3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61"/>
        </w:trPr>
        <w:tc>
          <w:tcPr>
            <w:tcW w:w="354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8,314.7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2,144.1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1,754.8</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5,823.7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4,572.2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1,037.3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3,742.5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8"/>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20" w:type="dxa"/>
            <w:vAlign w:val="bottom"/>
          </w:tcPr>
          <w:p>
            <w:pPr>
              <w:spacing w:after="0"/>
              <w:rPr>
                <w:sz w:val="18"/>
                <w:szCs w:val="18"/>
                <w:color w:val="auto"/>
              </w:rPr>
            </w:pPr>
          </w:p>
        </w:tc>
        <w:tc>
          <w:tcPr>
            <w:tcW w:w="1140" w:type="dxa"/>
            <w:vAlign w:val="bottom"/>
          </w:tcPr>
          <w:p>
            <w:pPr>
              <w:jc w:val="center"/>
              <w:ind w:left="559"/>
              <w:spacing w:after="0"/>
              <w:rPr>
                <w:sz w:val="20"/>
                <w:szCs w:val="20"/>
                <w:color w:val="auto"/>
              </w:rPr>
            </w:pPr>
            <w:r>
              <w:rPr>
                <w:rFonts w:ascii="Times New Roman" w:cs="Times New Roman" w:eastAsia="Times New Roman" w:hAnsi="Times New Roman"/>
                <w:sz w:val="16"/>
                <w:szCs w:val="16"/>
                <w:i w:val="1"/>
                <w:iCs w:val="1"/>
                <w:color w:val="auto"/>
              </w:rPr>
              <w:t>32.6 %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559"/>
              <w:spacing w:after="0"/>
              <w:rPr>
                <w:sz w:val="20"/>
                <w:szCs w:val="20"/>
                <w:color w:val="auto"/>
              </w:rPr>
            </w:pPr>
            <w:r>
              <w:rPr>
                <w:rFonts w:ascii="Times New Roman" w:cs="Times New Roman" w:eastAsia="Times New Roman" w:hAnsi="Times New Roman"/>
                <w:sz w:val="16"/>
                <w:szCs w:val="16"/>
                <w:i w:val="1"/>
                <w:iCs w:val="1"/>
                <w:color w:val="auto"/>
              </w:rPr>
              <w:t>41.3 %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32.3 %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579"/>
              <w:spacing w:after="0"/>
              <w:rPr>
                <w:sz w:val="20"/>
                <w:szCs w:val="20"/>
                <w:color w:val="auto"/>
              </w:rPr>
            </w:pPr>
            <w:r>
              <w:rPr>
                <w:rFonts w:ascii="Times New Roman" w:cs="Times New Roman" w:eastAsia="Times New Roman" w:hAnsi="Times New Roman"/>
                <w:sz w:val="16"/>
                <w:szCs w:val="16"/>
                <w:i w:val="1"/>
                <w:iCs w:val="1"/>
                <w:color w:val="auto"/>
              </w:rPr>
              <w:t>45.0 %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540" w:type="dxa"/>
            <w:vAlign w:val="bottom"/>
            <w:shd w:val="clear" w:color="auto" w:fill="CCEEFF"/>
          </w:tcPr>
          <w:p>
            <w:pPr>
              <w:ind w:left="60"/>
              <w:spacing w:after="0" w:line="164" w:lineRule="exact"/>
              <w:rPr>
                <w:sz w:val="20"/>
                <w:szCs w:val="20"/>
                <w:color w:val="auto"/>
              </w:rPr>
            </w:pPr>
            <w:r>
              <w:rPr>
                <w:rFonts w:ascii="Times New Roman" w:cs="Times New Roman" w:eastAsia="Times New Roman" w:hAnsi="Times New Roman"/>
                <w:sz w:val="16"/>
                <w:szCs w:val="16"/>
                <w:color w:val="auto"/>
              </w:rPr>
              <w:t>Selling, marketing &amp; administrative (“SM&amp;A”)</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591.9</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1,750.9</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120" w:type="dxa"/>
            <w:vAlign w:val="bottom"/>
          </w:tcPr>
          <w:p>
            <w:pPr>
              <w:spacing w:after="0"/>
              <w:rPr>
                <w:sz w:val="18"/>
                <w:szCs w:val="18"/>
                <w:color w:val="auto"/>
              </w:rPr>
            </w:pPr>
          </w:p>
        </w:tc>
        <w:tc>
          <w:tcPr>
            <w:tcW w:w="1140" w:type="dxa"/>
            <w:vAlign w:val="bottom"/>
          </w:tcPr>
          <w:p>
            <w:pPr>
              <w:jc w:val="center"/>
              <w:ind w:left="559"/>
              <w:spacing w:after="0"/>
              <w:rPr>
                <w:sz w:val="20"/>
                <w:szCs w:val="20"/>
                <w:color w:val="auto"/>
              </w:rPr>
            </w:pPr>
            <w:r>
              <w:rPr>
                <w:rFonts w:ascii="Times New Roman" w:cs="Times New Roman" w:eastAsia="Times New Roman" w:hAnsi="Times New Roman"/>
                <w:sz w:val="16"/>
                <w:szCs w:val="16"/>
                <w:i w:val="1"/>
                <w:iCs w:val="1"/>
                <w:color w:val="auto"/>
              </w:rPr>
              <w:t>18.9 %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559"/>
              <w:spacing w:after="0"/>
              <w:rPr>
                <w:sz w:val="20"/>
                <w:szCs w:val="20"/>
                <w:color w:val="auto"/>
              </w:rPr>
            </w:pPr>
            <w:r>
              <w:rPr>
                <w:rFonts w:ascii="Times New Roman" w:cs="Times New Roman" w:eastAsia="Times New Roman" w:hAnsi="Times New Roman"/>
                <w:sz w:val="16"/>
                <w:szCs w:val="16"/>
                <w:i w:val="1"/>
                <w:iCs w:val="1"/>
                <w:color w:val="auto"/>
              </w:rPr>
              <w:t>19.8 %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579"/>
              <w:spacing w:after="0"/>
              <w:rPr>
                <w:sz w:val="20"/>
                <w:szCs w:val="20"/>
                <w:color w:val="auto"/>
              </w:rPr>
            </w:pPr>
            <w:r>
              <w:rPr>
                <w:rFonts w:ascii="Times New Roman" w:cs="Times New Roman" w:eastAsia="Times New Roman" w:hAnsi="Times New Roman"/>
                <w:sz w:val="16"/>
                <w:szCs w:val="16"/>
                <w:i w:val="1"/>
                <w:iCs w:val="1"/>
                <w:color w:val="auto"/>
              </w:rPr>
              <w:t>21.1 %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Business realignment activities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i w:val="1"/>
                <w:iCs w:val="1"/>
                <w:color w:val="auto"/>
              </w:rPr>
              <w:t>13.7 %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i w:val="1"/>
                <w:iCs w:val="1"/>
                <w:color w:val="auto"/>
              </w:rPr>
              <w:t>20.5 %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i w:val="1"/>
                <w:iCs w:val="1"/>
                <w:color w:val="auto"/>
              </w:rPr>
              <w:t>23.6 %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326.2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14.0%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2.20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7.00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Percentage changes may not compute directly as shown due to rounding of amounts presented above.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2025 vs. Third Quarter 2024</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18"/>
          <w:szCs w:val="18"/>
          <w:color w:val="auto"/>
        </w:rPr>
        <w:t>Net sales were $3,181.4 million in the third quarter of 2025 compared to $2,987.5 million in the same period of 2024, an increase of $193.9 million, or 6.5%. The net sales increase reflects a favorable price realization of approximately 6% primarily related to pricing actions within the North America Confectionery and International segments. Volume was slightly positive, driven by strong results in North America Salty Snacks and the timing of shipments in the International segment, partially offset by price elasticity impacts within the North America Confectionery segment. Additionally, the 2024 acquisition of Sour Strips contributed a minimal benefit and there was no impact from foreign currency exchange rates.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18"/>
          <w:szCs w:val="18"/>
          <w:color w:val="auto"/>
        </w:rPr>
        <w:t>The U.S. candy, mint and gum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129" w:lineRule="exact"/>
        <w:rPr>
          <w:sz w:val="20"/>
          <w:szCs w:val="20"/>
          <w:color w:val="auto"/>
        </w:rPr>
      </w:pPr>
    </w:p>
    <w:p>
      <w:pPr>
        <w:ind w:left="40" w:right="120"/>
        <w:spacing w:after="0" w:line="261" w:lineRule="auto"/>
        <w:rPr>
          <w:sz w:val="20"/>
          <w:szCs w:val="20"/>
          <w:color w:val="auto"/>
        </w:rPr>
      </w:pPr>
      <w:r>
        <w:rPr>
          <w:rFonts w:ascii="Times New Roman" w:cs="Times New Roman" w:eastAsia="Times New Roman" w:hAnsi="Times New Roman"/>
          <w:sz w:val="18"/>
          <w:szCs w:val="18"/>
          <w:color w:val="auto"/>
        </w:rPr>
        <w:t>For the third quarter of 2025, our total U.S. retail takeaway increased 6.3% in the expanded multi-outlet combined plus convenience store channels (Circana MULO + C-Stores), which includes candy, mint, gum, salty snacks and grocery items. Our CMG consumer takeaway increased 5.4%, despite a CMG market share decrease of 4 basis points. Our Salty consumer takeaway increased 14.2% in the third quarter of 2025 and experienced a Salty market share increase of 48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520065</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280" w:top="125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Cost of sales were $2,144.1 million in the third quarter 2025 compared to $1,754.8 million in the same period of 2024, an increase of $389.3 million, or 22.2%. The increase was driven by higher costs, primarily due to unfavorable commodity costs from cocoa and tariffs. Mark-to-market activity on our commodity derivative instruments intended to economically hedge future years’ commodity purchases contributed a minimal impact (See </w:t>
      </w:r>
      <w:r>
        <w:rPr>
          <w:rFonts w:ascii="Times New Roman" w:cs="Times New Roman" w:eastAsia="Times New Roman" w:hAnsi="Times New Roman"/>
          <w:sz w:val="18"/>
          <w:szCs w:val="18"/>
          <w:u w:val="single" w:color="auto"/>
          <w:color w:val="0000FF"/>
        </w:rPr>
        <w:t>Part I, Item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Quantitative and Qualitative 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 for more information).</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Gross margin was 32.6% in the third quarter of 2025 compared to 41.3% in the same period of 2024, a decrease of 870 basis points. The decrease was driven by unfavorable commodity and tariff costs and unfavorable mix, partially offset by net price realization, supply chain productivity and net savings related to our AAA Initiative.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SM&amp;A expenses were $600.5 million in the third quarter of 2025 compared to $591.9 million in the same period of 2024, an increase of $8.6 million, or 1.5%. Total advertising and related consumer marketing expenses decreased 5.0%, driven primarily by efficiencies in the North America Confectionery segment. SM&amp;A expenses, excluding advertising and related consumer marketing, increased 5.0% in the third quarter of 2025, driven by higher compensation and consulting costs, partially offset by net savings related to our AAA Initiative.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9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$2.2 million during the third quarter of 2025 versus $27.6 million in the third quarter of 2024. The costs related to the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profit was $434.6 million in the third quarter of 2025 compared to $613.2 million in the same period of 2024, a decrease of $178.6 million, or 29.1%. The decrease was primarily due to lower gross profit and higher SM&amp;A expenses, partially offset by lower business realignment expenses, as noted above. Operating profit margin decreased to 13.7% in 2025 from 20.5% in 2024, driven by the same factors noted above that resulted in lower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interest expense was $51.5 million in the third quarter of 2025 compared to $44.3 million in the same period of 2024, an increase of $7.2 million, or 16.2%. The increase was primarily due to higher long-term debt balances in 2025, driven by the February 2025 debt issuance, versus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expense, net was $11.2 million in the third quarter of 2025 versus $50.1 million in the third quarter of 2024, a net decrease of $38.9 million, or 77.6%. The decrease in net expense was predominantly driven by no write-downs on equity investments qualifying for tax credits in the third quarter of 2025 versus $49.6 million of write-downs on equity investments qualifying for tax credits in the third quarter of 2024, partially offset by an increase of $11.3 million of non-service cost components of net periodic benefit cost relating to pension and other post-retirement benefit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25.7% for the third quarter of 2025 compared with 14.0% for the third quarter of 2024. Relative to the 21% statutory rate, the 2025 effective tax rate was primarily impacted by state taxes and tax reserves, partially offset by foreign rate differential. Relative to the 21% statutory rate, the 2024 effective tax rate was primarily impacted by investment tax credits, partially offset by state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9" w:name="page40"/>
    <w:bookmarkEnd w:id="39"/>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108"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Net income was $276.3 million in the third quarter of 2025 compared to $446.3 million in the same period of 2024, a decrease of $170.0 million, or 38.1%. EPS-diluted was $1.36 in the third quarter of 2025 compared to $2.20 in the third quarter of 2024, a decrease of $0.84, or 38.2%. The decrease in both net income and EPS-diluted was driven by lower gross profit, higher SM&amp;A expenses, higher interest expense, and higher income taxes, partially offset by lower business realignment costs and lower other expenses.</w:t>
      </w:r>
    </w:p>
    <w:p>
      <w:pPr>
        <w:spacing w:after="0" w:line="203" w:lineRule="exact"/>
        <w:rPr>
          <w:sz w:val="20"/>
          <w:szCs w:val="20"/>
          <w:color w:val="auto"/>
        </w:rPr>
      </w:pPr>
    </w:p>
    <w:p>
      <w:pPr>
        <w:ind w:left="40" w:right="5460"/>
        <w:spacing w:after="0" w:line="40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Results of Operations - First Nine Months 2025 vs. First Nine Months 2024 </w:t>
      </w:r>
      <w:r>
        <w:rPr>
          <w:rFonts w:ascii="Times New Roman" w:cs="Times New Roman" w:eastAsia="Times New Roman" w:hAnsi="Times New Roman"/>
          <w:sz w:val="18"/>
          <w:szCs w:val="18"/>
          <w:b w:val="1"/>
          <w:bCs w:val="1"/>
          <w:color w:val="auto"/>
        </w:rPr>
        <w:t>Net Sales</w:t>
      </w:r>
    </w:p>
    <w:p>
      <w:pPr>
        <w:spacing w:after="0" w:line="1"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18"/>
          <w:szCs w:val="18"/>
          <w:color w:val="auto"/>
        </w:rPr>
        <w:t>Net sales were $8,601.6 million in the first nine months of 2025 compared to $8,314.7 million during the same period of 2024, an increase of $286.9 million, or 3.4%. The net sales increase was driven by favorable price realization of approximately 4% across our reportable segments. The net sales increase was partially offset by a volume decrease of approximately 1%, primarily driven by price elasticity impacts within the North America Confectionery segment, partially offset by strong results in North America Salty Snacks. Additionally, the 2024 acquisition of Sour Strips contributed a minimal benefit and there was an unfavorable foreign currency exchange impact of less than 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40"/>
        <w:spacing w:after="0" w:line="261" w:lineRule="auto"/>
        <w:rPr>
          <w:sz w:val="20"/>
          <w:szCs w:val="20"/>
          <w:color w:val="auto"/>
        </w:rPr>
      </w:pPr>
      <w:r>
        <w:rPr>
          <w:rFonts w:ascii="Times New Roman" w:cs="Times New Roman" w:eastAsia="Times New Roman" w:hAnsi="Times New Roman"/>
          <w:sz w:val="18"/>
          <w:szCs w:val="18"/>
          <w:color w:val="auto"/>
        </w:rPr>
        <w:t>For the first nine months of 2025, our total U.S. retail takeaway increased 4.9% in the expanded multi-outlet combined plus convenience store channels (IRI MULO + C-Stores), which includes candy, mint, gum, salty snacks and grocery items. Our U.S. CMG consumer takeaway increased 4.4% and experienced a CMG market share decrease of 7 basis points. Our Salty consumer takeaway increased 10.1% and experienced a Salty market share increase of 36 basis points.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ind w:left="40" w:right="80"/>
        <w:spacing w:after="0" w:line="258" w:lineRule="auto"/>
        <w:rPr>
          <w:sz w:val="20"/>
          <w:szCs w:val="20"/>
          <w:color w:val="auto"/>
        </w:rPr>
      </w:pPr>
      <w:r>
        <w:rPr>
          <w:rFonts w:ascii="Times New Roman" w:cs="Times New Roman" w:eastAsia="Times New Roman" w:hAnsi="Times New Roman"/>
          <w:sz w:val="18"/>
          <w:szCs w:val="18"/>
          <w:color w:val="auto"/>
        </w:rPr>
        <w:t xml:space="preserve">Cost of sales were $5,823.7 million in the first nine months of 2025 compared to $4,572.2 million in the same period of 2024, an increase of $1,251.5 million, or 27.4%. The increase was driven by $1,309.7 million of higher costs, primarily related to $244.4 million of unfavorable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 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Qualitative 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 for more information) and unfavorable commodity costs from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cocoa and tariffs. The increase was partially offset by $58.2 million, primarily related to lower sales volume and lower business realignment costs.</w:t>
      </w:r>
    </w:p>
    <w:p>
      <w:pPr>
        <w:spacing w:after="0" w:line="48" w:lineRule="exact"/>
        <w:rPr>
          <w:sz w:val="20"/>
          <w:szCs w:val="20"/>
          <w:color w:val="auto"/>
        </w:rPr>
      </w:pPr>
    </w:p>
    <w:p>
      <w:pPr>
        <w:ind w:left="40" w:right="100"/>
        <w:spacing w:after="0" w:line="289" w:lineRule="auto"/>
        <w:rPr>
          <w:sz w:val="20"/>
          <w:szCs w:val="20"/>
          <w:color w:val="auto"/>
        </w:rPr>
      </w:pPr>
      <w:r>
        <w:rPr>
          <w:rFonts w:ascii="Times New Roman" w:cs="Times New Roman" w:eastAsia="Times New Roman" w:hAnsi="Times New Roman"/>
          <w:sz w:val="17"/>
          <w:szCs w:val="17"/>
          <w:color w:val="auto"/>
        </w:rPr>
        <w:t>Gross margin was 32.3% in the first nine months of 2025 compared to 45.0% in the same period of 2024, a decrease of 1,270 basis points. The decrease was driven by higher commodity and tariff costs, unfavorable year-over-year mark-to-market impact from commodity derivative instruments, unfavorable product mix, and volume declines, partially offset by net price realization, supply chain productivity and net savings related to our AAA Initiative.</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108" w:lineRule="exact"/>
        <w:rPr>
          <w:sz w:val="20"/>
          <w:szCs w:val="20"/>
          <w:color w:val="auto"/>
        </w:rPr>
      </w:pPr>
    </w:p>
    <w:p>
      <w:pPr>
        <w:ind w:left="40" w:right="240"/>
        <w:spacing w:after="0" w:line="261" w:lineRule="auto"/>
        <w:rPr>
          <w:sz w:val="20"/>
          <w:szCs w:val="20"/>
          <w:color w:val="auto"/>
        </w:rPr>
      </w:pPr>
      <w:r>
        <w:rPr>
          <w:rFonts w:ascii="Times New Roman" w:cs="Times New Roman" w:eastAsia="Times New Roman" w:hAnsi="Times New Roman"/>
          <w:sz w:val="18"/>
          <w:szCs w:val="18"/>
          <w:color w:val="auto"/>
        </w:rPr>
        <w:t>SM&amp;A expenses were $1,762.4 million in the first nine months of 2025 compared to $1,750.9 million in the same period of 2024, an increase of $11.5 million, or 0.7%. Total advertising and related consumer marketing expenses increased 2.1%, driven by increased spending in the North America Confectionery and North America Salty Snacks segments. SM&amp;A expenses, excluding advertising and related consumer marketing, remained flat in the first nine months of 2025 as compared to the first nine months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262890</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280" w:top="1440"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$18.8 million during the first nine months of 2025 versus $32.6 million in the first nine months of 2024. The costs related to the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Unaudited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profit was $996.6 million in the first nine months of 2025 compared to $1,959.0 million in the same period of 2024, a decrease of $962.4 million, or 49.1%. The decrease was driven by lower gross profit and higher SM&amp;A expenses, partially offset by lower business realignment activities as noted above. Operating profit margin decreased to 11.6% in the first nine months of 2025 from 23.6% in the same period in 2024, driven by the same factors that resulted in lower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Net interest expense was $142.1 million in the first nine months of 2025 compared to $125.5 million in the same period of 2024, an increase of $16.6 million, or 13.2%. The increase was primarily due to higher long-term debt balances in 2025 versus 2024, driven by the February 2025 debt issuance, partially offset by lower short-term debt balances in 2025 versus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Other (income) expense, net was $9.8 million in the first nine months of 2025 versus $82.7 million in the first nine months of 2024, a net income decrease of $72.9 million, or 88.1%. The change was predominantly driven by no write-downs on equity investments qualifying for tax credits in the first nine months of 2025 versus $81.0 million of write-downs on equity investments qualifying for tax credits in the first nine months of 2024. This was partially offset by an increase of $12.7 million of non-service cost components of net periodic benefit costs relating to pension and other post-retirement benefit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effective income tax rate was 33.3% for the first nine months of 2025 compared with 18.6% for the first nine months of 2024. Relative to the 21% statutory rate, the 2025 effective tax rate was primarily impacted by tax reserves, foreign rate differential and state taxes. Relative to the 21% statutory rate, the 2024 effective tax rate was impacted by investment tax credits partially offset by state taxes.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income was $563.2 million in the first nine months of 2025 compared to $1,424.6 million in the same period of 2024, a decrease of $861.4 million, or 60.5%. EPS-diluted was $2.77 in the first nine months of 2025 compared to $7.00 in the same period of 2024, a decrease of $4.23, or 60.4%. The decrease in both net income and EPS-diluted was driven by lower gross profit, higher interest expense, and higher taxes, partially offset by lower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269240</wp:posOffset>
            </wp:positionV>
            <wp:extent cx="1968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1" w:name="page42"/>
    <w:bookmarkEnd w:id="41"/>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summary that follows provides a discussion of the results of operations of our three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our Chief Operating Decision Maker, Kirk Tanner, President and Chief Executive Officer,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Segment Information in our audited consolidated financial statements for reconciliations of net sales for our reportable segments to consolidated total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net sales and of segment operating income to consolidated income before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0" w:type="dxa"/>
            <w:vAlign w:val="bottom"/>
          </w:tcPr>
          <w:p>
            <w:pPr>
              <w:spacing w:after="0"/>
              <w:rPr>
                <w:sz w:val="1"/>
                <w:szCs w:val="1"/>
                <w:color w:val="auto"/>
              </w:rPr>
            </w:pPr>
          </w:p>
        </w:tc>
      </w:tr>
      <w:tr>
        <w:trPr>
          <w:trHeight w:val="161"/>
        </w:trPr>
        <w:tc>
          <w:tcPr>
            <w:tcW w:w="5200" w:type="dxa"/>
            <w:vAlign w:val="bottom"/>
            <w:vMerge w:val="continue"/>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7,001.2</w:t>
            </w:r>
          </w:p>
        </w:tc>
        <w:tc>
          <w:tcPr>
            <w:tcW w:w="10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(Loss):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Unallocated mark-to-market (gains) losses on commodity derivatives</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260" w:hanging="332"/>
        <w:spacing w:after="0" w:line="263"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56" w:lineRule="exact"/>
        <w:rPr>
          <w:rFonts w:ascii="Times New Roman" w:cs="Times New Roman" w:eastAsia="Times New Roman" w:hAnsi="Times New Roman"/>
          <w:sz w:val="16"/>
          <w:szCs w:val="16"/>
          <w:color w:val="auto"/>
        </w:rPr>
      </w:pPr>
    </w:p>
    <w:p>
      <w:pPr>
        <w:ind w:left="340" w:right="280" w:hanging="332"/>
        <w:spacing w:after="0" w:line="298"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Unaudited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82.2% and 82.9% of our net sales for the three months ended September 28, 2025 and September 29, 2024, respectively,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2,477.3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7,001.2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6,764.4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21.8 %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25.3 %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2025 vs. Third Quarter 2024</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$2,615.6 million in the third quarter of 2025 compared to $2,477.3 million in the same period of 2024, an increase of $138.3 million, or 5.6%. The increase was driven by favorable price realization of approximately 7%, primarily due to the pricing action announced in July. Volume declined approximately 1%, driven by price elasticity impacts in everyday core U.S. confection. Additionally, the 2024 acquisition of Sour Strips contributed a minimal benefit and there was no impact from foreign currency exchange rates.</w:t>
      </w:r>
    </w:p>
    <w:p>
      <w:pPr>
        <w:sectPr>
          <w:pgSz w:w="11900" w:h="16896" w:orient="portrait"/>
          <w:cols w:equalWidth="0" w:num="1">
            <w:col w:w="11240"/>
          </w:cols>
          <w:pgMar w:left="320" w:top="1440" w:right="339" w:bottom="0" w:gutter="0" w:footer="0" w:header="0"/>
        </w:sectPr>
      </w:pPr>
    </w:p>
    <w:bookmarkStart w:id="42" w:name="page43"/>
    <w:bookmarkEnd w:id="42"/>
    <w:p>
      <w:pPr>
        <w:ind w:right="60"/>
        <w:spacing w:after="0" w:line="261" w:lineRule="auto"/>
        <w:rPr>
          <w:sz w:val="20"/>
          <w:szCs w:val="20"/>
          <w:color w:val="auto"/>
        </w:rPr>
      </w:pPr>
      <w:r>
        <w:rPr>
          <w:rFonts w:ascii="Times New Roman" w:cs="Times New Roman" w:eastAsia="Times New Roman" w:hAnsi="Times New Roman"/>
          <w:sz w:val="18"/>
          <w:szCs w:val="18"/>
          <w:color w:val="auto"/>
        </w:rPr>
        <w:t>Our North America Confectionery segment income was $571.5 million in the third quarter of 2025 compared to $724.8 million in the same period of 2024, a decrease of $153.3 million, or 21.2%. The decrease was driven primarily by higher commodity and tariff costs and unfavorable mix, partially offset by net price realization, supply chain productivity, net savings related to our AAA Initiative and reduced advertising and related consumer marketing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2025 vs. First Nine Months 2024</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$7,001.2 million in the first nine months of 2025 compared to $6,764.4 million in the same period of 2024, an increase of $236.8 million, or 3.5%. The increase was driven by favorable price realization of approximately 5%, primarily due to the pricing action announced in July. Volume declined approximately 2%, driven by price elasticity impacts in everyday core U.S. confection. Additionally, the 2024 acquisition of Sour Strips contributed a benefit of less than 1% and the impact from unfavorable foreign currency exchange rates was immaterial.</w:t>
      </w:r>
    </w:p>
    <w:p>
      <w:pPr>
        <w:spacing w:after="0" w:line="4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$1,771.8 million in the first nine months of 2025 compared to $2,137.5 million the same period of 2024, a decrease of $365.7 million or 17.1%. The decrease was driven primarily by higher commodity and tariff costs and unfavorable mix, partially offset by net price realization, supply chain productivity and net savings related to our AAA Initiative.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results, which accounted for 10.1% and 9.8% of our net sales for the three months ended September 28, 2025 and September 29, 2024, respectively,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760" w:type="dxa"/>
            <w:vAlign w:val="bottom"/>
            <w:vMerge w:val="continue"/>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2025 vs. Third Quarter 2024</w:t>
      </w:r>
    </w:p>
    <w:p>
      <w:pPr>
        <w:spacing w:after="0" w:line="14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$321.0 million in the third quarter of 2025 compared to $291.8 million in the same period of 2024, an increase of $29.2 million, or 10.0%. The increase was predominantly due to volume increases of approximately 11%, primarily driven by </w:t>
      </w:r>
      <w:r>
        <w:rPr>
          <w:rFonts w:ascii="Times New Roman" w:cs="Times New Roman" w:eastAsia="Times New Roman" w:hAnsi="Times New Roman"/>
          <w:sz w:val="18"/>
          <w:szCs w:val="18"/>
          <w:i w:val="1"/>
          <w:iCs w:val="1"/>
          <w:color w:val="auto"/>
        </w:rPr>
        <w:t>Dot’s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Homestyle Pretzels, SkinnyPop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Pirates Booty</w:t>
      </w:r>
      <w:r>
        <w:rPr>
          <w:rFonts w:ascii="Times New Roman" w:cs="Times New Roman" w:eastAsia="Times New Roman" w:hAnsi="Times New Roman"/>
          <w:sz w:val="18"/>
          <w:szCs w:val="18"/>
          <w:color w:val="auto"/>
        </w:rPr>
        <w:t>. The net sales increase was partially offset by unfavorable price realization of approximately 1%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higher trade promotional activities.</w:t>
      </w:r>
    </w:p>
    <w:p>
      <w:pPr>
        <w:spacing w:after="0" w:line="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North America Salty Snacks segment income was $57.7 million in the third quarter of 2025 compared to $54.0 million in the same period of 2024, an increase of $3.7 million, or 6.9%. The increase was primarily due to volume increases, net savings related to our AAA Initiative and lower commodity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2025 vs. First Nine Months 2024</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$914.3 million in the first nine months of 2025 compared to $856.8 million the same period of 2024, an increase of $57.5 million, or 6.7%. The increase was driven by volume growth of approximately 6%, primarily related to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Price realization was flat in the first nine months of 2025 compared to the same period of 2024.</w:t>
      </w:r>
    </w:p>
    <w:p>
      <w:pPr>
        <w:spacing w:after="0" w:line="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North America Salty Snacks segment income was $166.1 million in the first nine months of 2025 compared to $144.9 million the same period of 2024, an increase of $21.2 million, or 14.6%. The increase was primarily due to volume increases and net savings related to our AAA Initiative, partially offset by higher supply chain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Asia-Pacific (“APAC”), the Middle East and Africa (“MEA”) and other regions. International results, which accounted for 7.7% and 7.3% of our net sales for the three months ended September 28, 2025 and September 29, 2024, respectively,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780" w:type="dxa"/>
            <w:vAlign w:val="bottom"/>
            <w:vMerge w:val="continue"/>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2025 vs. Third Quarter 2024</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$244.8 million in the third quarter of 2025 compared to $218.4 million in the same period of 2024, an increase of $26.4 million, or 12.1%. The increase was due to favorable price realization of approximately 7%, primarily due to strategic pricing actions across key markets. Volume increased approximately 6%, primarily attributable to Brazil, Europe and Mexico, partially offset by price elasticity across markets. There was no impact from foreign currency exchanges rates.</w:t>
      </w:r>
    </w:p>
    <w:p>
      <w:pPr>
        <w:spacing w:after="0" w:line="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International segment generated a loss of $13.6 million in the third quarter of 2025 compared to $14.2 million in income in the third quarter of 2024, a decrease of $27.8 million, or 195.8%, driven by higher commodity and manufacturing costs, which more than offset favorable price realization, supply chain productivity, and net savings related to our AAA Initiative.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2025 vs. First Nine Months 2024</w:t>
      </w:r>
    </w:p>
    <w:p>
      <w:pPr>
        <w:spacing w:after="0" w:line="10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Net sales of our International segment were $686.0 million in the first nine months of 2025 compared to $693.5 million the same period of 2024, a decrease of $7.5 million, or 1.1%. The decrease was due to an unfavorable impact from foreign currency exchange rates of approximately 5%, driven by Mexico and</w:t>
      </w:r>
    </w:p>
    <w:p>
      <w:pPr>
        <w:sectPr>
          <w:pgSz w:w="11900" w:h="16838" w:orient="portrait"/>
          <w:cols w:equalWidth="0" w:num="1">
            <w:col w:w="11240"/>
          </w:cols>
          <w:pgMar w:left="320" w:top="121" w:right="339"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India. The decrease was partially offset by a favorable price realization of approximately 3%, primarily due to strategic pricing actions across key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was flat in the first nine months of 2025 compared to the same period of 2024.</w:t>
      </w:r>
    </w:p>
    <w:p>
      <w:pPr>
        <w:spacing w:after="0" w:line="8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Our International segment generated income of $34.9 million in the first nine months of 2025 compared to $82.0 million in the first nine months of 2024, a decrease of $47.1 million, or 57.4%, driven by higher commodity and manufacturing costs, which more than offset favorable price realization, supply chain productivity, and net savings related to our AAA Initiative.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7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third quarter of 2025, unallocated corporate expense totaled $194.7 million, as compared to $161.8 million in the third quarter of 2024, an increase of $32.9 million, or 20.3%. The increase was primarily driven by higher compensation and benefits costs and consulting fees.</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first nine months of 2025, unallocated corporate expense totaled $536.7 million, as compared to $496.2 million in the first nine months of 2024, an increase of $40.5 million, or 8.2%. The increase was primarily driven by higher compensation and benefits costs and consulting fees, partially offset by lower investments in capabilities and technology, as a result of the completion of our ERP system upgrade in 2024, as well as lower acquisition and integration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At September 28, 2025, our cash and cash equivalents totaled $1.2 billion, an increase of $432.3 million compared to the 2024 year-end balance. Additional detail regarding the net uses of cash are outlined in the following discussion. Additionally, at September 28, 2025, we had outstanding short-and long-term debt totaling $5.4 billion, of which $502.3 million was classified as the current portion of long-term debt. Of the $502.3 million, $500 million of 2.300% Notes are due upon maturity on August 15, 2026. We believe we can satisfy these debt obligations with cash generated from our operations, issuing new debt, and/or by borrowing on our unsecured credit facility.</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Approximately 50% of the balance of our cash and cash equivalents at September 28, 2025 was held by subsidiaries domiciled outside of the United States. A majority of our cash and cash equivalents balance is distributable to the United States without material tax implications, such as withholding tax. We intend to continue to reinvest the remainder of this balance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525780</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4"/>
          </w:tcPr>
          <w:p>
            <w:pPr>
              <w:ind w:left="12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40" w:type="dxa"/>
            <w:vAlign w:val="bottom"/>
          </w:tcPr>
          <w:p>
            <w:pPr>
              <w:spacing w:after="0"/>
              <w:rPr>
                <w:sz w:val="18"/>
                <w:szCs w:val="18"/>
                <w:color w:val="auto"/>
              </w:rPr>
            </w:pPr>
          </w:p>
        </w:tc>
        <w:tc>
          <w:tcPr>
            <w:tcW w:w="18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25"/>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1"/>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generated cash of $1,350.8 million from operating activities in the first nine months of 2025, a decrease of $239.2 million compared to $1,590.0 million in the same period of 2024. This decrease in net cash provided by operating activities was mainly driven by the following factors:</w:t>
      </w:r>
    </w:p>
    <w:p>
      <w:pPr>
        <w:spacing w:after="0" w:line="108" w:lineRule="exact"/>
        <w:rPr>
          <w:sz w:val="20"/>
          <w:szCs w:val="20"/>
          <w:color w:val="auto"/>
        </w:rPr>
      </w:pPr>
    </w:p>
    <w:p>
      <w:pPr>
        <w:ind w:left="340" w:right="2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consumed cash of $287.1 million in 2025, compared to $51.8 million in 2024. This $235.3 million fluctuation was primarily driven by the timing of certain prepaid expenses and other current assets.</w:t>
      </w:r>
    </w:p>
    <w:p>
      <w:pPr>
        <w:spacing w:after="0" w:line="107"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consumed cash of $148.4 million in 2025, compared to $183.9 million in 2024. This $35.5 million fluctuation was mainly driven by an increase in accounts payable and accrued liabilities due to the timing of vendor and supplier payments as well as an increase in accounts receivable, partially offset by higher inventory levels.</w:t>
      </w:r>
    </w:p>
    <w:p>
      <w:pPr>
        <w:spacing w:after="0" w:line="12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a write-down of equity investments, unrealized gains and losses on derivative contracts and other charges) resulted in $60.0 million of lower cash flow in 2025 relative to 2024.</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cash provided by operating activities was partially offset by the following net cash inflows:</w:t>
      </w:r>
    </w:p>
    <w:p>
      <w:pPr>
        <w:spacing w:after="0" w:line="171" w:lineRule="exact"/>
        <w:rPr>
          <w:sz w:val="20"/>
          <w:szCs w:val="20"/>
          <w:color w:val="auto"/>
        </w:rPr>
      </w:pPr>
    </w:p>
    <w:p>
      <w:pPr>
        <w:ind w:left="980" w:right="40" w:hanging="324"/>
        <w:spacing w:after="0" w:line="266" w:lineRule="auto"/>
        <w:tabs>
          <w:tab w:leader="none" w:pos="9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income tax payments generated cash of $158.9 million in 2025, compared to $138.5 million in 2024. This $20.4 million fluctuation was primarily due to the variance in actual tax expense for 2025 relative to the timing of quarterly estimated tax payments. We paid cash of $110.6 million for income taxes during 2025 compared to $180.3 million in the same period of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used cash of $382.2 million for investing activities in the first nine months of 2025, a decrease of $167.1 million compared to $549.3 million in the same period of 2024. This decrease in net cash used in investing activities was mainly driven by the following factors:</w:t>
      </w:r>
    </w:p>
    <w:p>
      <w:pPr>
        <w:spacing w:after="0" w:line="106" w:lineRule="exact"/>
        <w:rPr>
          <w:sz w:val="20"/>
          <w:szCs w:val="20"/>
          <w:color w:val="auto"/>
        </w:rPr>
      </w:pPr>
    </w:p>
    <w:p>
      <w:pPr>
        <w:ind w:left="340" w:hanging="332"/>
        <w:spacing w:after="0" w:line="257" w:lineRule="auto"/>
        <w:tabs>
          <w:tab w:leader="none" w:pos="3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primarily to support our ERP system implementation, capacity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cost savings, were $316.5 million in the first nine months of 2025 compared to $471.4 million in the same period of 2024. The decrease in our 2025 capital expenditures is largely driven by the wind down of our key strategic initiatives, including completion of the upgrade of a new ERP system across the enterprise in 2024. We expect 2025 capital expenditures, including capitalized software, to be approximately $425 million, the lower end of our previously estimated range of $425 million to $450 million, as capital spending as a percentage of net sales is expected to return to historical levels. We intend to use our existing cash and internally generated funds to meet our 2025 capital requirements.</w:t>
      </w:r>
    </w:p>
    <w:p>
      <w:pPr>
        <w:spacing w:after="0" w:line="128" w:lineRule="exact"/>
        <w:rPr>
          <w:rFonts w:ascii="Times New Roman" w:cs="Times New Roman" w:eastAsia="Times New Roman" w:hAnsi="Times New Roman"/>
          <w:sz w:val="18"/>
          <w:szCs w:val="18"/>
          <w:i w:val="1"/>
          <w:iCs w:val="1"/>
          <w:color w:val="auto"/>
        </w:rPr>
      </w:pPr>
    </w:p>
    <w:p>
      <w:pPr>
        <w:ind w:left="340" w:right="160" w:hanging="332"/>
        <w:spacing w:after="0" w:line="267"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renewable energy tax credits. We received payments of approximately $14.3 million in the first nine months of 2025, compared to investing $78.2 million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ind w:left="320" w:hanging="312"/>
        <w:spacing w:after="0"/>
        <w:tabs>
          <w:tab w:leader="none" w:pos="3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 the first nine months of 2025, we purchased the Fulfil brand in North America for $73.6 million.</w:t>
      </w:r>
    </w:p>
    <w:p>
      <w:pPr>
        <w:spacing w:after="0" w:line="17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the first nine months of 2025 and 2024, our other investing activities were minimal.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used cash of $536.4 million for financing activities in the first nine months of 2025, a decrease of $310.6 million compared to cash used of $847.0 million in the same period of 2024. This decrease in net cash used in financing activities was mainly driven by the following factors:</w:t>
      </w:r>
    </w:p>
    <w:p>
      <w:pPr>
        <w:spacing w:after="0" w:line="106" w:lineRule="exact"/>
        <w:rPr>
          <w:sz w:val="20"/>
          <w:szCs w:val="20"/>
          <w:color w:val="auto"/>
        </w:rPr>
      </w:pPr>
    </w:p>
    <w:p>
      <w:pPr>
        <w:ind w:left="340" w:right="20" w:hanging="332"/>
        <w:spacing w:after="0" w:line="261"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During the first nine months of 2025, we used cash of $1.1 billion to reduce short-term commercial paper borrowings and short-term foreign bank borrowings. During the first nine months of 2024, we generated cash of $482.8 million predominately through the issuance of short-term commercial paper and an increase in short-term foreign bank borrowings.</w:t>
      </w:r>
    </w:p>
    <w:p>
      <w:pPr>
        <w:spacing w:after="0" w:line="125" w:lineRule="exact"/>
        <w:rPr>
          <w:rFonts w:ascii="Times New Roman" w:cs="Times New Roman" w:eastAsia="Times New Roman" w:hAnsi="Times New Roman"/>
          <w:sz w:val="18"/>
          <w:szCs w:val="18"/>
          <w:i w:val="1"/>
          <w:iCs w:val="1"/>
          <w:color w:val="auto"/>
        </w:rPr>
      </w:pPr>
    </w:p>
    <w:p>
      <w:pPr>
        <w:ind w:left="340" w:right="240" w:hanging="332"/>
        <w:spacing w:after="0" w:line="258"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During the first nine months of 2025, we issued $500 million of 4.550% Notes due in February 2028,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of 4.750% Notes due in February 2030, $500 million of 4.950% Notes due in February 2032 and $500 million of 5.100% Notes due in February 2035 (together, the “2025 Notes”). Proceeds from the issuance of the 2025 Notes, net of discounts and issuance costs, totaled $2.0 billion. Additionally, we repaid $300 million of 0.900% Notes due upon maturity and $300 million of 3.200% Notes due upon maturity in June and August 2025, respectively. During the first nine months of 2024, we had no long-term debt borrowings or repayments activity.</w:t>
      </w:r>
    </w:p>
    <w:p>
      <w:pPr>
        <w:spacing w:after="0" w:line="129" w:lineRule="exact"/>
        <w:rPr>
          <w:rFonts w:ascii="Times New Roman" w:cs="Times New Roman" w:eastAsia="Times New Roman" w:hAnsi="Times New Roman"/>
          <w:sz w:val="18"/>
          <w:szCs w:val="18"/>
          <w:color w:val="auto"/>
        </w:rPr>
      </w:pPr>
    </w:p>
    <w:p>
      <w:pPr>
        <w:ind w:left="340" w:right="140" w:hanging="332"/>
        <w:spacing w:after="0" w:line="267"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$814.0 million during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a decrease of $0.4 million compared to $814.3 million in the same period of 2024. Details regarding our 2025 cash dividends paid to stockholders are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2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260" w:type="dxa"/>
            <w:vAlign w:val="bottom"/>
          </w:tcPr>
          <w:p>
            <w:pPr>
              <w:spacing w:after="0"/>
              <w:rPr>
                <w:sz w:val="19"/>
                <w:szCs w:val="19"/>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30, 2025</w:t>
            </w:r>
          </w:p>
        </w:tc>
        <w:tc>
          <w:tcPr>
            <w:tcW w:w="280" w:type="dxa"/>
            <w:vAlign w:val="bottom"/>
          </w:tcPr>
          <w:p>
            <w:pPr>
              <w:spacing w:after="0"/>
              <w:rPr>
                <w:sz w:val="19"/>
                <w:szCs w:val="19"/>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200" w:type="dxa"/>
            <w:vAlign w:val="bottom"/>
          </w:tcPr>
          <w:p>
            <w:pPr>
              <w:spacing w:after="0"/>
              <w:rPr>
                <w:sz w:val="19"/>
                <w:szCs w:val="19"/>
                <w:color w:val="auto"/>
              </w:rPr>
            </w:pP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28, 2025</w:t>
            </w: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 Common stock</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 per share – Class B common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36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February 5, 2025</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April 30, 2025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July 29, 2025</w:t>
            </w: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17,</w:t>
            </w:r>
          </w:p>
        </w:tc>
        <w:tc>
          <w:tcPr>
            <w:tcW w:w="9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1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May 16,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w:t>
            </w: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June 16,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r>
    </w:tbl>
    <w:p>
      <w:pPr>
        <w:spacing w:after="0" w:line="218" w:lineRule="exact"/>
        <w:rPr>
          <w:sz w:val="20"/>
          <w:szCs w:val="20"/>
          <w:color w:val="auto"/>
        </w:rPr>
      </w:pPr>
    </w:p>
    <w:p>
      <w:pPr>
        <w:ind w:left="340" w:right="160" w:hanging="332"/>
        <w:spacing w:after="0" w:line="261" w:lineRule="auto"/>
        <w:tabs>
          <w:tab w:leader="none" w:pos="3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 (1)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2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w:t>
            </w: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incentive compensation</w:t>
            </w: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total share repurchases (excluding excise tax)</w:t>
            </w:r>
          </w:p>
        </w:tc>
        <w:tc>
          <w:tcPr>
            <w:tcW w:w="70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Total shares repurchased under pre-approved share repurchase programs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20" w:type="dxa"/>
            <w:vAlign w:val="bottom"/>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2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760" w:type="dxa"/>
            <w:vAlign w:val="bottom"/>
            <w:gridSpan w:val="3"/>
          </w:tcPr>
          <w:p>
            <w:pPr>
              <w:jc w:val="right"/>
              <w:ind w:right="373"/>
              <w:spacing w:after="0"/>
              <w:rPr>
                <w:sz w:val="20"/>
                <w:szCs w:val="20"/>
                <w:color w:val="auto"/>
              </w:rPr>
            </w:pPr>
            <w:r>
              <w:rPr>
                <w:rFonts w:ascii="Times New Roman" w:cs="Times New Roman" w:eastAsia="Times New Roman" w:hAnsi="Times New Roman"/>
                <w:sz w:val="16"/>
                <w:szCs w:val="16"/>
                <w:color w:val="auto"/>
              </w:rPr>
              <w:t>The Hershey Company | Q3 2025 Form 10-Q | Page 43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p>
      <w:pPr>
        <w:ind w:left="580" w:hanging="5"/>
        <w:spacing w:after="0" w:line="255" w:lineRule="auto"/>
        <w:tabs>
          <w:tab w:leader="none" w:pos="8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32" w:lineRule="exact"/>
        <w:rPr>
          <w:rFonts w:ascii="Times New Roman" w:cs="Times New Roman" w:eastAsia="Times New Roman" w:hAnsi="Times New Roman"/>
          <w:sz w:val="18"/>
          <w:szCs w:val="18"/>
          <w:color w:val="auto"/>
        </w:rPr>
      </w:pPr>
    </w:p>
    <w:p>
      <w:pPr>
        <w:ind w:left="340" w:hanging="332"/>
        <w:spacing w:after="0" w:line="261" w:lineRule="auto"/>
        <w:tabs>
          <w:tab w:leader="none" w:pos="3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exercised stock options and employee tax withholding. </w:t>
      </w:r>
      <w:r>
        <w:rPr>
          <w:rFonts w:ascii="Times New Roman" w:cs="Times New Roman" w:eastAsia="Times New Roman" w:hAnsi="Times New Roman"/>
          <w:sz w:val="18"/>
          <w:szCs w:val="18"/>
          <w:color w:val="auto"/>
        </w:rPr>
        <w:t>During the first nine months of 2025, we received $17.3 million from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exercises of stock options and paid $17.2 million of employee taxes withheld from share-based awards. During the first nine months of 2024, we received $13.8 million from employee exercises of stock options and paid $30.5 million of employee taxes withheld from share-based awards. Variances are driven primarily by the number of shares exercised and the share price at the date of grant.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Unaudited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critical accounting estimates, refer to Part II, Item 7, “Management’s Discussion and Analysis of Financial Condition and Results of Operations” of our 2024 Annual Report on Form 10-K. There have been no material changes to the Company’s critical accounting estimates since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47" w:name="page48"/>
    <w:bookmarkEnd w:id="4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89" w:lineRule="exact"/>
        <w:rPr>
          <w:sz w:val="20"/>
          <w:szCs w:val="20"/>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reputation or brand image might be impacted as a result of issues, concerns or regulatory changes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human capital we need to drive our growth strategies;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88"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could continue to affect future financial results;</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25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regulations and policies, including taxes and tariffs, could increase our costs and liabilities or impact demand for our products;</w:t>
      </w:r>
    </w:p>
    <w:p>
      <w:pPr>
        <w:spacing w:after="0" w:line="18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including impacts on our business arising from the ongoing conflict between Russia and Ukraine,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w:t>
      </w:r>
    </w:p>
    <w:p>
      <w:pPr>
        <w:spacing w:after="0" w:line="252"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with the design or implementation of our new enterprise resource planning system could adversely impact our business and operations;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2024 Annual Report on Form 10-K and our Quarterly Report on Form 10-Q for the quarter ending March 30, 2025 and June 29, 2025, and this Quarterly Report on Form 10-Q, including Part II, Item 1A, ”Risk Factors.”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8" w:lineRule="exact"/>
        <w:rPr>
          <w:sz w:val="20"/>
          <w:szCs w:val="20"/>
          <w:color w:val="auto"/>
        </w:rPr>
      </w:pPr>
    </w:p>
    <w:p>
      <w:pPr>
        <w:ind w:right="4180"/>
        <w:spacing w:after="0" w:line="440"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total amount of short-term debt, net of cash, amounted to a net cash position of $948 million and a net debt position of $576 million, at September 28, 2025 and December 31, 2024, respectively. A hypothetical 100 basis point increase in interest rates applied to this variable-rate short-term debt as of September 28, 2025 would have changed interest income by approximately $7.7 million for the first nine months of 2025 versus a change to interest expense of $7.0 million for 2024.</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September 28, 2025 and December 31, 2024 by approximately $273 million and $169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$16.5 million as of September 28, 2025 and $32.3 million as of December 31, 2024, generally offset by a reduction in foreign exchange associated with our transactional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Derivative Contracts</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2024 Annual Report on Form 10-K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506095</wp:posOffset>
            </wp:positionV>
            <wp:extent cx="1968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first nine months of 2025, the average cocoa futures contract price was $3.97 per pound, with a trading range of $3.30 to $4.89 per pound, based</w:t>
      </w:r>
    </w:p>
    <w:p>
      <w:pPr>
        <w:spacing w:after="0" w:line="2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the Intercontinental Exchange futures contract. This average cocoa futures contract price represents an increase of approximately 15% compared to the 2024 annual average of $3.45 per pound.</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cocoa supply-demand outlook continues to show improved signs for the 2024/25 season following three consecutive seasons of supply deficit. Supply has benefited from a combination of more favorable weather conditions in Côte d’Ivoire and Ghana and the ongoing expansion of supply in the rest of the world, specifically Ecuador, which is supplying approximately 35% more cocoa than in the previous season. Demand for cocoa beans has been negatively impacted by high prices over the last two years and this season’s grind is expected to be 2% lower than the previous season. Despite recent pullback of future contracts across the board, the outlook for cocoa prices remains uncertain due to significant liquidity and volatility events in the market, which may have an impact on our financial condition and results of operations.</w:t>
      </w:r>
    </w:p>
    <w:p>
      <w:pPr>
        <w:spacing w:after="0" w:line="21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w:t>
      </w:r>
    </w:p>
    <w:p>
      <w:pPr>
        <w:spacing w:after="0" w:line="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cocoa liquor, cocoa butter and cocoa powder. We generally hedge commodity price risks for 3- to 24-month periods. As a result, the average market prices are not necessarily indicative of our average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$591.8 million as of September 28, 2025 and $667.4 million as of December 31, 2024. At the end of the third quarter of 2025, the potential change in fair value of commodity derivative instruments, assuming a 10% decrease in the underlying commodity price, would have increased our net unrealized losses by $25.8 million, generally offset by a reduction in the cost of the underlying commodity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risks, see Item 7A under Part II of our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50" w:name="page51"/>
    <w:bookmarkEnd w:id="50"/>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28, 2025. Based on this evaluation, our Chief Executive Officer and Chief Financial Officer concluded that our disclosure controls and procedures were effective as of September 28,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internal control over financial reporting during the quarter ended September 28, 2025,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362585</wp:posOffset>
            </wp:positionV>
            <wp:extent cx="1968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When evaluating an investment in our Common Stock, investors should consider carefully, among other things, the risk factors previously disclosed in Part I, Item 1A, “Risk Factors,” of our 2024 Annual Report on Form 10-K (the "2024 Form 10-K") and the information contained in this Quarterly Report on Form 10-Q and our other reports and registration statements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purchases of our Common Stock made by or on behalf of Hershey, or any “affiliated purchaser” (as defined in Rule 10b-18(a)(3) under the Exchange Act) of Hershey, during the three months ended September 28, 2025.</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28, 2025,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582930</wp:posOffset>
            </wp:positionV>
            <wp:extent cx="1968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2" w:name="page53"/>
    <w:bookmarkEnd w:id="5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table describes the contracts, instructions or written plans for the purchase or sale of securities adopted by our directors or officers (as defined in Rule 16a-1(f) under the Exchange Act) during the three months ended September 28, 2025, that are intended to satisfy the affirmative defense conditions of Rule 10b5-1(c). No other Rule 10b5-1 trading arrangements or “non-Rule 10b5–1 trading arrangements” (as defined by S-K Item 408(c)) were entered into or terminated by our directors or officers during such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Adoption of</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Duration of 10b5-1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6"/>
        </w:trPr>
        <w:tc>
          <w:tcPr>
            <w:tcW w:w="542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4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Sold or</w:t>
            </w:r>
          </w:p>
        </w:tc>
        <w:tc>
          <w:tcPr>
            <w:tcW w:w="0" w:type="dxa"/>
            <w:vAlign w:val="bottom"/>
          </w:tcPr>
          <w:p>
            <w:pPr>
              <w:spacing w:after="0"/>
              <w:rPr>
                <w:sz w:val="1"/>
                <w:szCs w:val="1"/>
                <w:color w:val="auto"/>
              </w:rPr>
            </w:pPr>
          </w:p>
        </w:tc>
      </w:tr>
      <w:tr>
        <w:trPr>
          <w:trHeight w:val="243"/>
        </w:trPr>
        <w:tc>
          <w:tcPr>
            <w:tcW w:w="5420" w:type="dxa"/>
            <w:vAlign w:val="bottom"/>
            <w:gridSpan w:val="2"/>
            <w:vMerge w:val="continue"/>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10b5-1 Plan</w:t>
            </w:r>
          </w:p>
        </w:tc>
        <w:tc>
          <w:tcPr>
            <w:tcW w:w="17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0"/>
              </w:rPr>
              <w:t>Plan</w:t>
            </w:r>
            <w:r>
              <w:rPr>
                <w:rFonts w:ascii="Times New Roman" w:cs="Times New Roman" w:eastAsia="Times New Roman" w:hAnsi="Times New Roman"/>
                <w:sz w:val="23"/>
                <w:szCs w:val="23"/>
                <w:b w:val="1"/>
                <w:bCs w:val="1"/>
                <w:color w:val="auto"/>
                <w:w w:val="90"/>
                <w:vertAlign w:val="superscript"/>
              </w:rPr>
              <w:t>(1)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169"/>
        </w:trPr>
        <w:tc>
          <w:tcPr>
            <w:tcW w:w="5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Cordel Robbin-Coker</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Sell 677 shares</w:t>
            </w:r>
          </w:p>
        </w:tc>
        <w:tc>
          <w:tcPr>
            <w:tcW w:w="0" w:type="dxa"/>
            <w:vAlign w:val="bottom"/>
          </w:tcPr>
          <w:p>
            <w:pPr>
              <w:spacing w:after="0"/>
              <w:rPr>
                <w:sz w:val="1"/>
                <w:szCs w:val="1"/>
                <w:color w:val="auto"/>
              </w:rPr>
            </w:pPr>
          </w:p>
        </w:tc>
      </w:tr>
      <w:tr>
        <w:trPr>
          <w:trHeight w:val="148"/>
        </w:trPr>
        <w:tc>
          <w:tcPr>
            <w:tcW w:w="5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420" w:type="dxa"/>
            <w:vAlign w:val="bottom"/>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80" w:firstLine="8"/>
        <w:spacing w:after="0" w:line="28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602615</wp:posOffset>
            </wp:positionV>
            <wp:extent cx="1968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40" w:type="dxa"/>
            <w:vAlign w:val="bottom"/>
            <w:gridSpan w:val="10"/>
          </w:tcPr>
          <w:p>
            <w:pPr>
              <w:ind w:left="2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Times New Roman" w:cs="Times New Roman" w:eastAsia="Times New Roman" w:hAnsi="Times New Roman"/>
                <w:sz w:val="16"/>
                <w:szCs w:val="16"/>
                <w:color w:val="0000FF"/>
                <w:w w:val="99"/>
              </w:rPr>
            </w:pPr>
            <w:hyperlink r:id="rId14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13"/>
            <w:shd w:val="clear" w:color="auto" w:fill="CCEEFF"/>
          </w:tcPr>
          <w:p>
            <w:pPr>
              <w:spacing w:after="0" w:line="17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Restated Certificate of Incorporation, as amended by the Company’s Stockholders on May 6, 2025, is incorporated by reference from Exhibit 3.1 to the</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Company's Quarterly Report on Form 10-Q for the quarter ended June 29, 2025.</w:t>
              </w:r>
            </w:hyperlink>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gridSpan w:val="3"/>
          </w:tcPr>
          <w:p>
            <w:pPr>
              <w:jc w:val="center"/>
              <w:ind w:left="419"/>
              <w:spacing w:after="0" w:line="175" w:lineRule="exact"/>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3"/>
          </w:tcPr>
          <w:p>
            <w:pPr>
              <w:spacing w:after="0" w:line="17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The Company's By-laws, as amended and restated as of March 4, 2025, are incorporated by reference from Exhibit 3.1 to the Company's Current Report</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on Form 8-K filed March 10, 2025.</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Times New Roman" w:cs="Times New Roman" w:eastAsia="Times New Roman" w:hAnsi="Times New Roman"/>
                <w:sz w:val="16"/>
                <w:szCs w:val="16"/>
                <w:color w:val="0000FF"/>
                <w:w w:val="99"/>
              </w:rPr>
            </w:pPr>
            <w:hyperlink r:id="rId15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3"/>
            <w:shd w:val="clear" w:color="auto" w:fill="CCEEFF"/>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Executive Employment Agreement, dated July 7, 2025, by and between The Hershey Company and Kirk Tanner, is incorporated by reference from</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0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Exhibit 10.1 to the Company’s Current Report on Form 8-K filed July 8, 2025.</w:t>
              </w:r>
              <w:r>
                <w:rPr>
                  <w:rFonts w:ascii="Times New Roman" w:cs="Times New Roman" w:eastAsia="Times New Roman" w:hAnsi="Times New Roman"/>
                  <w:sz w:val="16"/>
                  <w:szCs w:val="16"/>
                  <w:color w:val="000000"/>
                </w:rPr>
                <w:t>+</w:t>
              </w:r>
            </w:hyperlink>
          </w:p>
        </w:tc>
        <w:tc>
          <w:tcPr>
            <w:tcW w:w="38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3"/>
          </w:tcPr>
          <w:p>
            <w:pPr>
              <w:spacing w:after="0" w:line="175" w:lineRule="exact"/>
              <w:rPr>
                <w:sz w:val="20"/>
                <w:szCs w:val="20"/>
                <w:color w:val="auto"/>
              </w:rPr>
            </w:pPr>
            <w:r>
              <w:rPr>
                <w:rFonts w:ascii="Times New Roman" w:cs="Times New Roman" w:eastAsia="Times New Roman" w:hAnsi="Times New Roman"/>
                <w:sz w:val="16"/>
                <w:szCs w:val="16"/>
                <w:color w:val="0000FF"/>
              </w:rPr>
              <w:t>Form of Notice of Special Award of Performance Stock Units (effective July 7, 2025)</w:t>
            </w:r>
            <w:r>
              <w:rPr>
                <w:rFonts w:ascii="Times New Roman" w:cs="Times New Roman" w:eastAsia="Times New Roman" w:hAnsi="Times New Roman"/>
                <w:sz w:val="16"/>
                <w:szCs w:val="16"/>
                <w:color w:val="000000"/>
              </w:rPr>
              <w:t>.+</w:t>
            </w:r>
          </w:p>
        </w:tc>
      </w:tr>
      <w:tr>
        <w:trPr>
          <w:trHeight w:val="20"/>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Kirk Tanner, Chief Executive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3"/>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Kirk Tanner, Chief Executive Officer, and Steven E. Voskuil, Chief Financial Officer, pursuant to Section 906 of the Sarbanes-Oxley Act</w:t>
            </w:r>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00" w:type="dxa"/>
            <w:vAlign w:val="bottom"/>
            <w:tcBorders>
              <w:top w:val="single" w:sz="8" w:color="0000FF"/>
            </w:tcBorders>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of 2002.</w:t>
            </w:r>
            <w:r>
              <w:rPr>
                <w:rFonts w:ascii="Times New Roman" w:cs="Times New Roman" w:eastAsia="Times New Roman" w:hAnsi="Times New Roman"/>
                <w:sz w:val="16"/>
                <w:szCs w:val="16"/>
                <w:color w:val="000000"/>
              </w:rPr>
              <w:t>**</w:t>
            </w: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00" w:type="dxa"/>
            <w:vAlign w:val="bottom"/>
            <w:gridSpan w:val="6"/>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4"/>
                <w:szCs w:val="14"/>
                <w:color w:val="auto"/>
              </w:rPr>
            </w:pPr>
          </w:p>
        </w:tc>
        <w:tc>
          <w:tcPr>
            <w:tcW w:w="9920" w:type="dxa"/>
            <w:vAlign w:val="bottom"/>
            <w:gridSpan w:val="13"/>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3"/>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32"/>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20"/>
                <w:szCs w:val="20"/>
                <w:color w:val="auto"/>
              </w:rPr>
            </w:pPr>
          </w:p>
        </w:tc>
        <w:tc>
          <w:tcPr>
            <w:tcW w:w="99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20" w:type="dxa"/>
            <w:vAlign w:val="bottom"/>
            <w:shd w:val="clear" w:color="auto" w:fill="CCEEFF"/>
          </w:tcPr>
          <w:p>
            <w:pPr>
              <w:spacing w:after="0"/>
              <w:rPr>
                <w:sz w:val="19"/>
                <w:szCs w:val="19"/>
                <w:color w:val="auto"/>
              </w:rPr>
            </w:pPr>
          </w:p>
        </w:tc>
        <w:tc>
          <w:tcPr>
            <w:tcW w:w="99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19"/>
                <w:szCs w:val="19"/>
                <w:color w:val="auto"/>
              </w:rPr>
            </w:pPr>
          </w:p>
        </w:tc>
        <w:tc>
          <w:tcPr>
            <w:tcW w:w="99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bl>
    <w:p>
      <w:pPr>
        <w:ind w:left="1300" w:right="100" w:hanging="826"/>
        <w:spacing w:after="0" w:line="245" w:lineRule="auto"/>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quarterly period ended September 28, 2025, formatted in Inline XBRL and contained in Exhibit 101.</w:t>
      </w:r>
    </w:p>
    <w:p>
      <w:pPr>
        <w:spacing w:after="0" w:line="272" w:lineRule="exact"/>
        <w:rPr>
          <w:sz w:val="20"/>
          <w:szCs w:val="20"/>
          <w:color w:val="auto"/>
        </w:rPr>
      </w:pPr>
    </w:p>
    <w:p>
      <w:pPr>
        <w:ind w:left="1300" w:hanging="745"/>
        <w:spacing w:after="0"/>
        <w:tabs>
          <w:tab w:leader="none" w:pos="1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ind w:left="1300" w:hanging="751"/>
        <w:spacing w:after="0"/>
        <w:tabs>
          <w:tab w:leader="none" w:pos="13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1169035</wp:posOffset>
            </wp:positionV>
            <wp:extent cx="1968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38"/>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Steven E. Voskuil</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Jennifer L. McCalman</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Q3 2025 Form 10-Q | Page 52</w:t>
      </w:r>
    </w:p>
    <w:p>
      <w:pPr>
        <w:sectPr>
          <w:pgSz w:w="11900" w:h="16838" w:orient="portrait"/>
          <w:cols w:equalWidth="0" w:num="1">
            <w:col w:w="11220"/>
          </w:cols>
          <w:pgMar w:left="320" w:top="1251" w:right="359" w:bottom="1440" w:gutter="0" w:footer="0" w:header="0"/>
        </w:sectPr>
      </w:pPr>
    </w:p>
    <w:bookmarkStart w:id="55" w:name="page56"/>
    <w:bookmarkEnd w:id="55"/>
    <w:p>
      <w:pPr>
        <w:ind w:left="9568"/>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19 East Chocolate Avenue</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13335</wp:posOffset>
            </wp:positionV>
            <wp:extent cx="50577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Notice of Special Award of Performance Stock Units (Inducement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179705</wp:posOffset>
            </wp:positionV>
            <wp:extent cx="50660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48" w:hanging="248"/>
        <w:spacing w:after="0"/>
        <w:tabs>
          <w:tab w:leader="none" w:pos="2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CONTINGENT TARGET AWARD</w:t>
      </w:r>
      <w:r>
        <w:rPr>
          <w:rFonts w:ascii="Times New Roman" w:cs="Times New Roman" w:eastAsia="Times New Roman" w:hAnsi="Times New Roman"/>
          <w:sz w:val="20"/>
          <w:szCs w:val="20"/>
          <w:color w:val="auto"/>
        </w:rPr>
        <w:t xml:space="preserve">. Effective </w:t>
      </w:r>
      <w:r>
        <w:rPr>
          <w:rFonts w:ascii="Times New Roman" w:cs="Times New Roman" w:eastAsia="Times New Roman" w:hAnsi="Times New Roman"/>
          <w:sz w:val="20"/>
          <w:szCs w:val="20"/>
          <w:b w:val="1"/>
          <w:bCs w:val="1"/>
          <w:u w:val="single" w:color="auto"/>
          <w:color w:val="auto"/>
        </w:rPr>
        <w:t>#GrantDate#</w:t>
      </w:r>
      <w:r>
        <w:rPr>
          <w:rFonts w:ascii="Times New Roman" w:cs="Times New Roman" w:eastAsia="Times New Roman" w:hAnsi="Times New Roman"/>
          <w:sz w:val="20"/>
          <w:szCs w:val="20"/>
          <w:color w:val="auto"/>
        </w:rPr>
        <w:t xml:space="preserve"> (the</w:t>
      </w:r>
    </w:p>
    <w:p>
      <w:pPr>
        <w:spacing w:after="0" w:line="26"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20"/>
          <w:szCs w:val="20"/>
          <w:color w:val="auto"/>
        </w:rPr>
        <w:t xml:space="preserve">“Grant Date”), Grantee will be awarded </w:t>
      </w:r>
      <w:r>
        <w:rPr>
          <w:rFonts w:ascii="Times New Roman" w:cs="Times New Roman" w:eastAsia="Times New Roman" w:hAnsi="Times New Roman"/>
          <w:sz w:val="20"/>
          <w:szCs w:val="20"/>
          <w:b w:val="1"/>
          <w:bCs w:val="1"/>
          <w:u w:val="single" w:color="auto"/>
          <w:color w:val="auto"/>
        </w:rPr>
        <w:t>#QuantityGranted#</w:t>
      </w:r>
      <w:r>
        <w:rPr>
          <w:rFonts w:ascii="Times New Roman" w:cs="Times New Roman" w:eastAsia="Times New Roman" w:hAnsi="Times New Roman"/>
          <w:sz w:val="20"/>
          <w:szCs w:val="20"/>
          <w:color w:val="auto"/>
        </w:rPr>
        <w:t xml:space="preserve"> contingent target Performance Stock Units (“PSUs”) pursuant to the terms of this agreement. The actual number of PSUs earned may be equal to, exceed or be less than the contingent target award, and will be based upon the Company’s attainment of the performance goals approved for the three-year performance cycle commencing on the Grant Date (the “Performance Cycle”). Each earned PSU represents the right to receive one share of Hershey Common Stock, $1.00 par value, at a future date and time, subject to the terms of this Notice of Special Award of Performance Stock Units (Inducement Equity) (the “Notice of Award”).</w:t>
      </w:r>
    </w:p>
    <w:p>
      <w:pPr>
        <w:spacing w:after="0" w:line="207"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20"/>
          <w:szCs w:val="20"/>
          <w:color w:val="auto"/>
        </w:rPr>
        <w:t>The Grantee will have forty-five (45) days to accept the terms of this Notice of Award. By accepting the award of PSUs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PSUs is expressly contingent upon Grantee agreeing to the obligations contained herein. Failure to agree to all the terms and conditions set forth herein in the form presented by The Hershey Company (“Hershey”) shall result in the PSUs being cancelled, with no benefit to Grantee.</w:t>
      </w:r>
    </w:p>
    <w:p>
      <w:pPr>
        <w:spacing w:after="0" w:line="193"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20"/>
          <w:szCs w:val="20"/>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88" w:lineRule="exact"/>
        <w:rPr>
          <w:sz w:val="20"/>
          <w:szCs w:val="20"/>
          <w:color w:val="auto"/>
        </w:rPr>
      </w:pPr>
    </w:p>
    <w:p>
      <w:pPr>
        <w:ind w:left="8" w:hanging="8"/>
        <w:spacing w:after="0" w:line="287" w:lineRule="auto"/>
        <w:tabs>
          <w:tab w:leader="none" w:pos="33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Wherever used herein, the following terms shall have the meanings set forth below. </w:t>
      </w:r>
      <w:r>
        <w:rPr>
          <w:rFonts w:ascii="Times New Roman" w:cs="Times New Roman" w:eastAsia="Times New Roman" w:hAnsi="Times New Roman"/>
          <w:sz w:val="20"/>
          <w:szCs w:val="20"/>
          <w:b w:val="1"/>
          <w:bCs w:val="1"/>
          <w:i w:val="1"/>
          <w:iCs w:val="1"/>
          <w:color w:val="auto"/>
        </w:rPr>
        <w:t>Capitalized terms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otherwise defined in this Notice of Award shall have the same meanings as set forth in the EICP.</w:t>
      </w:r>
    </w:p>
    <w:p>
      <w:pPr>
        <w:spacing w:after="0" w:line="182" w:lineRule="exact"/>
        <w:rPr>
          <w:rFonts w:ascii="Times New Roman" w:cs="Times New Roman" w:eastAsia="Times New Roman" w:hAnsi="Times New Roman"/>
          <w:sz w:val="20"/>
          <w:szCs w:val="20"/>
          <w:color w:val="auto"/>
        </w:rPr>
      </w:pPr>
    </w:p>
    <w:p>
      <w:pPr>
        <w:ind w:left="648" w:hanging="1"/>
        <w:spacing w:after="0" w:line="269" w:lineRule="auto"/>
        <w:tabs>
          <w:tab w:leader="none" w:pos="96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Relationships” means the Company’s relationships with customers, suppliers, agents, licensees, licensors and others that likewise give the Company a competitive advantage.</w:t>
      </w:r>
    </w:p>
    <w:p>
      <w:pPr>
        <w:spacing w:after="0" w:line="199" w:lineRule="exact"/>
        <w:rPr>
          <w:rFonts w:ascii="Times New Roman" w:cs="Times New Roman" w:eastAsia="Times New Roman" w:hAnsi="Times New Roman"/>
          <w:sz w:val="20"/>
          <w:szCs w:val="20"/>
          <w:color w:val="auto"/>
        </w:rPr>
      </w:pPr>
    </w:p>
    <w:p>
      <w:pPr>
        <w:ind w:left="968" w:hanging="321"/>
        <w:spacing w:after="0"/>
        <w:tabs>
          <w:tab w:leader="none" w:pos="96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means the Compensation and Executive Organization Committee of the Board of Directors.</w:t>
      </w:r>
    </w:p>
    <w:p>
      <w:pPr>
        <w:spacing w:after="0" w:line="229" w:lineRule="exact"/>
        <w:rPr>
          <w:rFonts w:ascii="Times New Roman" w:cs="Times New Roman" w:eastAsia="Times New Roman" w:hAnsi="Times New Roman"/>
          <w:sz w:val="20"/>
          <w:szCs w:val="20"/>
          <w:color w:val="auto"/>
        </w:rPr>
      </w:pPr>
    </w:p>
    <w:p>
      <w:pPr>
        <w:ind w:left="648" w:hanging="1"/>
        <w:spacing w:after="0" w:line="283" w:lineRule="auto"/>
        <w:tabs>
          <w:tab w:leader="none" w:pos="96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“Competing Business” means any business, person, entity or group of business entities, regardless of whether organized as a corporation, partnership (general or</w:t>
      </w:r>
    </w:p>
    <w:p>
      <w:pPr>
        <w:sectPr>
          <w:pgSz w:w="11900" w:h="16838" w:orient="portrait"/>
          <w:cols w:equalWidth="0" w:num="1">
            <w:col w:w="10588"/>
          </w:cols>
          <w:pgMar w:left="652" w:top="1328" w:right="659" w:bottom="1440" w:gutter="0" w:footer="0" w:header="0"/>
        </w:sectPr>
      </w:pPr>
    </w:p>
    <w:bookmarkStart w:id="56" w:name="page57"/>
    <w:bookmarkEnd w:id="56"/>
    <w:p>
      <w:pPr>
        <w:spacing w:after="0" w:line="203"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20"/>
          <w:szCs w:val="20"/>
          <w:color w:val="auto"/>
        </w:rPr>
        <w:t>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204" w:lineRule="exact"/>
        <w:rPr>
          <w:sz w:val="20"/>
          <w:szCs w:val="20"/>
          <w:color w:val="auto"/>
        </w:rPr>
      </w:pPr>
    </w:p>
    <w:p>
      <w:pPr>
        <w:jc w:val="both"/>
        <w:ind w:left="1" w:hanging="1"/>
        <w:spacing w:after="0" w:line="253" w:lineRule="auto"/>
        <w:tabs>
          <w:tab w:leader="none" w:pos="31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92" w:lineRule="exact"/>
        <w:rPr>
          <w:rFonts w:ascii="Times New Roman" w:cs="Times New Roman" w:eastAsia="Times New Roman" w:hAnsi="Times New Roman"/>
          <w:sz w:val="20"/>
          <w:szCs w:val="20"/>
          <w:color w:val="auto"/>
        </w:rPr>
      </w:pPr>
    </w:p>
    <w:p>
      <w:pPr>
        <w:ind w:left="1" w:hanging="1"/>
        <w:spacing w:after="0" w:line="283" w:lineRule="auto"/>
        <w:tabs>
          <w:tab w:leader="none" w:pos="32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Compensation Plan” means The Hershey Company Deferred Compensation Plan and any successor or replacement plan thereof.</w:t>
      </w:r>
    </w:p>
    <w:p>
      <w:pPr>
        <w:spacing w:after="0" w:line="173" w:lineRule="exact"/>
        <w:rPr>
          <w:rFonts w:ascii="Times New Roman" w:cs="Times New Roman" w:eastAsia="Times New Roman" w:hAnsi="Times New Roman"/>
          <w:sz w:val="20"/>
          <w:szCs w:val="20"/>
          <w:color w:val="auto"/>
        </w:rPr>
      </w:pPr>
    </w:p>
    <w:p>
      <w:pPr>
        <w:jc w:val="both"/>
        <w:ind w:left="1" w:hanging="1"/>
        <w:spacing w:after="0" w:line="258" w:lineRule="auto"/>
        <w:tabs>
          <w:tab w:leader="none" w:pos="32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212" w:lineRule="exact"/>
        <w:rPr>
          <w:rFonts w:ascii="Times New Roman" w:cs="Times New Roman" w:eastAsia="Times New Roman" w:hAnsi="Times New Roman"/>
          <w:sz w:val="20"/>
          <w:szCs w:val="20"/>
          <w:color w:val="auto"/>
        </w:rPr>
      </w:pPr>
    </w:p>
    <w:p>
      <w:pPr>
        <w:jc w:val="both"/>
        <w:ind w:left="1" w:hanging="1"/>
        <w:spacing w:after="0" w:line="253" w:lineRule="auto"/>
        <w:tabs>
          <w:tab w:leader="none" w:pos="31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Employee” means a “specified employee” under Internal Revenue Code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205" w:lineRule="exact"/>
        <w:rPr>
          <w:rFonts w:ascii="Times New Roman" w:cs="Times New Roman" w:eastAsia="Times New Roman" w:hAnsi="Times New Roman"/>
          <w:sz w:val="20"/>
          <w:szCs w:val="20"/>
          <w:color w:val="auto"/>
        </w:rPr>
      </w:pPr>
    </w:p>
    <w:p>
      <w:pPr>
        <w:jc w:val="both"/>
        <w:ind w:left="1" w:hanging="1"/>
        <w:spacing w:after="0" w:line="261" w:lineRule="auto"/>
        <w:tabs>
          <w:tab w:leader="none" w:pos="31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reference is made to a “performance metric,” the reference is intended to refer to a Performance Goal and the performance period (the Performance Cycle or a calendar year within the Performance Cycle) over which attainment of the Performance Goal is measured.</w:t>
      </w:r>
    </w:p>
    <w:p>
      <w:pPr>
        <w:spacing w:after="0" w:line="181" w:lineRule="exact"/>
        <w:rPr>
          <w:rFonts w:ascii="Times New Roman" w:cs="Times New Roman" w:eastAsia="Times New Roman" w:hAnsi="Times New Roman"/>
          <w:sz w:val="20"/>
          <w:szCs w:val="20"/>
          <w:color w:val="auto"/>
        </w:rPr>
      </w:pPr>
    </w:p>
    <w:p>
      <w:pPr>
        <w:ind w:left="1" w:right="20" w:hanging="1"/>
        <w:spacing w:after="0" w:line="283" w:lineRule="auto"/>
        <w:tabs>
          <w:tab w:leader="none" w:pos="3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“EICP” means The Hershey Company Equity and Incentive Compensation Plan, as in effect from time to time and any successor or replacement plan thereof.</w:t>
      </w:r>
    </w:p>
    <w:p>
      <w:pPr>
        <w:sectPr>
          <w:pgSz w:w="11900" w:h="16838" w:orient="portrait"/>
          <w:cols w:equalWidth="0" w:num="1">
            <w:col w:w="9941"/>
          </w:cols>
          <w:pgMar w:left="1299" w:top="1440" w:right="659" w:bottom="1440" w:gutter="0" w:footer="0" w:header="0"/>
        </w:sectPr>
      </w:pPr>
    </w:p>
    <w:bookmarkStart w:id="57" w:name="page58"/>
    <w:bookmarkEnd w:id="57"/>
    <w:p>
      <w:pPr>
        <w:spacing w:after="0" w:line="203" w:lineRule="exact"/>
        <w:rPr>
          <w:sz w:val="20"/>
          <w:szCs w:val="20"/>
          <w:color w:val="auto"/>
        </w:rPr>
      </w:pPr>
    </w:p>
    <w:p>
      <w:pPr>
        <w:ind w:left="648" w:hanging="1"/>
        <w:spacing w:after="0" w:line="283" w:lineRule="auto"/>
        <w:tabs>
          <w:tab w:leader="none" w:pos="96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Grantee is “Retirement Eligible” on and after the date the Grantee has both attained his or her 55th birthday and been continuously employed by the Company for at least five (5) years.</w:t>
      </w:r>
    </w:p>
    <w:p>
      <w:pPr>
        <w:spacing w:after="0" w:line="186" w:lineRule="exact"/>
        <w:rPr>
          <w:rFonts w:ascii="Times New Roman" w:cs="Times New Roman" w:eastAsia="Times New Roman" w:hAnsi="Times New Roman"/>
          <w:sz w:val="20"/>
          <w:szCs w:val="20"/>
          <w:color w:val="auto"/>
        </w:rPr>
      </w:pPr>
    </w:p>
    <w:p>
      <w:pPr>
        <w:ind w:left="968" w:hanging="321"/>
        <w:spacing w:after="0"/>
        <w:tabs>
          <w:tab w:leader="none" w:pos="96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Contact” means contact for the purpose of furthering the Company’s business.</w:t>
      </w:r>
    </w:p>
    <w:p>
      <w:pPr>
        <w:spacing w:after="0" w:line="229" w:lineRule="exact"/>
        <w:rPr>
          <w:rFonts w:ascii="Times New Roman" w:cs="Times New Roman" w:eastAsia="Times New Roman" w:hAnsi="Times New Roman"/>
          <w:sz w:val="20"/>
          <w:szCs w:val="20"/>
          <w:color w:val="auto"/>
        </w:rPr>
      </w:pPr>
    </w:p>
    <w:p>
      <w:pPr>
        <w:ind w:left="648" w:hanging="1"/>
        <w:spacing w:after="0" w:line="283" w:lineRule="auto"/>
        <w:tabs>
          <w:tab w:leader="none" w:pos="96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“Separation from Service” or “Separate from Service” means a “separation from service” within the meaning of Code section 409A.</w:t>
      </w:r>
    </w:p>
    <w:p>
      <w:pPr>
        <w:spacing w:after="0" w:line="173" w:lineRule="exact"/>
        <w:rPr>
          <w:rFonts w:ascii="Times New Roman" w:cs="Times New Roman" w:eastAsia="Times New Roman" w:hAnsi="Times New Roman"/>
          <w:sz w:val="20"/>
          <w:szCs w:val="20"/>
          <w:color w:val="auto"/>
        </w:rPr>
      </w:pPr>
    </w:p>
    <w:p>
      <w:pPr>
        <w:jc w:val="both"/>
        <w:ind w:left="8" w:hanging="8"/>
        <w:spacing w:after="0" w:line="258" w:lineRule="auto"/>
        <w:tabs>
          <w:tab w:leader="none" w:pos="33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On the last day of the three-year Performance Cycle (the “Vesting Date”), the Grantee shall vest in the number of PSUs earned based on the Company’s actual performance during the Performance Cycle relative to each performance metric, provided that the Grantee has remained in continuous employment with the Company from the Grant Date through such date and has accepted and agreed to all terms and conditions in this agreement.</w:t>
      </w:r>
    </w:p>
    <w:p>
      <w:pPr>
        <w:spacing w:after="0" w:line="213"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20"/>
          <w:szCs w:val="20"/>
          <w:color w:val="auto"/>
        </w:rPr>
        <w:t>In the event of a Change in Control, vesting of PSUs, if any, shall be determined in accordance with paragraph 15 of the EICP. In accordance with paragraph 15 of the EICP, if the PSUs are assumed or replaced, or remain outstanding, such that the PSUs as assumed, replaced or continued qualify as a Replacement Award under paragraph 15 of the EICP, the occurrence of the Change in Control shall not affect the vesting or payment of the PSUs which shall then constitute a Replaced Award as defined in the EICP. However, if within two (2) years following the Change in Control and prior to the Vesting Date, Grantee's employment is terminated by the Company for any reason other than for Cause (as defined in the EICP</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by the Grantee for Good Reason (as defined in the EICP), as a result of Grantee 's death or as a result of Grantee becoming Disabled, the Grantee shall immediately vest in the Replacement Award upon such termination based on the provisions of The Hershey Company Executive Benefits Protection Plan (“EBPP”) applicable to Grantee;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Grantee is not a participant in any EBPP, then the Grantee shall immediately vest in the Replacement Award upon such termination based on the provisions of EBPP (Group 3A). Notwithstanding the foregoing, if the Committee determines that the PSUs are not replaced in connection with a Change in Control with awards meeting the requirements for Replacement Awards, the Grantee shall vest in the PSUs and receive payment in accordance with the provisions of the EBPP applicable to Grantee;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Grantee is not a participant in any EBPP, then the Grantee shall vest in the PSUs and receive payment in accordance with the provisions of EBPP (Group 3A). This section is intended to only set forth PSU vesting provisions in the circumstances identified. This section does not change or modify which employees are eligible to participate in the EBPP.</w:t>
      </w:r>
    </w:p>
    <w:p>
      <w:pPr>
        <w:spacing w:after="0" w:line="205"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20"/>
          <w:szCs w:val="20"/>
          <w:color w:val="auto"/>
        </w:rPr>
        <w:t>If prior to the Vesting Date, the Grantee’s employment with the Company terminates for any reason, then the PSUs subject to this Notice of Award shall terminate and be completely forfeited on the date of such termination of the Grantee’s employment unless the Grantee is entitled to vesting with respect to the PSUs under the terms of the EICP or other Company-sponsored plan or agreement or as described in this paragraph 3 relating to a Change in Control, paragraph 4 below relating to special vesting conditions or paragraph 13(G) below relating to Foreign Nationals, in which case such vesting of the PSUs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6, all of the PSUs will immediately and automatically without any action on the part of the Grantee or the Company, be forfeited by the Grantee.</w:t>
      </w:r>
    </w:p>
    <w:p>
      <w:pPr>
        <w:sectPr>
          <w:pgSz w:w="11900" w:h="16838" w:orient="portrait"/>
          <w:cols w:equalWidth="0" w:num="1">
            <w:col w:w="10588"/>
          </w:cols>
          <w:pgMar w:left="652" w:top="1440" w:right="659" w:bottom="1440" w:gutter="0" w:footer="0" w:header="0"/>
        </w:sectPr>
      </w:pPr>
    </w:p>
    <w:bookmarkStart w:id="58" w:name="page59"/>
    <w:bookmarkEnd w:id="58"/>
    <w:p>
      <w:pPr>
        <w:spacing w:after="0" w:line="203" w:lineRule="exact"/>
        <w:rPr>
          <w:sz w:val="20"/>
          <w:szCs w:val="20"/>
          <w:color w:val="auto"/>
        </w:rPr>
      </w:pPr>
    </w:p>
    <w:p>
      <w:pPr>
        <w:ind w:left="8" w:hanging="8"/>
        <w:spacing w:after="0" w:line="283" w:lineRule="auto"/>
        <w:tabs>
          <w:tab w:leader="none" w:pos="3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VESTING CONDITIONS</w:t>
      </w:r>
      <w:r>
        <w:rPr>
          <w:rFonts w:ascii="Times New Roman" w:cs="Times New Roman" w:eastAsia="Times New Roman" w:hAnsi="Times New Roman"/>
          <w:sz w:val="20"/>
          <w:szCs w:val="20"/>
          <w:color w:val="auto"/>
        </w:rPr>
        <w:t>. The Committee has determined that the following special vesting conditions shall apply to this award.</w:t>
      </w:r>
    </w:p>
    <w:p>
      <w:pPr>
        <w:spacing w:after="0" w:line="186" w:lineRule="exact"/>
        <w:rPr>
          <w:rFonts w:ascii="Times New Roman" w:cs="Times New Roman" w:eastAsia="Times New Roman" w:hAnsi="Times New Roman"/>
          <w:sz w:val="20"/>
          <w:szCs w:val="20"/>
          <w:color w:val="auto"/>
        </w:rPr>
      </w:pPr>
    </w:p>
    <w:p>
      <w:pPr>
        <w:jc w:val="both"/>
        <w:ind w:left="968" w:firstLine="3"/>
        <w:spacing w:after="0" w:line="251" w:lineRule="auto"/>
        <w:tabs>
          <w:tab w:leader="none" w:pos="1607"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Grantee’s employment with the Company terminates (i) as a result of the Grantee’s death or (ii) solely as a result of Grantee becoming Disabled, then the Grantee will vest immediately on the date of such termination in a prorated portion of the PSUs allocated to each performance metric in effect as of the date of employment termination and the number of PSUs earned, if any, will be determined based on Hershey’s (or an applicable subsidiary, division or similar unit of the Company) financial statement accruals through the completed fiscal quarter immediately preceding termination of employment for each performance metric, provided, if such termination occurs during the first fiscal quarter, the number of earned PSUs will be based on the target number of PSUs allocated to each such performance metric.</w:t>
      </w:r>
    </w:p>
    <w:p>
      <w:pPr>
        <w:spacing w:after="0" w:line="208" w:lineRule="exact"/>
        <w:rPr>
          <w:rFonts w:ascii="Times New Roman" w:cs="Times New Roman" w:eastAsia="Times New Roman" w:hAnsi="Times New Roman"/>
          <w:sz w:val="20"/>
          <w:szCs w:val="20"/>
          <w:color w:val="auto"/>
        </w:rPr>
      </w:pPr>
    </w:p>
    <w:p>
      <w:pPr>
        <w:jc w:val="both"/>
        <w:ind w:left="968" w:firstLine="3"/>
        <w:spacing w:after="0" w:line="257" w:lineRule="auto"/>
        <w:tabs>
          <w:tab w:leader="none" w:pos="161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Grantee’s employment with the Company terminates (other than for Cause (as defined in the EICP)) when the Grantee is Retirement Eligible, then the Grantee will vest upon the Vesting Date in a prorated portion of the PSUs allocated to each performance metric and the number of PSUs earned, if any, will be based on Hershey’s (or an applicable subsidiary, division or similar unit of the Company) actual performance during the Performance Cycle for each performance metric.</w:t>
      </w:r>
    </w:p>
    <w:p>
      <w:pPr>
        <w:spacing w:after="0" w:line="199" w:lineRule="exact"/>
        <w:rPr>
          <w:rFonts w:ascii="Times New Roman" w:cs="Times New Roman" w:eastAsia="Times New Roman" w:hAnsi="Times New Roman"/>
          <w:sz w:val="20"/>
          <w:szCs w:val="20"/>
          <w:color w:val="auto"/>
        </w:rPr>
      </w:pPr>
    </w:p>
    <w:p>
      <w:pPr>
        <w:jc w:val="both"/>
        <w:ind w:left="968" w:firstLine="3"/>
        <w:spacing w:after="0" w:line="252" w:lineRule="auto"/>
        <w:tabs>
          <w:tab w:leader="none" w:pos="161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prorated portion of the earned PSUs allocated to each performance metric, determined as described in paragraphs 4(A) and 4(B) above, shall be equal to the number of PSUs allocated at the start of the Performance Cycle to such performance metric multiplied by a fraction, the numerator of which equals the number of full and partial calendar months during the performance period (the Performance Cycle or a calendar year within the Performance Cycle, as applicable) for such performance metric preceding the date of the Grantee’s termination and the denominator of which equals the number of months in the performance period for such performance metric. Any fractional share resulting from such calculations shall be eliminated by rounding down to the nearest whole number for each performance metric. Any PSUs subject to this Notice of Award in excess of the prorated amounts shall not vest pursuant to paragraph 4(A) or 4(B) but instead shall terminate and be completely forfeited as of the date of termination.</w:t>
      </w:r>
    </w:p>
    <w:p>
      <w:pPr>
        <w:spacing w:after="0" w:line="202" w:lineRule="exact"/>
        <w:rPr>
          <w:rFonts w:ascii="Times New Roman" w:cs="Times New Roman" w:eastAsia="Times New Roman" w:hAnsi="Times New Roman"/>
          <w:sz w:val="20"/>
          <w:szCs w:val="20"/>
          <w:color w:val="auto"/>
        </w:rPr>
      </w:pPr>
    </w:p>
    <w:p>
      <w:pPr>
        <w:jc w:val="both"/>
        <w:ind w:left="8" w:hanging="8"/>
        <w:spacing w:after="0" w:line="251" w:lineRule="auto"/>
        <w:tabs>
          <w:tab w:leader="none" w:pos="3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EARNED PSUs</w:t>
      </w:r>
      <w:r>
        <w:rPr>
          <w:rFonts w:ascii="Times New Roman" w:cs="Times New Roman" w:eastAsia="Times New Roman" w:hAnsi="Times New Roman"/>
          <w:sz w:val="20"/>
          <w:szCs w:val="20"/>
          <w:color w:val="auto"/>
        </w:rPr>
        <w:t>. The number of PSUs earned, if any, with respect to each performance metric shall be determined following the conclusion of the Performance Cycle (and, if applicable, any performance period ending in the Performance Cycle), based upon achievement against the applicable Performance Goals. Any fractional share resulting from such calculations shall be eliminated by rounding to the nearest whole number for each performance metric. The determination of earned PSUs and the prorated amounts under paragraphs 4(A) and 4(C) in the event of Grantee’s termination due to death or becoming Disabled will be made within 60 days following such termination. The final determination of the number of PSUs earned is subject to review, approval and modification by the Committee.</w:t>
      </w:r>
    </w:p>
    <w:p>
      <w:pPr>
        <w:spacing w:after="0" w:line="192" w:lineRule="exact"/>
        <w:rPr>
          <w:rFonts w:ascii="Times New Roman" w:cs="Times New Roman" w:eastAsia="Times New Roman" w:hAnsi="Times New Roman"/>
          <w:sz w:val="20"/>
          <w:szCs w:val="20"/>
          <w:color w:val="auto"/>
        </w:rPr>
      </w:pPr>
    </w:p>
    <w:p>
      <w:pPr>
        <w:jc w:val="both"/>
        <w:ind w:left="8" w:hanging="8"/>
        <w:spacing w:after="0" w:line="257" w:lineRule="auto"/>
        <w:tabs>
          <w:tab w:leader="none" w:pos="3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AWARD</w:t>
      </w:r>
      <w:r>
        <w:rPr>
          <w:rFonts w:ascii="Times New Roman" w:cs="Times New Roman" w:eastAsia="Times New Roman" w:hAnsi="Times New Roman"/>
          <w:sz w:val="20"/>
          <w:szCs w:val="20"/>
          <w:color w:val="auto"/>
        </w:rPr>
        <w:t>. Unless deferred under the Deferred Compensation Plan, earned PSUs that have vested (“Vested Units”) shall be paid in the form of a share of Common Stock, unless prohibited by applicable local law or as otherwise provided by the Committee or other applicable agreement or the EBPP (if applicable), in which case the Vested Units will be paid in the cash equivalent, effective as of (A) the date the Committee approves the number of PSUs earned for the Performance Cycle (or, if earlier, the date the award vests in accordance with the</w:t>
      </w:r>
    </w:p>
    <w:p>
      <w:pPr>
        <w:sectPr>
          <w:pgSz w:w="11900" w:h="16838" w:orient="portrait"/>
          <w:cols w:equalWidth="0" w:num="1">
            <w:col w:w="10588"/>
          </w:cols>
          <w:pgMar w:left="652" w:top="1440" w:right="659" w:bottom="1440" w:gutter="0" w:footer="0" w:header="0"/>
        </w:sectPr>
      </w:pPr>
    </w:p>
    <w:bookmarkStart w:id="59" w:name="page60"/>
    <w:bookmarkEnd w:id="59"/>
    <w:p>
      <w:pPr>
        <w:spacing w:after="0" w:line="203"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20"/>
          <w:szCs w:val="20"/>
          <w:color w:val="auto"/>
        </w:rPr>
        <w:t>provisions of paragraph 3 applicable upon a Change in Control), (B) the date of Grantee’s death, or (C) the date Grantee becomes Disabled. In the event payment is made pursuant to clause (A) above, such payment shall be made as soon as practicable following the Vesting Date and the Committee’s approval of the number of PSUs earned, but in no event later than seventy-five (75) days following the Vesting Date. In the event payment is made pursuant to clause (B) or (C) above, such payment shall be made on or before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the date of the applicable event.</w:t>
      </w:r>
    </w:p>
    <w:p>
      <w:pPr>
        <w:spacing w:after="0" w:line="99"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20"/>
          <w:szCs w:val="20"/>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73" w:lineRule="exact"/>
        <w:rPr>
          <w:sz w:val="20"/>
          <w:szCs w:val="20"/>
          <w:color w:val="auto"/>
        </w:rPr>
      </w:pPr>
    </w:p>
    <w:p>
      <w:pPr>
        <w:jc w:val="both"/>
        <w:ind w:left="8" w:hanging="8"/>
        <w:spacing w:after="0" w:line="265" w:lineRule="auto"/>
        <w:tabs>
          <w:tab w:leader="none" w:pos="33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Grantee acknowledges that due to the nature of his/her employment with the Company ,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w:t>
      </w:r>
    </w:p>
    <w:p>
      <w:pPr>
        <w:spacing w:after="0" w:line="3" w:lineRule="exact"/>
        <w:rPr>
          <w:rFonts w:ascii="Times New Roman" w:cs="Times New Roman" w:eastAsia="Times New Roman" w:hAnsi="Times New Roman"/>
          <w:sz w:val="19"/>
          <w:szCs w:val="19"/>
          <w:color w:val="auto"/>
        </w:rPr>
      </w:pPr>
    </w:p>
    <w:p>
      <w:pPr>
        <w:jc w:val="both"/>
        <w:ind w:left="8"/>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(ii) for a period of twelve (12) months following the termination of his/her employment, Grantee,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178" w:lineRule="exact"/>
        <w:rPr>
          <w:rFonts w:ascii="Times New Roman" w:cs="Times New Roman" w:eastAsia="Times New Roman" w:hAnsi="Times New Roman"/>
          <w:sz w:val="19"/>
          <w:szCs w:val="19"/>
          <w:color w:val="auto"/>
        </w:rPr>
      </w:pPr>
    </w:p>
    <w:p>
      <w:pPr>
        <w:jc w:val="both"/>
        <w:ind w:left="8" w:hanging="8"/>
        <w:spacing w:after="0" w:line="270" w:lineRule="auto"/>
        <w:tabs>
          <w:tab w:leader="none" w:pos="33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w:t>
      </w:r>
      <w:r>
        <w:rPr>
          <w:rFonts w:ascii="Times New Roman" w:cs="Times New Roman" w:eastAsia="Times New Roman" w:hAnsi="Times New Roman"/>
          <w:sz w:val="19"/>
          <w:szCs w:val="19"/>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w:t>
      </w:r>
    </w:p>
    <w:p>
      <w:pPr>
        <w:sectPr>
          <w:pgSz w:w="11900" w:h="16838" w:orient="portrait"/>
          <w:cols w:equalWidth="0" w:num="1">
            <w:col w:w="10588"/>
          </w:cols>
          <w:pgMar w:left="652" w:top="1440" w:right="659" w:bottom="1440" w:gutter="0" w:footer="0" w:header="0"/>
        </w:sectPr>
      </w:pPr>
    </w:p>
    <w:bookmarkStart w:id="60" w:name="page61"/>
    <w:bookmarkEnd w:id="60"/>
    <w:p>
      <w:pPr>
        <w:spacing w:after="0" w:line="203"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20"/>
          <w:szCs w:val="20"/>
          <w:color w:val="auto"/>
        </w:rPr>
        <w:t>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161" w:lineRule="exact"/>
        <w:rPr>
          <w:sz w:val="20"/>
          <w:szCs w:val="20"/>
          <w:color w:val="auto"/>
        </w:rPr>
      </w:pPr>
    </w:p>
    <w:p>
      <w:pPr>
        <w:jc w:val="both"/>
        <w:ind w:left="648"/>
        <w:spacing w:after="0" w:line="258" w:lineRule="auto"/>
        <w:tabs>
          <w:tab w:leader="none" w:pos="963"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185" w:lineRule="exact"/>
        <w:rPr>
          <w:rFonts w:ascii="Times New Roman" w:cs="Times New Roman" w:eastAsia="Times New Roman" w:hAnsi="Times New Roman"/>
          <w:sz w:val="20"/>
          <w:szCs w:val="20"/>
          <w:color w:val="auto"/>
        </w:rPr>
      </w:pPr>
    </w:p>
    <w:p>
      <w:pPr>
        <w:jc w:val="both"/>
        <w:ind w:left="648"/>
        <w:spacing w:after="0" w:line="253" w:lineRule="auto"/>
        <w:tabs>
          <w:tab w:leader="none" w:pos="96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78" w:lineRule="exact"/>
        <w:rPr>
          <w:rFonts w:ascii="Times New Roman" w:cs="Times New Roman" w:eastAsia="Times New Roman" w:hAnsi="Times New Roman"/>
          <w:sz w:val="20"/>
          <w:szCs w:val="20"/>
          <w:color w:val="auto"/>
        </w:rPr>
      </w:pPr>
    </w:p>
    <w:p>
      <w:pPr>
        <w:jc w:val="both"/>
        <w:ind w:left="8" w:hanging="8"/>
        <w:spacing w:after="0" w:line="249" w:lineRule="auto"/>
        <w:tabs>
          <w:tab w:leader="none" w:pos="33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w:t>
      </w:r>
      <w:r>
        <w:rPr>
          <w:rFonts w:ascii="Times New Roman" w:cs="Times New Roman" w:eastAsia="Times New Roman" w:hAnsi="Times New Roman"/>
          <w:sz w:val="20"/>
          <w:szCs w:val="20"/>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9, Grantee may disclose or use any such information (i) when such disclosure or use may be required or appropriate in the good faith judgment of Grantee in the course of performing his/her duties to the Company and in accordance with the Company’s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201"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20"/>
          <w:szCs w:val="20"/>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w:t>
      </w:r>
    </w:p>
    <w:p>
      <w:pPr>
        <w:sectPr>
          <w:pgSz w:w="11900" w:h="16838" w:orient="portrait"/>
          <w:cols w:equalWidth="0" w:num="1">
            <w:col w:w="10588"/>
          </w:cols>
          <w:pgMar w:left="652" w:top="1440" w:right="659" w:bottom="1440" w:gutter="0" w:footer="0" w:header="0"/>
        </w:sectPr>
      </w:pPr>
    </w:p>
    <w:bookmarkStart w:id="61" w:name="page62"/>
    <w:bookmarkEnd w:id="61"/>
    <w:p>
      <w:pPr>
        <w:spacing w:after="0" w:line="203" w:lineRule="exact"/>
        <w:rPr>
          <w:sz w:val="20"/>
          <w:szCs w:val="20"/>
          <w:color w:val="auto"/>
        </w:rPr>
      </w:pPr>
    </w:p>
    <w:p>
      <w:pPr>
        <w:ind w:left="8" w:right="80"/>
        <w:spacing w:after="0" w:line="283" w:lineRule="auto"/>
        <w:rPr>
          <w:sz w:val="20"/>
          <w:szCs w:val="20"/>
          <w:color w:val="auto"/>
        </w:rPr>
      </w:pPr>
      <w:r>
        <w:rPr>
          <w:rFonts w:ascii="Times New Roman" w:cs="Times New Roman" w:eastAsia="Times New Roman" w:hAnsi="Times New Roman"/>
          <w:sz w:val="20"/>
          <w:szCs w:val="20"/>
          <w:color w:val="auto"/>
        </w:rPr>
        <w:t>provided Grantee files any document containing the trade secret under seal, and does not disclose the trade secret, except pursuant to court order.</w:t>
      </w:r>
    </w:p>
    <w:p>
      <w:pPr>
        <w:spacing w:after="0" w:line="160" w:lineRule="exact"/>
        <w:rPr>
          <w:sz w:val="20"/>
          <w:szCs w:val="20"/>
          <w:color w:val="auto"/>
        </w:rPr>
      </w:pPr>
    </w:p>
    <w:p>
      <w:pPr>
        <w:ind w:left="648" w:hanging="648"/>
        <w:spacing w:after="0"/>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RESTRICTIONS AND LIMITATIONS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648" w:hanging="1"/>
        <w:spacing w:after="0" w:line="261" w:lineRule="auto"/>
        <w:tabs>
          <w:tab w:leader="none" w:pos="96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no PSUs are earned or the Grantee does not vest in any PSUs, all interest in such units and any related shares of Common Stock shall be forfeited. The Grantee shall have no right or interest in any PSU or related share of Common Stock that is forfeited.</w:t>
      </w:r>
    </w:p>
    <w:p>
      <w:pPr>
        <w:spacing w:after="0" w:line="208" w:lineRule="exact"/>
        <w:rPr>
          <w:rFonts w:ascii="Times New Roman" w:cs="Times New Roman" w:eastAsia="Times New Roman" w:hAnsi="Times New Roman"/>
          <w:sz w:val="20"/>
          <w:szCs w:val="20"/>
          <w:color w:val="auto"/>
        </w:rPr>
      </w:pPr>
    </w:p>
    <w:p>
      <w:pPr>
        <w:jc w:val="both"/>
        <w:ind w:left="648" w:hanging="1"/>
        <w:spacing w:after="0" w:line="261" w:lineRule="auto"/>
        <w:tabs>
          <w:tab w:leader="none" w:pos="96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each issuance or transfer of shares of Common Stock in accordance with this Notice of Award, a number of Vested Units equal to the number of shares of Common Stock issued or transferred to the Grantee shall be extinguished and such number of Vested Units will not be considered to be held by the Grantee for any purpose.</w:t>
      </w:r>
    </w:p>
    <w:p>
      <w:pPr>
        <w:spacing w:after="0" w:line="208"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648" w:hanging="1"/>
        <w:spacing w:after="0" w:line="268" w:lineRule="auto"/>
        <w:tabs>
          <w:tab w:leader="none" w:pos="96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obligation to deliver shares of Common Stock or cash to settle the Vested Units shall be subject to the satisfaction of applicable tax withholding requirements. The Grantee may pay to the Company any applicable withholding tax due as a result of such payment.</w:t>
      </w:r>
    </w:p>
    <w:p>
      <w:pPr>
        <w:spacing w:after="0" w:line="188" w:lineRule="exact"/>
        <w:rPr>
          <w:rFonts w:ascii="Times New Roman" w:cs="Times New Roman" w:eastAsia="Times New Roman" w:hAnsi="Times New Roman"/>
          <w:sz w:val="20"/>
          <w:szCs w:val="20"/>
          <w:color w:val="auto"/>
        </w:rPr>
      </w:pPr>
    </w:p>
    <w:p>
      <w:pPr>
        <w:jc w:val="both"/>
        <w:ind w:left="648" w:hanging="1"/>
        <w:spacing w:after="0" w:line="261" w:lineRule="auto"/>
        <w:tabs>
          <w:tab w:leader="none" w:pos="96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Grantee has otherwise paid the withholding tax due, the Company shall withhold from any cash which may be paid and/or reduce the number of shares of Common Stock issued to the Grantee to satisfy the minimum applicable tax withholding requirements.</w:t>
      </w:r>
    </w:p>
    <w:p>
      <w:pPr>
        <w:spacing w:after="0" w:line="208" w:lineRule="exact"/>
        <w:rPr>
          <w:rFonts w:ascii="Times New Roman" w:cs="Times New Roman" w:eastAsia="Times New Roman" w:hAnsi="Times New Roman"/>
          <w:sz w:val="20"/>
          <w:szCs w:val="20"/>
          <w:color w:val="auto"/>
        </w:rPr>
      </w:pPr>
    </w:p>
    <w:p>
      <w:pPr>
        <w:jc w:val="both"/>
        <w:ind w:left="8" w:hanging="8"/>
        <w:spacing w:after="0" w:line="261" w:lineRule="auto"/>
        <w:tabs>
          <w:tab w:leader="none" w:pos="32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LAWS</w:t>
      </w:r>
      <w:r>
        <w:rPr>
          <w:rFonts w:ascii="Times New Roman" w:cs="Times New Roman" w:eastAsia="Times New Roman" w:hAnsi="Times New Roman"/>
          <w:sz w:val="20"/>
          <w:szCs w:val="20"/>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94"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648" w:hanging="1"/>
        <w:spacing w:after="0" w:line="250" w:lineRule="auto"/>
        <w:tabs>
          <w:tab w:leader="none" w:pos="96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PSUs awarded herewith, Grantee acknowledges and agrees that the PSUs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PSUs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w:t>
      </w:r>
    </w:p>
    <w:p>
      <w:pPr>
        <w:sectPr>
          <w:pgSz w:w="11900" w:h="16838" w:orient="portrait"/>
          <w:cols w:equalWidth="0" w:num="1">
            <w:col w:w="10588"/>
          </w:cols>
          <w:pgMar w:left="652" w:top="1440" w:right="659" w:bottom="1440" w:gutter="0" w:footer="0" w:header="0"/>
        </w:sectPr>
      </w:pPr>
    </w:p>
    <w:bookmarkStart w:id="62" w:name="page63"/>
    <w:bookmarkEnd w:id="62"/>
    <w:p>
      <w:pPr>
        <w:spacing w:after="0" w:line="203"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20"/>
          <w:szCs w:val="20"/>
          <w:color w:val="auto"/>
        </w:rPr>
        <w:t>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207" w:lineRule="exact"/>
        <w:rPr>
          <w:sz w:val="20"/>
          <w:szCs w:val="20"/>
          <w:color w:val="auto"/>
        </w:rPr>
      </w:pPr>
    </w:p>
    <w:p>
      <w:pPr>
        <w:jc w:val="both"/>
        <w:ind w:left="1"/>
        <w:spacing w:after="0" w:line="251" w:lineRule="auto"/>
        <w:tabs>
          <w:tab w:leader="none" w:pos="31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Grantee acknowledges and agrees that in addition to the relief described in paragraph 13(A), if the Committee determines, in its sole discretion , that Grantee has violated or threatened to violate the terms of this Notice of Award or the EICP, or that the Grantee has engaged in any intentional misconduct that caused the Company material financial or reputational harm, then Hershey may cancel any part of the grant that has not vested. In addition, upon the request or direction of the Committee, Grantee shall also immediately deliver to Hershey, the cash equivalent of any PSUs that have vested under this Notice of Award , inclusive of any dividends paid on any vested shares.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w:t>
      </w:r>
    </w:p>
    <w:p>
      <w:pPr>
        <w:spacing w:after="0" w:line="191" w:lineRule="exact"/>
        <w:rPr>
          <w:rFonts w:ascii="Times New Roman" w:cs="Times New Roman" w:eastAsia="Times New Roman" w:hAnsi="Times New Roman"/>
          <w:sz w:val="20"/>
          <w:szCs w:val="20"/>
          <w:color w:val="auto"/>
        </w:rPr>
      </w:pPr>
    </w:p>
    <w:p>
      <w:pPr>
        <w:jc w:val="both"/>
        <w:ind w:left="1"/>
        <w:spacing w:after="0" w:line="261" w:lineRule="auto"/>
        <w:tabs>
          <w:tab w:leader="none" w:pos="31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EICP or this Notice of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208" w:lineRule="exact"/>
        <w:rPr>
          <w:rFonts w:ascii="Times New Roman" w:cs="Times New Roman" w:eastAsia="Times New Roman" w:hAnsi="Times New Roman"/>
          <w:sz w:val="20"/>
          <w:szCs w:val="20"/>
          <w:color w:val="auto"/>
        </w:rPr>
      </w:pPr>
    </w:p>
    <w:p>
      <w:pPr>
        <w:jc w:val="both"/>
        <w:ind w:left="1" w:hanging="1"/>
        <w:spacing w:after="0" w:line="253" w:lineRule="auto"/>
        <w:tabs>
          <w:tab w:leader="none" w:pos="3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205" w:lineRule="exact"/>
        <w:rPr>
          <w:rFonts w:ascii="Times New Roman" w:cs="Times New Roman" w:eastAsia="Times New Roman" w:hAnsi="Times New Roman"/>
          <w:sz w:val="20"/>
          <w:szCs w:val="20"/>
          <w:color w:val="auto"/>
        </w:rPr>
      </w:pPr>
    </w:p>
    <w:p>
      <w:pPr>
        <w:jc w:val="both"/>
        <w:ind w:left="1" w:hanging="1"/>
        <w:spacing w:after="0" w:line="253" w:lineRule="auto"/>
        <w:tabs>
          <w:tab w:leader="none" w:pos="32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ectPr>
          <w:pgSz w:w="11900" w:h="16838" w:orient="portrait"/>
          <w:cols w:equalWidth="0" w:num="1">
            <w:col w:w="9941"/>
          </w:cols>
          <w:pgMar w:left="1299" w:top="1440" w:right="659" w:bottom="1440" w:gutter="0" w:footer="0" w:header="0"/>
        </w:sectPr>
      </w:pPr>
    </w:p>
    <w:bookmarkStart w:id="63" w:name="page64"/>
    <w:bookmarkEnd w:id="63"/>
    <w:p>
      <w:pPr>
        <w:spacing w:after="0" w:line="203" w:lineRule="exact"/>
        <w:rPr>
          <w:sz w:val="20"/>
          <w:szCs w:val="20"/>
          <w:color w:val="auto"/>
        </w:rPr>
      </w:pPr>
    </w:p>
    <w:p>
      <w:pPr>
        <w:jc w:val="both"/>
        <w:ind w:left="648" w:hanging="1"/>
        <w:spacing w:after="0" w:line="268" w:lineRule="auto"/>
        <w:tabs>
          <w:tab w:leader="none" w:pos="971"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88" w:lineRule="exact"/>
        <w:rPr>
          <w:rFonts w:ascii="Times New Roman" w:cs="Times New Roman" w:eastAsia="Times New Roman" w:hAnsi="Times New Roman"/>
          <w:sz w:val="20"/>
          <w:szCs w:val="20"/>
          <w:color w:val="auto"/>
        </w:rPr>
      </w:pPr>
    </w:p>
    <w:p>
      <w:pPr>
        <w:jc w:val="both"/>
        <w:ind w:left="648" w:hanging="1"/>
        <w:spacing w:after="0" w:line="251" w:lineRule="auto"/>
        <w:tabs>
          <w:tab w:leader="none" w:pos="96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PSUs, and (iii) has certain rights in the vesting and payment of the PSUs upon termination of employment under the laws of the country in which Grantee is employed, the vesting and payment of any unvested PSUs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PSUs, granted to such Foreign National, are subject to U.S. Tax Law, the payment of such PSUs shall be governed by the terms of this Notice of Award.</w:t>
      </w:r>
    </w:p>
    <w:p>
      <w:pPr>
        <w:spacing w:after="0" w:line="208" w:lineRule="exact"/>
        <w:rPr>
          <w:rFonts w:ascii="Times New Roman" w:cs="Times New Roman" w:eastAsia="Times New Roman" w:hAnsi="Times New Roman"/>
          <w:sz w:val="20"/>
          <w:szCs w:val="20"/>
          <w:color w:val="auto"/>
        </w:rPr>
      </w:pPr>
    </w:p>
    <w:p>
      <w:pPr>
        <w:jc w:val="both"/>
        <w:ind w:left="648" w:hanging="1"/>
        <w:spacing w:after="0" w:line="251" w:lineRule="auto"/>
        <w:tabs>
          <w:tab w:leader="none" w:pos="96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of PSUs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219" w:lineRule="exact"/>
        <w:rPr>
          <w:rFonts w:ascii="Times New Roman" w:cs="Times New Roman" w:eastAsia="Times New Roman" w:hAnsi="Times New Roman"/>
          <w:sz w:val="20"/>
          <w:szCs w:val="20"/>
          <w:color w:val="auto"/>
        </w:rPr>
      </w:pPr>
    </w:p>
    <w:p>
      <w:pPr>
        <w:jc w:val="both"/>
        <w:ind w:left="8" w:hanging="8"/>
        <w:spacing w:after="0" w:line="261" w:lineRule="auto"/>
        <w:tabs>
          <w:tab w:leader="none" w:pos="32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CONTACT INFORMATION</w:t>
      </w:r>
      <w:r>
        <w:rPr>
          <w:rFonts w:ascii="Times New Roman" w:cs="Times New Roman" w:eastAsia="Times New Roman" w:hAnsi="Times New Roman"/>
          <w:sz w:val="20"/>
          <w:szCs w:val="20"/>
          <w:color w:val="auto"/>
        </w:rPr>
        <w:t>. Copies of the EICP and Information Statement (Prospectus) for the EICP are available upon request from the myHR Support Center by calling 1-800-878- 0440 or by email to askHR@hersheys.com. Contact the VP, Global Total Rewards for information relating to the performance metrics.</w:t>
      </w:r>
    </w:p>
    <w:p>
      <w:pPr>
        <w:sectPr>
          <w:pgSz w:w="11900" w:h="16838" w:orient="portrait"/>
          <w:cols w:equalWidth="0" w:num="1">
            <w:col w:w="10588"/>
          </w:cols>
          <w:pgMar w:left="652" w:top="1440" w:right="6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Kirk Tanner, certify that:</w:t>
      </w:r>
    </w:p>
    <w:p>
      <w:pPr>
        <w:spacing w:after="0" w:line="104"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 KIRK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3463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Kirk Tanner</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October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Q3 2025 Form 10-Q | Exhibit 31.1</w:t>
      </w:r>
    </w:p>
    <w:p>
      <w:pPr>
        <w:sectPr>
          <w:pgSz w:w="11900" w:h="16838" w:orient="portrait"/>
          <w:cols w:equalWidth="0" w:num="1">
            <w:col w:w="11200"/>
          </w:cols>
          <w:pgMar w:left="360" w:top="76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92075</wp:posOffset>
            </wp:positionV>
            <wp:extent cx="3463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41"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October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Q3 2025 Form 10-Q | Exhibit 31.2</w:t>
      </w:r>
    </w:p>
    <w:p>
      <w:pPr>
        <w:sectPr>
          <w:pgSz w:w="11900" w:h="16838" w:orient="portrait"/>
          <w:cols w:equalWidth="0" w:num="1">
            <w:col w:w="11200"/>
          </w:cols>
          <w:pgMar w:left="360" w:top="76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September 28,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KIRK TANNER</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Kirk Tanner</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bl>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1049020</wp:posOffset>
            </wp:positionV>
            <wp:extent cx="1968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Q3 2025 Form 10-Q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lvl w:ilvl="1">
      <w:lvlJc w:val="left"/>
      <w:lvlText w:val="(%2)"/>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04"/>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2"/>
    </w:lvl>
    <w:lvl w:ilvl="1">
      <w:lvlJc w:val="left"/>
      <w:lvlText w:val="(%2)"/>
      <w:numFmt w:val="upperLetter"/>
      <w:start w:val="1"/>
    </w:lvl>
  </w:abstractNum>
  <w:abstractNum w:abstractNumId="30">
    <w:nsid w:val="77465F01"/>
    <w:multiLevelType w:val="hybridMultilevel"/>
    <w:lvl w:ilvl="0">
      <w:lvlJc w:val="left"/>
      <w:lvlText w:val="(%1)"/>
      <w:numFmt w:val="upperLetter"/>
      <w:start w:val="4"/>
    </w:lvl>
  </w:abstractNum>
  <w:abstractNum w:abstractNumId="31">
    <w:nsid w:val="7724C67E"/>
    <w:multiLevelType w:val="hybridMultilevel"/>
    <w:lvl w:ilvl="0">
      <w:lvlJc w:val="left"/>
      <w:lvlText w:val="%1"/>
      <w:numFmt w:val="decimal"/>
      <w:start w:val="1"/>
    </w:lvl>
    <w:lvl w:ilvl="1">
      <w:lvlJc w:val="left"/>
      <w:lvlText w:val="(%2)"/>
      <w:numFmt w:val="upperLetter"/>
      <w:start w:val="10"/>
    </w:lvl>
  </w:abstractNum>
  <w:abstractNum w:abstractNumId="32">
    <w:nsid w:val="5C482A97"/>
    <w:multiLevelType w:val="hybridMultilevel"/>
    <w:lvl w:ilvl="0">
      <w:lvlJc w:val="left"/>
      <w:lvlText w:val="%1."/>
      <w:numFmt w:val="decimal"/>
      <w:start w:val="3"/>
    </w:lvl>
    <w:lvl w:ilvl="1">
      <w:lvlJc w:val="left"/>
      <w:lvlText w:val="%2"/>
      <w:numFmt w:val="upperLetter"/>
      <w:start w:val="1"/>
    </w:lvl>
  </w:abstractNum>
  <w:abstractNum w:abstractNumId="33">
    <w:nsid w:val="2463B9EA"/>
    <w:multiLevelType w:val="hybridMultilevel"/>
    <w:lvl w:ilvl="0">
      <w:lvlJc w:val="left"/>
      <w:lvlText w:val="%1."/>
      <w:numFmt w:val="decimal"/>
      <w:start w:val="4"/>
    </w:lvl>
    <w:lvl w:ilvl="1">
      <w:lvlJc w:val="left"/>
      <w:lvlText w:val="(%2)"/>
      <w:numFmt w:val="upperLetter"/>
      <w:start w:val="1"/>
    </w:lvl>
  </w:abstractNum>
  <w:abstractNum w:abstractNumId="34">
    <w:nsid w:val="5E884ADC"/>
    <w:multiLevelType w:val="hybridMultilevel"/>
    <w:lvl w:ilvl="0">
      <w:lvlJc w:val="left"/>
      <w:lvlText w:val="%1."/>
      <w:numFmt w:val="decimal"/>
      <w:start w:val="7"/>
    </w:lvl>
  </w:abstractNum>
  <w:abstractNum w:abstractNumId="35">
    <w:nsid w:val="51EAD36B"/>
    <w:multiLevelType w:val="hybridMultilevel"/>
    <w:lvl w:ilvl="0">
      <w:lvlJc w:val="left"/>
      <w:lvlText w:val="%1"/>
      <w:numFmt w:val="decimal"/>
      <w:start w:val="1"/>
    </w:lvl>
    <w:lvl w:ilvl="1">
      <w:lvlJc w:val="left"/>
      <w:lvlText w:val="(%2)"/>
      <w:numFmt w:val="upperLetter"/>
      <w:start w:val="1"/>
    </w:lvl>
  </w:abstractNum>
  <w:abstractNum w:abstractNumId="36">
    <w:nsid w:val="2D517796"/>
    <w:multiLevelType w:val="hybridMultilevel"/>
    <w:lvl w:ilvl="0">
      <w:lvlJc w:val="left"/>
      <w:lvlText w:val="%1."/>
      <w:numFmt w:val="decimal"/>
      <w:start w:val="9"/>
    </w:lvl>
    <w:lvl w:ilvl="1">
      <w:lvlJc w:val="left"/>
      <w:lvlText w:val="%2"/>
      <w:numFmt w:val="upperLetter"/>
      <w:start w:val="1"/>
    </w:lvl>
  </w:abstractNum>
  <w:abstractNum w:abstractNumId="37">
    <w:nsid w:val="580BD78F"/>
    <w:multiLevelType w:val="hybridMultilevel"/>
    <w:lvl w:ilvl="0">
      <w:lvlJc w:val="left"/>
      <w:lvlText w:val="%1."/>
      <w:numFmt w:val="decimal"/>
      <w:start w:val="10"/>
    </w:lvl>
    <w:lvl w:ilvl="1">
      <w:lvlJc w:val="left"/>
      <w:lvlText w:val="(%2)"/>
      <w:numFmt w:val="upperLetter"/>
      <w:start w:val="1"/>
    </w:lvl>
  </w:abstractNum>
  <w:abstractNum w:abstractNumId="38">
    <w:nsid w:val="153EA438"/>
    <w:multiLevelType w:val="hybridMultilevel"/>
    <w:lvl w:ilvl="0">
      <w:lvlJc w:val="left"/>
      <w:lvlText w:val="(%1)"/>
      <w:numFmt w:val="upperLetter"/>
      <w:start w:val="2"/>
    </w:lvl>
  </w:abstractNum>
  <w:abstractNum w:abstractNumId="39">
    <w:nsid w:val="3855585C"/>
    <w:multiLevelType w:val="hybridMultilevel"/>
    <w:lvl w:ilvl="0">
      <w:lvlJc w:val="left"/>
      <w:lvlText w:val="%1"/>
      <w:numFmt w:val="decimal"/>
      <w:start w:val="1"/>
    </w:lvl>
    <w:lvl w:ilvl="1">
      <w:lvlJc w:val="left"/>
      <w:lvlText w:val="(%2)"/>
      <w:numFmt w:val="upperLetter"/>
      <w:start w:val="6"/>
    </w:lvl>
  </w:abstractNum>
  <w:abstractNum w:abstractNumId="40">
    <w:nsid w:val="70A64E2A"/>
    <w:multiLevelType w:val="hybridMultilevel"/>
    <w:lvl w:ilvl="0">
      <w:lvlJc w:val="left"/>
      <w:lvlText w:val="%1."/>
      <w:numFmt w:val="decimal"/>
      <w:start w:val="14"/>
    </w:lvl>
    <w:lvl w:ilvl="1">
      <w:lvlJc w:val="left"/>
      <w:lvlText w:val="%2"/>
      <w:numFmt w:val="upp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53" Type="http://schemas.openxmlformats.org/officeDocument/2006/relationships/image" Target="media/image142.jpeg"/><Relationship Id="rId154" Type="http://schemas.openxmlformats.org/officeDocument/2006/relationships/image" Target="media/image143.png"/><Relationship Id="rId155" Type="http://schemas.openxmlformats.org/officeDocument/2006/relationships/image" Target="media/image144.jpeg"/><Relationship Id="rId156" Type="http://schemas.openxmlformats.org/officeDocument/2006/relationships/image" Target="media/image145.jpeg"/><Relationship Id="rId157" Type="http://schemas.openxmlformats.org/officeDocument/2006/relationships/image" Target="media/image146.jpeg"/><Relationship Id="rId158" Type="http://schemas.openxmlformats.org/officeDocument/2006/relationships/image" Target="media/image147.png"/><Relationship Id="rId159" Type="http://schemas.openxmlformats.org/officeDocument/2006/relationships/image" Target="media/image148.jpeg"/><Relationship Id="rId160" Type="http://schemas.openxmlformats.org/officeDocument/2006/relationships/image" Target="media/image149.png"/><Relationship Id="rId161" Type="http://schemas.openxmlformats.org/officeDocument/2006/relationships/image" Target="media/image150.jpeg"/><Relationship Id="rId162" Type="http://schemas.openxmlformats.org/officeDocument/2006/relationships/image" Target="media/image151.jpeg"/><Relationship Id="rId149" Type="http://schemas.openxmlformats.org/officeDocument/2006/relationships/hyperlink" Target="https://www.sec.gov/Archives/edgar/data/47111/000004711125000112/hsy_20250730exhibit31.htm" TargetMode="External"/><Relationship Id="rId150" Type="http://schemas.openxmlformats.org/officeDocument/2006/relationships/hyperlink" Target="https://www.sec.gov/Archives/edgar/data/47111/000004711125000026/ex31-amendedbyxlawsxeffect.htm" TargetMode="External"/><Relationship Id="rId151" Type="http://schemas.openxmlformats.org/officeDocument/2006/relationships/hyperlink" Target="https://www.sec.gov/Archives/edgar/data/0000047111/000004711125000026/ex31-amendedbyxlawsxeffect.htm" TargetMode="External"/><Relationship Id="rId152" Type="http://schemas.openxmlformats.org/officeDocument/2006/relationships/hyperlink" Target="https://www.sec.gov/Archives/edgar/data/47111/000004711125000095/exhibit101-executiveemplo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2025-10-30T13:35:56Z</dcterms:created>
  <dcterms:modified xsi:type="dcterms:W3CDTF">2025-10-30T13:35:56Z</dcterms:modified>
</cp:coreProperties>
</file>