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44" w:lineRule="exact"/>
        <w:rPr>
          <w:sz w:val="24"/>
          <w:szCs w:val="24"/>
          <w:color w:val="auto"/>
        </w:rPr>
      </w:pPr>
    </w:p>
    <w:p>
      <w:pPr>
        <w:ind w:left="520" w:hanging="343"/>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29, 2026</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 w:lineRule="exact"/>
        <w:rPr>
          <w:sz w:val="24"/>
          <w:szCs w:val="24"/>
          <w:color w:val="auto"/>
        </w:rPr>
      </w:pPr>
    </w:p>
    <w:p>
      <w:pPr>
        <w:ind w:left="520" w:hanging="343"/>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______to_______</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058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THE HERSHEY COMPANY</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58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80" w:type="dxa"/>
            <w:vAlign w:val="bottom"/>
          </w:tcPr>
          <w:p>
            <w:pPr>
              <w:jc w:val="right"/>
              <w:ind w:right="2190"/>
              <w:spacing w:after="0"/>
              <w:rPr>
                <w:sz w:val="20"/>
                <w:szCs w:val="20"/>
                <w:color w:val="auto"/>
              </w:rPr>
            </w:pPr>
            <w:r>
              <w:rPr>
                <w:rFonts w:ascii="Times New Roman" w:cs="Times New Roman" w:eastAsia="Times New Roman" w:hAnsi="Times New Roman"/>
                <w:sz w:val="18"/>
                <w:szCs w:val="18"/>
                <w:b w:val="1"/>
                <w:bCs w:val="1"/>
                <w:color w:val="auto"/>
              </w:rPr>
              <w:t>23-0691590</w:t>
            </w:r>
          </w:p>
        </w:tc>
      </w:tr>
      <w:tr>
        <w:trPr>
          <w:trHeight w:val="234"/>
        </w:trPr>
        <w:tc>
          <w:tcPr>
            <w:tcW w:w="6920" w:type="dxa"/>
            <w:vAlign w:val="bottom"/>
            <w:gridSpan w:val="5"/>
          </w:tcPr>
          <w:p>
            <w:pPr>
              <w:jc w:val="center"/>
              <w:ind w:right="142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2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43"/>
        </w:trPr>
        <w:tc>
          <w:tcPr>
            <w:tcW w:w="3580" w:type="dxa"/>
            <w:vAlign w:val="bottom"/>
          </w:tcPr>
          <w:p>
            <w:pPr>
              <w:spacing w:after="0"/>
              <w:rPr>
                <w:sz w:val="21"/>
                <w:szCs w:val="21"/>
                <w:color w:val="auto"/>
              </w:rPr>
            </w:pPr>
          </w:p>
        </w:tc>
        <w:tc>
          <w:tcPr>
            <w:tcW w:w="7620" w:type="dxa"/>
            <w:vAlign w:val="bottom"/>
            <w:gridSpan w:val="5"/>
          </w:tcPr>
          <w:p>
            <w:pPr>
              <w:jc w:val="center"/>
              <w:ind w:right="3410"/>
              <w:spacing w:after="0"/>
              <w:rPr>
                <w:sz w:val="20"/>
                <w:szCs w:val="20"/>
                <w:color w:val="auto"/>
              </w:rPr>
            </w:pPr>
            <w:r>
              <w:rPr>
                <w:rFonts w:ascii="Times New Roman" w:cs="Times New Roman" w:eastAsia="Times New Roman" w:hAnsi="Times New Roman"/>
                <w:sz w:val="18"/>
                <w:szCs w:val="18"/>
                <w:b w:val="1"/>
                <w:bCs w:val="1"/>
                <w:color w:val="auto"/>
                <w:w w:val="98"/>
              </w:rPr>
              <w:t>19 East Chocolate Avenue, Hershey, PA 17033</w:t>
            </w:r>
          </w:p>
        </w:tc>
      </w:tr>
      <w:tr>
        <w:trPr>
          <w:trHeight w:val="176"/>
        </w:trPr>
        <w:tc>
          <w:tcPr>
            <w:tcW w:w="3580" w:type="dxa"/>
            <w:vAlign w:val="bottom"/>
          </w:tcPr>
          <w:p>
            <w:pPr>
              <w:spacing w:after="0"/>
              <w:rPr>
                <w:sz w:val="15"/>
                <w:szCs w:val="15"/>
                <w:color w:val="auto"/>
              </w:rPr>
            </w:pPr>
          </w:p>
        </w:tc>
        <w:tc>
          <w:tcPr>
            <w:tcW w:w="7620" w:type="dxa"/>
            <w:vAlign w:val="bottom"/>
            <w:gridSpan w:val="5"/>
          </w:tcPr>
          <w:p>
            <w:pPr>
              <w:jc w:val="center"/>
              <w:ind w:right="3410"/>
              <w:spacing w:after="0" w:line="176" w:lineRule="exact"/>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r>
      <w:tr>
        <w:trPr>
          <w:trHeight w:val="184"/>
        </w:trPr>
        <w:tc>
          <w:tcPr>
            <w:tcW w:w="3580" w:type="dxa"/>
            <w:vAlign w:val="bottom"/>
          </w:tcPr>
          <w:p>
            <w:pPr>
              <w:spacing w:after="0"/>
              <w:rPr>
                <w:sz w:val="16"/>
                <w:szCs w:val="16"/>
                <w:color w:val="auto"/>
              </w:rPr>
            </w:pPr>
          </w:p>
        </w:tc>
        <w:tc>
          <w:tcPr>
            <w:tcW w:w="3240" w:type="dxa"/>
            <w:vAlign w:val="bottom"/>
            <w:gridSpan w:val="3"/>
          </w:tcPr>
          <w:p>
            <w:pPr>
              <w:jc w:val="center"/>
              <w:ind w:left="7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(717) 534-4200</w:t>
            </w: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r>
      <w:tr>
        <w:trPr>
          <w:trHeight w:val="234"/>
        </w:trPr>
        <w:tc>
          <w:tcPr>
            <w:tcW w:w="3580" w:type="dxa"/>
            <w:vAlign w:val="bottom"/>
          </w:tcPr>
          <w:p>
            <w:pPr>
              <w:spacing w:after="0"/>
              <w:rPr>
                <w:sz w:val="20"/>
                <w:szCs w:val="20"/>
                <w:color w:val="auto"/>
              </w:rPr>
            </w:pPr>
          </w:p>
        </w:tc>
        <w:tc>
          <w:tcPr>
            <w:tcW w:w="7620" w:type="dxa"/>
            <w:vAlign w:val="bottom"/>
            <w:gridSpan w:val="5"/>
          </w:tcPr>
          <w:p>
            <w:pPr>
              <w:jc w:val="center"/>
              <w:ind w:right="34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73"/>
        </w:trPr>
        <w:tc>
          <w:tcPr>
            <w:tcW w:w="3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4280" w:type="dxa"/>
            <w:vAlign w:val="bottom"/>
          </w:tcPr>
          <w:p>
            <w:pPr>
              <w:spacing w:after="0"/>
              <w:rPr>
                <w:sz w:val="24"/>
                <w:szCs w:val="24"/>
                <w:color w:val="auto"/>
              </w:rPr>
            </w:pPr>
          </w:p>
        </w:tc>
      </w:tr>
      <w:tr>
        <w:trPr>
          <w:trHeight w:val="198"/>
        </w:trPr>
        <w:tc>
          <w:tcPr>
            <w:tcW w:w="11200" w:type="dxa"/>
            <w:vAlign w:val="bottom"/>
            <w:gridSpan w:val="6"/>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r>
      <w:tr>
        <w:trPr>
          <w:trHeight w:val="238"/>
        </w:trPr>
        <w:tc>
          <w:tcPr>
            <w:tcW w:w="6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4280" w:type="dxa"/>
            <w:vAlign w:val="bottom"/>
          </w:tcPr>
          <w:p>
            <w:pPr>
              <w:spacing w:after="0"/>
              <w:rPr>
                <w:sz w:val="20"/>
                <w:szCs w:val="20"/>
                <w:color w:val="auto"/>
              </w:rPr>
            </w:pPr>
          </w:p>
        </w:tc>
      </w:tr>
      <w:tr>
        <w:trPr>
          <w:trHeight w:val="243"/>
        </w:trPr>
        <w:tc>
          <w:tcPr>
            <w:tcW w:w="35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580" w:type="dxa"/>
            <w:vAlign w:val="bottom"/>
            <w:tcBorders>
              <w:top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9"/>
              </w:rPr>
              <w:t>Common Stock, one dollar par value</w:t>
            </w: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HSY</w:t>
            </w:r>
          </w:p>
        </w:tc>
        <w:tc>
          <w:tcPr>
            <w:tcW w:w="100" w:type="dxa"/>
            <w:vAlign w:val="bottom"/>
          </w:tcPr>
          <w:p>
            <w:pPr>
              <w:spacing w:after="0"/>
              <w:rPr>
                <w:sz w:val="19"/>
                <w:szCs w:val="19"/>
                <w:color w:val="auto"/>
              </w:rPr>
            </w:pPr>
          </w:p>
        </w:tc>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287" w:lineRule="exact"/>
        <w:rPr>
          <w:sz w:val="24"/>
          <w:szCs w:val="24"/>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3140" w:val="left"/>
        </w:tabs>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98" w:lineRule="exact"/>
        <w:rPr>
          <w:sz w:val="24"/>
          <w:szCs w:val="24"/>
          <w:color w:val="auto"/>
        </w:rPr>
      </w:pPr>
    </w:p>
    <w:p>
      <w:pPr>
        <w:ind w:right="120"/>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7" w:lineRule="exact"/>
        <w:tabs>
          <w:tab w:leader="none" w:pos="66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98" w:lineRule="exact"/>
        <w:rPr>
          <w:sz w:val="24"/>
          <w:szCs w:val="24"/>
          <w:color w:val="auto"/>
        </w:rPr>
      </w:pPr>
    </w:p>
    <w:p>
      <w:pPr>
        <w:ind w:right="320"/>
        <w:spacing w:after="0" w:line="22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in Rule 12b-2 of the Exchange Act. (Check one):</w:t>
      </w:r>
    </w:p>
    <w:p>
      <w:pPr>
        <w:spacing w:after="0" w:line="56" w:lineRule="exact"/>
        <w:rPr>
          <w:sz w:val="24"/>
          <w:szCs w:val="24"/>
          <w:color w:val="auto"/>
        </w:rPr>
      </w:pPr>
    </w:p>
    <w:p>
      <w:pPr>
        <w:ind w:left="160"/>
        <w:spacing w:after="0" w:line="207" w:lineRule="exact"/>
        <w:tabs>
          <w:tab w:leader="none" w:pos="1920" w:val="left"/>
          <w:tab w:leader="none" w:pos="8720" w:val="left"/>
          <w:tab w:leader="none" w:pos="1092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Accelerated filer</w:t>
      </w:r>
      <w:r>
        <w:rPr>
          <w:rFonts w:ascii="Wingdings" w:cs="Wingdings" w:eastAsia="Wingdings" w:hAnsi="Wingdings"/>
          <w:sz w:val="18"/>
          <w:szCs w:val="18"/>
          <w:b w:val="1"/>
          <w:bCs w:val="1"/>
          <w:color w:val="auto"/>
        </w:rPr>
        <w:t xml:space="preserve">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Non-accelerated filer</w:t>
      </w:r>
      <w:r>
        <w:rPr>
          <w:rFonts w:ascii="Wingdings" w:cs="Wingdings" w:eastAsia="Wingdings" w:hAnsi="Wingdings"/>
          <w:sz w:val="18"/>
          <w:szCs w:val="18"/>
          <w:b w:val="1"/>
          <w:bCs w:val="1"/>
          <w:color w:val="auto"/>
        </w:rPr>
        <w:t xml:space="preserve">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Smaller reporting company</w:t>
      </w:r>
      <w:r>
        <w:rPr>
          <w:rFonts w:ascii="Wingdings" w:cs="Wingdings" w:eastAsia="Wingdings" w:hAnsi="Wingdings"/>
          <w:sz w:val="18"/>
          <w:szCs w:val="18"/>
          <w:b w:val="1"/>
          <w:bCs w:val="1"/>
          <w:color w:val="auto"/>
        </w:rPr>
        <w:t xml:space="preserve">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333" w:lineRule="exact"/>
        <w:rPr>
          <w:sz w:val="24"/>
          <w:szCs w:val="24"/>
          <w:color w:val="auto"/>
        </w:rPr>
      </w:pPr>
    </w:p>
    <w:p>
      <w:pPr>
        <w:ind w:right="16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line="207" w:lineRule="exact"/>
        <w:tabs>
          <w:tab w:leader="none" w:pos="88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ind w:left="660"/>
        <w:spacing w:after="0" w:line="219" w:lineRule="auto"/>
        <w:rPr>
          <w:sz w:val="20"/>
          <w:szCs w:val="20"/>
          <w:color w:val="auto"/>
        </w:rPr>
      </w:pPr>
      <w:r>
        <w:rPr>
          <w:rFonts w:ascii="Times New Roman" w:cs="Times New Roman" w:eastAsia="Times New Roman" w:hAnsi="Times New Roman"/>
          <w:sz w:val="18"/>
          <w:szCs w:val="18"/>
          <w:color w:val="auto"/>
        </w:rPr>
        <w:t>Common Stock, one dollar par value—148,229,858 shares, as of April 27, 2026.</w:t>
      </w:r>
    </w:p>
    <w:p>
      <w:pPr>
        <w:ind w:left="660"/>
        <w:spacing w:after="0"/>
        <w:rPr>
          <w:sz w:val="20"/>
          <w:szCs w:val="20"/>
          <w:color w:val="auto"/>
        </w:rPr>
      </w:pPr>
      <w:r>
        <w:rPr>
          <w:rFonts w:ascii="Times New Roman" w:cs="Times New Roman" w:eastAsia="Times New Roman" w:hAnsi="Times New Roman"/>
          <w:sz w:val="18"/>
          <w:szCs w:val="18"/>
          <w:color w:val="auto"/>
        </w:rPr>
        <w:t>Class B Common Stock, one dollar par value—54,613,514 shares, as of April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4" w:right="3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Period Ended March 29, 2026</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520" w:type="dxa"/>
            <w:vAlign w:val="bottom"/>
            <w:gridSpan w:val="10"/>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109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200" w:type="dxa"/>
            <w:vAlign w:val="bottom"/>
            <w:gridSpan w:val="4"/>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0000FF"/>
                <w:w w:val="88"/>
              </w:rPr>
              <w:t>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880" w:type="dxa"/>
            <w:vAlign w:val="bottom"/>
            <w:gridSpan w:val="19"/>
          </w:tcPr>
          <w:p>
            <w:pPr>
              <w:ind w:left="120"/>
              <w:spacing w:after="0" w:line="189"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8020" w:type="dxa"/>
            <w:vAlign w:val="bottom"/>
            <w:gridSpan w:val="21"/>
          </w:tcPr>
          <w:p>
            <w:pPr>
              <w:spacing w:after="0"/>
              <w:rPr>
                <w:sz w:val="16"/>
                <w:szCs w:val="16"/>
                <w:color w:val="auto"/>
              </w:rPr>
            </w:pPr>
          </w:p>
        </w:tc>
        <w:tc>
          <w:tcPr>
            <w:tcW w:w="200" w:type="dxa"/>
            <w:vAlign w:val="bottom"/>
            <w:gridSpan w:val="4"/>
          </w:tcPr>
          <w:p>
            <w:pPr>
              <w:ind w:left="100"/>
              <w:spacing w:after="0" w:line="189" w:lineRule="exact"/>
              <w:rPr>
                <w:sz w:val="20"/>
                <w:szCs w:val="20"/>
                <w:color w:val="auto"/>
              </w:rPr>
            </w:pPr>
            <w:r>
              <w:rPr>
                <w:rFonts w:ascii="Times New Roman" w:cs="Times New Roman" w:eastAsia="Times New Roman" w:hAnsi="Times New Roman"/>
                <w:sz w:val="18"/>
                <w:szCs w:val="18"/>
                <w:color w:val="0000FF"/>
                <w:w w:val="88"/>
              </w:rPr>
              <w:t>2</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74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Income for the Three Ended March 29, 2026 and March 30, 2025</w:t>
            </w:r>
          </w:p>
        </w:tc>
        <w:tc>
          <w:tcPr>
            <w:tcW w:w="3960" w:type="dxa"/>
            <w:vAlign w:val="bottom"/>
            <w:gridSpan w:val="5"/>
            <w:shd w:val="clear" w:color="auto" w:fill="CCEEFF"/>
          </w:tcPr>
          <w:p>
            <w:pPr>
              <w:spacing w:after="0"/>
              <w:rPr>
                <w:sz w:val="16"/>
                <w:szCs w:val="16"/>
                <w:color w:val="auto"/>
              </w:rPr>
            </w:pPr>
          </w:p>
        </w:tc>
        <w:tc>
          <w:tcPr>
            <w:tcW w:w="200" w:type="dxa"/>
            <w:vAlign w:val="bottom"/>
            <w:gridSpan w:val="4"/>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0000FF"/>
                <w:w w:val="88"/>
              </w:rPr>
              <w:t>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70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Three Months Ended March 29, 2026 and March 30, 2025</w:t>
            </w:r>
          </w:p>
        </w:tc>
        <w:tc>
          <w:tcPr>
            <w:tcW w:w="200" w:type="dxa"/>
            <w:vAlign w:val="bottom"/>
            <w:gridSpan w:val="4"/>
          </w:tcPr>
          <w:p>
            <w:pPr>
              <w:ind w:left="100"/>
              <w:spacing w:after="0" w:line="189" w:lineRule="exact"/>
              <w:rPr>
                <w:sz w:val="20"/>
                <w:szCs w:val="20"/>
                <w:color w:val="auto"/>
              </w:rPr>
            </w:pPr>
            <w:r>
              <w:rPr>
                <w:rFonts w:ascii="Times New Roman" w:cs="Times New Roman" w:eastAsia="Times New Roman" w:hAnsi="Times New Roman"/>
                <w:sz w:val="18"/>
                <w:szCs w:val="18"/>
                <w:color w:val="0000FF"/>
                <w:w w:val="88"/>
              </w:rPr>
              <w:t>3</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4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Balance Sheets as of March 29, 2026 and December 31, 2025</w:t>
            </w:r>
          </w:p>
        </w:tc>
        <w:tc>
          <w:tcPr>
            <w:tcW w:w="5260" w:type="dxa"/>
            <w:vAlign w:val="bottom"/>
            <w:gridSpan w:val="6"/>
            <w:shd w:val="clear" w:color="auto" w:fill="CCEEFF"/>
          </w:tcPr>
          <w:p>
            <w:pPr>
              <w:spacing w:after="0"/>
              <w:rPr>
                <w:sz w:val="16"/>
                <w:szCs w:val="16"/>
                <w:color w:val="auto"/>
              </w:rPr>
            </w:pPr>
          </w:p>
        </w:tc>
        <w:tc>
          <w:tcPr>
            <w:tcW w:w="200" w:type="dxa"/>
            <w:vAlign w:val="bottom"/>
            <w:gridSpan w:val="4"/>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0000FF"/>
                <w:w w:val="88"/>
              </w:rPr>
              <w:t>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70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29, 2026 and March 30, 2025</w:t>
            </w:r>
          </w:p>
        </w:tc>
        <w:tc>
          <w:tcPr>
            <w:tcW w:w="200" w:type="dxa"/>
            <w:vAlign w:val="bottom"/>
            <w:gridSpan w:val="4"/>
          </w:tcPr>
          <w:p>
            <w:pPr>
              <w:ind w:left="100"/>
              <w:spacing w:after="0" w:line="189" w:lineRule="exact"/>
              <w:rPr>
                <w:sz w:val="20"/>
                <w:szCs w:val="20"/>
                <w:color w:val="auto"/>
              </w:rPr>
            </w:pPr>
            <w:r>
              <w:rPr>
                <w:rFonts w:ascii="Times New Roman" w:cs="Times New Roman" w:eastAsia="Times New Roman" w:hAnsi="Times New Roman"/>
                <w:sz w:val="18"/>
                <w:szCs w:val="18"/>
                <w:color w:val="0000FF"/>
                <w:w w:val="88"/>
              </w:rPr>
              <w:t>5</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32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 for the Three Months Ended March 29, 2026 and March 30, 2025</w:t>
            </w:r>
          </w:p>
        </w:tc>
        <w:tc>
          <w:tcPr>
            <w:tcW w:w="2360" w:type="dxa"/>
            <w:vAlign w:val="bottom"/>
            <w:gridSpan w:val="2"/>
            <w:shd w:val="clear" w:color="auto" w:fill="CCEEFF"/>
          </w:tcPr>
          <w:p>
            <w:pPr>
              <w:spacing w:after="0"/>
              <w:rPr>
                <w:sz w:val="16"/>
                <w:szCs w:val="16"/>
                <w:color w:val="auto"/>
              </w:rPr>
            </w:pPr>
          </w:p>
        </w:tc>
        <w:tc>
          <w:tcPr>
            <w:tcW w:w="200" w:type="dxa"/>
            <w:vAlign w:val="bottom"/>
            <w:gridSpan w:val="4"/>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0000FF"/>
                <w:w w:val="88"/>
              </w:rPr>
              <w:t>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780" w:type="dxa"/>
            <w:vAlign w:val="bottom"/>
            <w:gridSpan w:val="39"/>
          </w:tcPr>
          <w:p>
            <w:pPr>
              <w:ind w:left="80"/>
              <w:spacing w:after="0" w:line="189" w:lineRule="exact"/>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200" w:type="dxa"/>
            <w:vAlign w:val="bottom"/>
            <w:gridSpan w:val="4"/>
          </w:tcPr>
          <w:p>
            <w:pPr>
              <w:ind w:left="100"/>
              <w:spacing w:after="0" w:line="189" w:lineRule="exact"/>
              <w:rPr>
                <w:sz w:val="20"/>
                <w:szCs w:val="20"/>
                <w:color w:val="auto"/>
              </w:rPr>
            </w:pPr>
            <w:r>
              <w:rPr>
                <w:rFonts w:ascii="Times New Roman" w:cs="Times New Roman" w:eastAsia="Times New Roman" w:hAnsi="Times New Roman"/>
                <w:sz w:val="18"/>
                <w:szCs w:val="18"/>
                <w:color w:val="0000FF"/>
                <w:w w:val="88"/>
              </w:rPr>
              <w:t>7</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38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1 - Summary of Significant Accounting Policies</w:t>
            </w:r>
          </w:p>
        </w:tc>
        <w:tc>
          <w:tcPr>
            <w:tcW w:w="200" w:type="dxa"/>
            <w:vAlign w:val="bottom"/>
            <w:gridSpan w:val="4"/>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0000FF"/>
                <w:w w:val="88"/>
              </w:rPr>
              <w:t>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Note 2 - Business Acquisitions</w:t>
            </w:r>
          </w:p>
        </w:tc>
        <w:tc>
          <w:tcPr>
            <w:tcW w:w="6520" w:type="dxa"/>
            <w:vAlign w:val="bottom"/>
            <w:gridSpan w:val="10"/>
          </w:tcPr>
          <w:p>
            <w:pPr>
              <w:spacing w:after="0"/>
              <w:rPr>
                <w:sz w:val="16"/>
                <w:szCs w:val="16"/>
                <w:color w:val="auto"/>
              </w:rPr>
            </w:pPr>
          </w:p>
        </w:tc>
        <w:tc>
          <w:tcPr>
            <w:tcW w:w="200" w:type="dxa"/>
            <w:vAlign w:val="bottom"/>
            <w:gridSpan w:val="4"/>
          </w:tcPr>
          <w:p>
            <w:pPr>
              <w:ind w:left="100"/>
              <w:spacing w:after="0" w:line="189" w:lineRule="exact"/>
              <w:rPr>
                <w:sz w:val="20"/>
                <w:szCs w:val="20"/>
                <w:color w:val="auto"/>
              </w:rPr>
            </w:pPr>
            <w:r>
              <w:rPr>
                <w:rFonts w:ascii="Times New Roman" w:cs="Times New Roman" w:eastAsia="Times New Roman" w:hAnsi="Times New Roman"/>
                <w:sz w:val="18"/>
                <w:szCs w:val="18"/>
                <w:color w:val="0000FF"/>
                <w:w w:val="88"/>
              </w:rPr>
              <w:t>8</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9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3 - Goodwill and Intangible Assets</w:t>
            </w:r>
          </w:p>
        </w:tc>
        <w:tc>
          <w:tcPr>
            <w:tcW w:w="7460" w:type="dxa"/>
            <w:vAlign w:val="bottom"/>
            <w:gridSpan w:val="15"/>
            <w:shd w:val="clear" w:color="auto" w:fill="CCEEFF"/>
          </w:tcPr>
          <w:p>
            <w:pPr>
              <w:spacing w:after="0"/>
              <w:rPr>
                <w:sz w:val="16"/>
                <w:szCs w:val="16"/>
                <w:color w:val="auto"/>
              </w:rPr>
            </w:pPr>
          </w:p>
        </w:tc>
        <w:tc>
          <w:tcPr>
            <w:tcW w:w="200" w:type="dxa"/>
            <w:vAlign w:val="bottom"/>
            <w:gridSpan w:val="4"/>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0000FF"/>
                <w:w w:val="88"/>
              </w:rPr>
              <w:t>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Note 4 - Short and Long-Term Debt</w:t>
            </w:r>
          </w:p>
        </w:tc>
        <w:tc>
          <w:tcPr>
            <w:tcW w:w="7460" w:type="dxa"/>
            <w:vAlign w:val="bottom"/>
            <w:gridSpan w:val="15"/>
          </w:tcPr>
          <w:p>
            <w:pPr>
              <w:spacing w:after="0"/>
              <w:rPr>
                <w:sz w:val="16"/>
                <w:szCs w:val="16"/>
                <w:color w:val="auto"/>
              </w:rPr>
            </w:pPr>
          </w:p>
        </w:tc>
        <w:tc>
          <w:tcPr>
            <w:tcW w:w="1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3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5 - Derivative Instruments</w:t>
            </w:r>
          </w:p>
        </w:tc>
        <w:tc>
          <w:tcPr>
            <w:tcW w:w="8080" w:type="dxa"/>
            <w:vAlign w:val="bottom"/>
            <w:gridSpan w:val="22"/>
            <w:shd w:val="clear" w:color="auto" w:fill="CCEEFF"/>
          </w:tcPr>
          <w:p>
            <w:pPr>
              <w:spacing w:after="0"/>
              <w:rPr>
                <w:sz w:val="16"/>
                <w:szCs w:val="16"/>
                <w:color w:val="auto"/>
              </w:rPr>
            </w:pPr>
          </w:p>
        </w:tc>
        <w:tc>
          <w:tcPr>
            <w:tcW w:w="20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88"/>
              </w:rPr>
              <w:t>11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38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Note 6 - Fair Value Measurements</w:t>
            </w:r>
          </w:p>
        </w:tc>
        <w:tc>
          <w:tcPr>
            <w:tcW w:w="1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7 - Leases</w:t>
            </w:r>
          </w:p>
        </w:tc>
        <w:tc>
          <w:tcPr>
            <w:tcW w:w="9240" w:type="dxa"/>
            <w:vAlign w:val="bottom"/>
            <w:tcBorders>
              <w:bottom w:val="single" w:sz="8" w:color="CCEEFF"/>
            </w:tcBorders>
            <w:gridSpan w:val="33"/>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88"/>
              </w:rPr>
              <w:t>16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80" w:type="dxa"/>
            <w:vAlign w:val="bottom"/>
            <w:gridSpan w:val="37"/>
          </w:tcPr>
          <w:p>
            <w:pPr>
              <w:ind w:left="300"/>
              <w:spacing w:after="0" w:line="189" w:lineRule="exact"/>
              <w:rPr>
                <w:sz w:val="20"/>
                <w:szCs w:val="20"/>
                <w:color w:val="auto"/>
              </w:rPr>
            </w:pPr>
            <w:r>
              <w:rPr>
                <w:rFonts w:ascii="Times New Roman" w:cs="Times New Roman" w:eastAsia="Times New Roman" w:hAnsi="Times New Roman"/>
                <w:sz w:val="18"/>
                <w:szCs w:val="18"/>
                <w:color w:val="0000FF"/>
              </w:rPr>
              <w:t>Note 8 - Investments in Unconsolidated Affiliates</w:t>
            </w:r>
          </w:p>
        </w:tc>
        <w:tc>
          <w:tcPr>
            <w:tcW w:w="1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88"/>
              </w:rPr>
              <w:t>18</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38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9 - Business Realignment Activities</w:t>
            </w:r>
          </w:p>
        </w:tc>
        <w:tc>
          <w:tcPr>
            <w:tcW w:w="1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88"/>
              </w:rPr>
              <w:t>18</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980" w:type="dxa"/>
            <w:vAlign w:val="bottom"/>
            <w:tcBorders>
              <w:top w:val="single" w:sz="8" w:color="0000FF"/>
            </w:tcBorders>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Note 10 - Income Taxes</w:t>
            </w:r>
          </w:p>
        </w:tc>
        <w:tc>
          <w:tcPr>
            <w:tcW w:w="7400" w:type="dxa"/>
            <w:vAlign w:val="bottom"/>
            <w:tcBorders>
              <w:top w:val="single" w:sz="8" w:color="CCEEFF"/>
            </w:tcBorders>
            <w:gridSpan w:val="14"/>
          </w:tcPr>
          <w:p>
            <w:pPr>
              <w:spacing w:after="0"/>
              <w:rPr>
                <w:sz w:val="16"/>
                <w:szCs w:val="16"/>
                <w:color w:val="auto"/>
              </w:rPr>
            </w:pPr>
          </w:p>
        </w:tc>
        <w:tc>
          <w:tcPr>
            <w:tcW w:w="180" w:type="dxa"/>
            <w:vAlign w:val="bottom"/>
            <w:tcBorders>
              <w:top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88"/>
              </w:rPr>
              <w:t>20</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280" w:type="dxa"/>
            <w:vAlign w:val="bottom"/>
            <w:tcBorders>
              <w:bottom w:val="single" w:sz="8" w:color="0000FF"/>
            </w:tcBorders>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11 - Pension and Other Post-Retirement Benefit Plans</w:t>
            </w:r>
          </w:p>
        </w:tc>
        <w:tc>
          <w:tcPr>
            <w:tcW w:w="6100" w:type="dxa"/>
            <w:vAlign w:val="bottom"/>
            <w:tcBorders>
              <w:bottom w:val="single" w:sz="8" w:color="CCEEFF"/>
            </w:tcBorders>
            <w:gridSpan w:val="9"/>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80" w:type="dxa"/>
            <w:vAlign w:val="bottom"/>
            <w:gridSpan w:val="37"/>
          </w:tcPr>
          <w:p>
            <w:pPr>
              <w:ind w:left="300"/>
              <w:spacing w:after="0" w:line="189" w:lineRule="exact"/>
              <w:rPr>
                <w:sz w:val="20"/>
                <w:szCs w:val="20"/>
                <w:color w:val="auto"/>
              </w:rPr>
            </w:pPr>
            <w:r>
              <w:rPr>
                <w:rFonts w:ascii="Times New Roman" w:cs="Times New Roman" w:eastAsia="Times New Roman" w:hAnsi="Times New Roman"/>
                <w:sz w:val="18"/>
                <w:szCs w:val="18"/>
                <w:color w:val="0000FF"/>
              </w:rPr>
              <w:t>Note 12 - Stock Compensation Plans</w:t>
            </w:r>
          </w:p>
        </w:tc>
        <w:tc>
          <w:tcPr>
            <w:tcW w:w="1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38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13 - Segment Information</w:t>
            </w:r>
          </w:p>
        </w:tc>
        <w:tc>
          <w:tcPr>
            <w:tcW w:w="1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88"/>
              </w:rPr>
              <w:t>23</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38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Note 14 - Treasury Stock Activity</w:t>
            </w:r>
          </w:p>
        </w:tc>
        <w:tc>
          <w:tcPr>
            <w:tcW w:w="1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38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15 - Contingencies</w:t>
            </w:r>
          </w:p>
        </w:tc>
        <w:tc>
          <w:tcPr>
            <w:tcW w:w="1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38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Note 16 - Earnings Per Share</w:t>
            </w:r>
          </w:p>
        </w:tc>
        <w:tc>
          <w:tcPr>
            <w:tcW w:w="1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38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17 - Other (Income) Expense, Net</w:t>
            </w:r>
          </w:p>
        </w:tc>
        <w:tc>
          <w:tcPr>
            <w:tcW w:w="1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88"/>
              </w:rPr>
              <w:t>28</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38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Note 18 - Supplemental Balance Sheet Information</w:t>
            </w:r>
          </w:p>
        </w:tc>
        <w:tc>
          <w:tcPr>
            <w:tcW w:w="1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20" w:type="dxa"/>
            <w:vAlign w:val="bottom"/>
            <w:tcBorders>
              <w:bottom w:val="single" w:sz="8" w:color="0000FF"/>
            </w:tcBorders>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760" w:type="dxa"/>
            <w:vAlign w:val="bottom"/>
            <w:tcBorders>
              <w:bottom w:val="single" w:sz="8" w:color="CCEEFF"/>
            </w:tcBorders>
            <w:gridSpan w:val="4"/>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900" w:type="dxa"/>
            <w:vAlign w:val="bottom"/>
            <w:gridSpan w:val="40"/>
          </w:tcPr>
          <w:p>
            <w:pPr>
              <w:ind w:left="120"/>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78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1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9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FF"/>
              </w:rPr>
              <w:t>PART II. OTHER INFORMATION</w:t>
            </w:r>
          </w:p>
        </w:tc>
        <w:tc>
          <w:tcPr>
            <w:tcW w:w="1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78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 Legal Proceedings</w:t>
            </w:r>
          </w:p>
        </w:tc>
        <w:tc>
          <w:tcPr>
            <w:tcW w:w="1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80" w:type="dxa"/>
            <w:vAlign w:val="bottom"/>
            <w:tcBorders>
              <w:top w:val="single" w:sz="8" w:color="0000FF"/>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8900" w:type="dxa"/>
            <w:vAlign w:val="bottom"/>
            <w:tcBorders>
              <w:top w:val="single" w:sz="8" w:color="CCEEFF"/>
            </w:tcBorders>
            <w:gridSpan w:val="31"/>
          </w:tcPr>
          <w:p>
            <w:pPr>
              <w:spacing w:after="0"/>
              <w:rPr>
                <w:sz w:val="16"/>
                <w:szCs w:val="16"/>
                <w:color w:val="auto"/>
              </w:rPr>
            </w:pPr>
          </w:p>
        </w:tc>
        <w:tc>
          <w:tcPr>
            <w:tcW w:w="180" w:type="dxa"/>
            <w:vAlign w:val="bottom"/>
            <w:tcBorders>
              <w:top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78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900" w:type="dxa"/>
            <w:vAlign w:val="bottom"/>
            <w:tcBorders>
              <w:top w:val="single" w:sz="8" w:color="0000FF"/>
            </w:tcBorders>
            <w:gridSpan w:val="31"/>
          </w:tcPr>
          <w:p>
            <w:pPr>
              <w:spacing w:after="0" w:line="189"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5880" w:type="dxa"/>
            <w:vAlign w:val="bottom"/>
            <w:tcBorders>
              <w:top w:val="single" w:sz="8" w:color="CCEEFF"/>
            </w:tcBorders>
            <w:gridSpan w:val="8"/>
          </w:tcPr>
          <w:p>
            <w:pPr>
              <w:spacing w:after="0"/>
              <w:rPr>
                <w:sz w:val="16"/>
                <w:szCs w:val="16"/>
                <w:color w:val="auto"/>
              </w:rPr>
            </w:pPr>
          </w:p>
        </w:tc>
        <w:tc>
          <w:tcPr>
            <w:tcW w:w="180" w:type="dxa"/>
            <w:vAlign w:val="bottom"/>
            <w:tcBorders>
              <w:top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78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1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320" w:type="dxa"/>
            <w:vAlign w:val="bottom"/>
            <w:tcBorders>
              <w:top w:val="single" w:sz="8" w:color="0000FF"/>
            </w:tcBorders>
            <w:gridSpan w:val="12"/>
          </w:tcPr>
          <w:p>
            <w:pPr>
              <w:spacing w:after="0" w:line="189" w:lineRule="exact"/>
              <w:rPr>
                <w:sz w:val="20"/>
                <w:szCs w:val="20"/>
                <w:color w:val="auto"/>
              </w:rPr>
            </w:pPr>
            <w:r>
              <w:rPr>
                <w:rFonts w:ascii="Times New Roman" w:cs="Times New Roman" w:eastAsia="Times New Roman" w:hAnsi="Times New Roman"/>
                <w:sz w:val="18"/>
                <w:szCs w:val="18"/>
                <w:color w:val="0000FF"/>
              </w:rPr>
              <w:t>Item 5. Other Information</w:t>
            </w:r>
          </w:p>
        </w:tc>
        <w:tc>
          <w:tcPr>
            <w:tcW w:w="8460" w:type="dxa"/>
            <w:vAlign w:val="bottom"/>
            <w:tcBorders>
              <w:top w:val="single" w:sz="8" w:color="CCEEFF"/>
            </w:tcBorders>
            <w:gridSpan w:val="27"/>
          </w:tcPr>
          <w:p>
            <w:pPr>
              <w:spacing w:after="0"/>
              <w:rPr>
                <w:sz w:val="16"/>
                <w:szCs w:val="16"/>
                <w:color w:val="auto"/>
              </w:rPr>
            </w:pPr>
          </w:p>
        </w:tc>
        <w:tc>
          <w:tcPr>
            <w:tcW w:w="180" w:type="dxa"/>
            <w:vAlign w:val="bottom"/>
            <w:tcBorders>
              <w:top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0000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6. Exhibits</w:t>
            </w:r>
          </w:p>
        </w:tc>
        <w:tc>
          <w:tcPr>
            <w:tcW w:w="9620" w:type="dxa"/>
            <w:vAlign w:val="bottom"/>
            <w:tcBorders>
              <w:bottom w:val="single" w:sz="8" w:color="CCEEFF"/>
            </w:tcBorders>
            <w:gridSpan w:val="34"/>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760" w:type="dxa"/>
            <w:vAlign w:val="bottom"/>
            <w:tcBorders>
              <w:bottom w:val="single" w:sz="8" w:color="0000FF"/>
            </w:tcBorders>
            <w:gridSpan w:val="5"/>
          </w:tcPr>
          <w:p>
            <w:pPr>
              <w:spacing w:after="0" w:line="189" w:lineRule="exact"/>
              <w:rPr>
                <w:sz w:val="20"/>
                <w:szCs w:val="20"/>
                <w:color w:val="auto"/>
              </w:rPr>
            </w:pPr>
            <w:r>
              <w:rPr>
                <w:rFonts w:ascii="Times New Roman" w:cs="Times New Roman" w:eastAsia="Times New Roman" w:hAnsi="Times New Roman"/>
                <w:sz w:val="18"/>
                <w:szCs w:val="18"/>
                <w:color w:val="0000FF"/>
                <w:w w:val="97"/>
              </w:rPr>
              <w:t>Signatures</w:t>
            </w:r>
          </w:p>
        </w:tc>
        <w:tc>
          <w:tcPr>
            <w:tcW w:w="10140" w:type="dxa"/>
            <w:vAlign w:val="bottom"/>
            <w:gridSpan w:val="35"/>
          </w:tcPr>
          <w:p>
            <w:pPr>
              <w:spacing w:after="0"/>
              <w:rPr>
                <w:sz w:val="16"/>
                <w:szCs w:val="16"/>
                <w:color w:val="auto"/>
              </w:rPr>
            </w:pPr>
          </w:p>
        </w:tc>
        <w:tc>
          <w:tcPr>
            <w:tcW w:w="180" w:type="dxa"/>
            <w:vAlign w:val="bottom"/>
            <w:tcBorders>
              <w:bottom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659765</wp:posOffset>
            </wp:positionV>
            <wp:extent cx="19685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384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187960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251"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38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3"/>
        </w:trPr>
        <w:tc>
          <w:tcPr>
            <w:tcW w:w="7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29, 2026</w:t>
            </w:r>
          </w:p>
        </w:tc>
        <w:tc>
          <w:tcPr>
            <w:tcW w:w="180" w:type="dxa"/>
            <w:vAlign w:val="bottom"/>
          </w:tcPr>
          <w:p>
            <w:pPr>
              <w:spacing w:after="0"/>
              <w:rPr>
                <w:sz w:val="19"/>
                <w:szCs w:val="19"/>
                <w:color w:val="auto"/>
              </w:rPr>
            </w:pPr>
          </w:p>
        </w:tc>
        <w:tc>
          <w:tcPr>
            <w:tcW w:w="15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30, 2025</w:t>
            </w:r>
          </w:p>
        </w:tc>
      </w:tr>
      <w:tr>
        <w:trPr>
          <w:trHeight w:val="223"/>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3,104,167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2,805,419</w:t>
            </w:r>
          </w:p>
        </w:tc>
      </w:tr>
      <w:tr>
        <w:trPr>
          <w:trHeight w:val="230"/>
        </w:trPr>
        <w:tc>
          <w:tcPr>
            <w:tcW w:w="7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1,881,436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1,861,152</w:t>
            </w:r>
          </w:p>
        </w:tc>
      </w:tr>
      <w:tr>
        <w:trPr>
          <w:trHeight w:val="223"/>
        </w:trPr>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1,222,731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944,267</w:t>
            </w:r>
          </w:p>
        </w:tc>
      </w:tr>
      <w:tr>
        <w:trPr>
          <w:trHeight w:val="229"/>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marketing and administrative expense</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558,672</w:t>
            </w:r>
          </w:p>
        </w:tc>
      </w:tr>
      <w:tr>
        <w:trPr>
          <w:trHeight w:val="230"/>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realignment costs</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16,374</w:t>
            </w:r>
          </w:p>
        </w:tc>
      </w:tr>
      <w:tr>
        <w:trPr>
          <w:trHeight w:val="223"/>
        </w:trPr>
        <w:tc>
          <w:tcPr>
            <w:tcW w:w="7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369,221</w:t>
            </w:r>
          </w:p>
        </w:tc>
      </w:tr>
      <w:tr>
        <w:trPr>
          <w:trHeight w:val="230"/>
        </w:trPr>
        <w:tc>
          <w:tcPr>
            <w:tcW w:w="7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44,622</w:t>
            </w:r>
          </w:p>
        </w:tc>
      </w:tr>
      <w:tr>
        <w:trPr>
          <w:trHeight w:val="229"/>
        </w:trPr>
        <w:tc>
          <w:tcPr>
            <w:tcW w:w="71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323,654</w:t>
            </w:r>
          </w:p>
        </w:tc>
      </w:tr>
      <w:tr>
        <w:trPr>
          <w:trHeight w:val="229"/>
        </w:trPr>
        <w:tc>
          <w:tcPr>
            <w:tcW w:w="71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157,590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99,451</w:t>
            </w:r>
          </w:p>
        </w:tc>
      </w:tr>
      <w:tr>
        <w:trPr>
          <w:trHeight w:val="248"/>
        </w:trPr>
        <w:tc>
          <w:tcPr>
            <w:tcW w:w="7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224,203</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share—basic:</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7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Class B common stock</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70"/>
        </w:trPr>
        <w:tc>
          <w:tcPr>
            <w:tcW w:w="7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share—diluted:</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7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Class B common stock</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70"/>
        </w:trPr>
        <w:tc>
          <w:tcPr>
            <w:tcW w:w="7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paid per share: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30"/>
        </w:trPr>
        <w:tc>
          <w:tcPr>
            <w:tcW w:w="7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Class B common stock</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r>
    </w:tbl>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448310</wp:posOffset>
            </wp:positionV>
            <wp:extent cx="19685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1"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6"/>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March 29, 2026</w:t>
            </w: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6"/>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March 30, 2025</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Pre-Tax</w:t>
            </w:r>
          </w:p>
        </w:tc>
        <w:tc>
          <w:tcPr>
            <w:tcW w:w="140" w:type="dxa"/>
            <w:vAlign w:val="bottom"/>
          </w:tcPr>
          <w:p>
            <w:pPr>
              <w:spacing w:after="0"/>
              <w:rPr>
                <w:sz w:val="14"/>
                <w:szCs w:val="14"/>
                <w:color w:val="auto"/>
              </w:rPr>
            </w:pPr>
          </w:p>
        </w:tc>
        <w:tc>
          <w:tcPr>
            <w:tcW w:w="960" w:type="dxa"/>
            <w:vAlign w:val="bottom"/>
            <w:gridSpan w:val="3"/>
          </w:tcPr>
          <w:p>
            <w:pPr>
              <w:jc w:val="center"/>
              <w:ind w:right="270"/>
              <w:spacing w:after="0" w:line="169"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Pre-Tax</w:t>
            </w:r>
          </w:p>
        </w:tc>
        <w:tc>
          <w:tcPr>
            <w:tcW w:w="140" w:type="dxa"/>
            <w:vAlign w:val="bottom"/>
          </w:tcPr>
          <w:p>
            <w:pPr>
              <w:spacing w:after="0"/>
              <w:rPr>
                <w:sz w:val="14"/>
                <w:szCs w:val="14"/>
                <w:color w:val="auto"/>
              </w:rPr>
            </w:pPr>
          </w:p>
        </w:tc>
        <w:tc>
          <w:tcPr>
            <w:tcW w:w="960" w:type="dxa"/>
            <w:vAlign w:val="bottom"/>
            <w:gridSpan w:val="3"/>
          </w:tcPr>
          <w:p>
            <w:pPr>
              <w:jc w:val="center"/>
              <w:ind w:right="270"/>
              <w:spacing w:after="0" w:line="169"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960" w:type="dxa"/>
            <w:vAlign w:val="bottom"/>
            <w:gridSpan w:val="6"/>
          </w:tcPr>
          <w:p>
            <w:pPr>
              <w:ind w:left="60"/>
              <w:spacing w:after="0" w:line="176" w:lineRule="exact"/>
              <w:rPr>
                <w:sz w:val="20"/>
                <w:szCs w:val="20"/>
                <w:color w:val="auto"/>
              </w:rPr>
            </w:pPr>
            <w:r>
              <w:rPr>
                <w:rFonts w:ascii="Times New Roman" w:cs="Times New Roman" w:eastAsia="Times New Roman" w:hAnsi="Times New Roman"/>
                <w:sz w:val="18"/>
                <w:szCs w:val="18"/>
                <w:b w:val="1"/>
                <w:bCs w:val="1"/>
                <w:color w:val="auto"/>
              </w:rPr>
              <w:t>(Expense)   After-Tax</w:t>
            </w: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8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(Expense)   After-Tax</w:t>
            </w: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960" w:type="dxa"/>
            <w:vAlign w:val="bottom"/>
            <w:gridSpan w:val="3"/>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960" w:type="dxa"/>
            <w:vAlign w:val="bottom"/>
            <w:gridSpan w:val="3"/>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435,105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224,203</w:t>
            </w: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gains (losses) during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post-retirement benefit plans: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actuarial gain (loss) and service cost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0" w:type="dxa"/>
            <w:vAlign w:val="bottom"/>
          </w:tcPr>
          <w:p>
            <w:pPr>
              <w:spacing w:after="0"/>
              <w:rPr>
                <w:sz w:val="1"/>
                <w:szCs w:val="1"/>
                <w:color w:val="auto"/>
              </w:rPr>
            </w:pPr>
          </w:p>
        </w:tc>
      </w:tr>
      <w:tr>
        <w:trPr>
          <w:trHeight w:val="229"/>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flow hedges: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Gains (losses) on cash flow hedging derivatives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61"/>
        </w:trPr>
        <w:tc>
          <w:tcPr>
            <w:tcW w:w="49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Total other comprehensive income (loss), net of tax</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(1,629)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(2,561)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13,562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12,591</w:t>
            </w:r>
          </w:p>
        </w:tc>
        <w:tc>
          <w:tcPr>
            <w:tcW w:w="0" w:type="dxa"/>
            <w:vAlign w:val="bottom"/>
          </w:tcPr>
          <w:p>
            <w:pPr>
              <w:spacing w:after="0"/>
              <w:rPr>
                <w:sz w:val="1"/>
                <w:szCs w:val="1"/>
                <w:color w:val="auto"/>
              </w:rPr>
            </w:pPr>
          </w:p>
        </w:tc>
      </w:tr>
      <w:tr>
        <w:trPr>
          <w:trHeight w:val="190"/>
        </w:trPr>
        <w:tc>
          <w:tcPr>
            <w:tcW w:w="4920" w:type="dxa"/>
            <w:vAlign w:val="bottom"/>
            <w:tcBorders>
              <w:top w:val="single" w:sz="8" w:color="CCEEFF"/>
            </w:tcBorders>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Comprehensive income</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432,544</w:t>
            </w: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236,794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5831840</wp:posOffset>
            </wp:positionH>
            <wp:positionV relativeFrom="paragraph">
              <wp:posOffset>294005</wp:posOffset>
            </wp:positionV>
            <wp:extent cx="19685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240"/>
        <w:spacing w:after="0"/>
        <w:tabs>
          <w:tab w:leader="none" w:pos="360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342265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580" w:top="1251" w:right="599" w:bottom="1440" w:gutter="0" w:footer="0" w:header="0"/>
        </w:sectPr>
      </w:pPr>
    </w:p>
    <w:bookmarkStart w:id="4" w:name="page5"/>
    <w:bookmarkEnd w:id="4"/>
    <w:tbl>
      <w:tblPr>
        <w:tblLayout w:type="fixed"/>
        <w:tblInd w:w="200" w:type="dxa"/>
        <w:tblCellMar>
          <w:top w:w="0" w:type="dxa"/>
          <w:left w:w="0" w:type="dxa"/>
          <w:bottom w:w="0" w:type="dxa"/>
          <w:right w:w="0" w:type="dxa"/>
        </w:tblCellMar>
      </w:tblPr>
      <w:tr>
        <w:trPr>
          <w:trHeight w:val="229"/>
        </w:trPr>
        <w:tc>
          <w:tcPr>
            <w:tcW w:w="6720" w:type="dxa"/>
            <w:vAlign w:val="bottom"/>
          </w:tcPr>
          <w:p>
            <w:pPr>
              <w:jc w:val="center"/>
              <w:ind w:left="4110"/>
              <w:spacing w:after="0"/>
              <w:rPr>
                <w:sz w:val="20"/>
                <w:szCs w:val="20"/>
                <w:color w:val="auto"/>
              </w:rPr>
            </w:pPr>
            <w:r>
              <w:rPr>
                <w:rFonts w:ascii="Times New Roman" w:cs="Times New Roman" w:eastAsia="Times New Roman" w:hAnsi="Times New Roman"/>
                <w:sz w:val="18"/>
                <w:szCs w:val="18"/>
                <w:b w:val="1"/>
                <w:bCs w:val="1"/>
                <w:color w:val="auto"/>
                <w:w w:val="99"/>
              </w:rPr>
              <w:t>THE HERSHEY COMPANY</w:t>
            </w: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100" w:type="dxa"/>
            <w:vAlign w:val="bottom"/>
            <w:gridSpan w:val="2"/>
          </w:tcPr>
          <w:p>
            <w:pPr>
              <w:jc w:val="center"/>
              <w:ind w:left="37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20" w:type="dxa"/>
            <w:vAlign w:val="bottom"/>
          </w:tcPr>
          <w:p>
            <w:pPr>
              <w:jc w:val="center"/>
              <w:ind w:left="411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3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29, 2026</w:t>
            </w:r>
          </w:p>
        </w:tc>
        <w:tc>
          <w:tcPr>
            <w:tcW w:w="220" w:type="dxa"/>
            <w:vAlign w:val="bottom"/>
          </w:tcPr>
          <w:p>
            <w:pPr>
              <w:spacing w:after="0"/>
              <w:rPr>
                <w:sz w:val="23"/>
                <w:szCs w:val="23"/>
                <w:color w:val="auto"/>
              </w:rPr>
            </w:pPr>
          </w:p>
        </w:tc>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925,859</w:t>
            </w:r>
          </w:p>
        </w:tc>
        <w:tc>
          <w:tcPr>
            <w:tcW w:w="0" w:type="dxa"/>
            <w:vAlign w:val="bottom"/>
          </w:tcPr>
          <w:p>
            <w:pPr>
              <w:spacing w:after="0"/>
              <w:rPr>
                <w:sz w:val="1"/>
                <w:szCs w:val="1"/>
                <w:color w:val="auto"/>
              </w:rPr>
            </w:pPr>
          </w:p>
        </w:tc>
      </w:tr>
      <w:tr>
        <w:trPr>
          <w:trHeight w:val="229"/>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receivable—trade, net</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974,555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729,547</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1,429,124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1,429,254</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487,856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504,239</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3,768,511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3,588,899</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3,489,162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3,529,608</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2,994,696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2,996,005</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intangibles</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2,450,391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2,475,698</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1,111,645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1,123,285</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27,802</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13,841,293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13,741,297</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1,303,703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1,255,701</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970,597</w:t>
            </w:r>
          </w:p>
        </w:tc>
        <w:tc>
          <w:tcPr>
            <w:tcW w:w="0" w:type="dxa"/>
            <w:vAlign w:val="bottom"/>
          </w:tcPr>
          <w:p>
            <w:pPr>
              <w:spacing w:after="0"/>
              <w:rPr>
                <w:sz w:val="1"/>
                <w:szCs w:val="1"/>
                <w:color w:val="auto"/>
              </w:rPr>
            </w:pPr>
          </w:p>
        </w:tc>
      </w:tr>
      <w:tr>
        <w:trPr>
          <w:trHeight w:val="230"/>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income taxes</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63,725</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debt</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218,546</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504,081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503,327</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3,039,771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3,011,896</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4,684,363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4,681,194</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731,917</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706,464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679,540</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9,107,445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9,104,547</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Hershey Company stockholders’ equity</w:t>
            </w: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Preferred stock, shares issued: none in 2026 and 2025</w:t>
            </w:r>
          </w:p>
        </w:tc>
        <w:tc>
          <w:tcPr>
            <w:tcW w:w="3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shares issued: 166,939,511 at March 29, 2026 and December 31, 2025</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166,939</w:t>
            </w:r>
          </w:p>
        </w:tc>
        <w:tc>
          <w:tcPr>
            <w:tcW w:w="0" w:type="dxa"/>
            <w:vAlign w:val="bottom"/>
          </w:tcPr>
          <w:p>
            <w:pPr>
              <w:spacing w:after="0"/>
              <w:rPr>
                <w:sz w:val="1"/>
                <w:szCs w:val="1"/>
                <w:color w:val="auto"/>
              </w:rPr>
            </w:pPr>
          </w:p>
        </w:tc>
      </w:tr>
      <w:tr>
        <w:trPr>
          <w:trHeight w:val="175"/>
        </w:trPr>
        <w:tc>
          <w:tcPr>
            <w:tcW w:w="67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B common stock, shares issued: 54,613,514 at March 29, 2026 and December 31,</w:t>
            </w:r>
          </w:p>
        </w:tc>
        <w:tc>
          <w:tcPr>
            <w:tcW w:w="3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54,614</w:t>
            </w:r>
          </w:p>
        </w:tc>
        <w:tc>
          <w:tcPr>
            <w:tcW w:w="0" w:type="dxa"/>
            <w:vAlign w:val="bottom"/>
          </w:tcPr>
          <w:p>
            <w:pPr>
              <w:spacing w:after="0"/>
              <w:rPr>
                <w:sz w:val="1"/>
                <w:szCs w:val="1"/>
                <w:color w:val="auto"/>
              </w:rPr>
            </w:pPr>
          </w:p>
        </w:tc>
      </w:tr>
      <w:tr>
        <w:trPr>
          <w:trHeight w:val="230"/>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1,435,194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1,426,651</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5,643,428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5,495,449</w:t>
            </w:r>
          </w:p>
        </w:tc>
        <w:tc>
          <w:tcPr>
            <w:tcW w:w="0" w:type="dxa"/>
            <w:vAlign w:val="bottom"/>
          </w:tcPr>
          <w:p>
            <w:pPr>
              <w:spacing w:after="0"/>
              <w:rPr>
                <w:sz w:val="1"/>
                <w:szCs w:val="1"/>
                <w:color w:val="auto"/>
              </w:rPr>
            </w:pPr>
          </w:p>
        </w:tc>
      </w:tr>
      <w:tr>
        <w:trPr>
          <w:trHeight w:val="175"/>
        </w:trPr>
        <w:tc>
          <w:tcPr>
            <w:tcW w:w="67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Treasury—common stock shares, at cost: 18,715,197 at March 29, 2026 and 18,713,369</w:t>
            </w:r>
          </w:p>
        </w:tc>
        <w:tc>
          <w:tcPr>
            <w:tcW w:w="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 December 31, 2025</w:t>
            </w:r>
          </w:p>
        </w:tc>
        <w:tc>
          <w:tcPr>
            <w:tcW w:w="3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(2,316,416)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(2,259,553)</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(249,911)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(247,350)</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4,733,848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4,636,750</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13,841,293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13,741,297</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294005</wp:posOffset>
            </wp:positionV>
            <wp:extent cx="19685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tabs>
          <w:tab w:leader="none" w:pos="384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342265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1" w:right="359" w:bottom="1440" w:gutter="0" w:footer="0" w:header="0"/>
        </w:sectPr>
      </w:pPr>
    </w:p>
    <w:bookmarkStart w:id="5" w:name="page6"/>
    <w:bookmarkEnd w:id="5"/>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4"/>
          </w:tcPr>
          <w:p>
            <w:pPr>
              <w:jc w:val="right"/>
              <w:ind w:right="11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1"/>
        </w:trPr>
        <w:tc>
          <w:tcPr>
            <w:tcW w:w="7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60" w:type="dxa"/>
            <w:vAlign w:val="bottom"/>
          </w:tcPr>
          <w:p>
            <w:pPr>
              <w:spacing w:after="0"/>
              <w:rPr>
                <w:sz w:val="18"/>
                <w:szCs w:val="18"/>
                <w:color w:val="auto"/>
              </w:rPr>
            </w:pPr>
          </w:p>
        </w:tc>
        <w:tc>
          <w:tcPr>
            <w:tcW w:w="16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0" w:type="dxa"/>
            <w:vAlign w:val="bottom"/>
          </w:tcPr>
          <w:p>
            <w:pPr>
              <w:spacing w:after="0"/>
              <w:rPr>
                <w:sz w:val="1"/>
                <w:szCs w:val="1"/>
                <w:color w:val="auto"/>
              </w:rPr>
            </w:pPr>
          </w:p>
        </w:tc>
      </w:tr>
      <w:tr>
        <w:trPr>
          <w:trHeight w:val="198"/>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435,105</w:t>
            </w:r>
          </w:p>
        </w:tc>
        <w:tc>
          <w:tcPr>
            <w:tcW w:w="12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224,203</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119,564</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13,559</w:t>
            </w:r>
          </w:p>
        </w:tc>
        <w:tc>
          <w:tcPr>
            <w:tcW w:w="0" w:type="dxa"/>
            <w:vAlign w:val="bottom"/>
          </w:tcPr>
          <w:p>
            <w:pPr>
              <w:spacing w:after="0"/>
              <w:rPr>
                <w:sz w:val="1"/>
                <w:szCs w:val="1"/>
                <w:color w:val="auto"/>
              </w:rPr>
            </w:pPr>
          </w:p>
        </w:tc>
      </w:tr>
      <w:tr>
        <w:trPr>
          <w:trHeight w:val="213"/>
        </w:trPr>
        <w:tc>
          <w:tcPr>
            <w:tcW w:w="70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(12,202)</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Unrealized losses on derivative contracts</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270,794</w:t>
            </w:r>
          </w:p>
        </w:tc>
        <w:tc>
          <w:tcPr>
            <w:tcW w:w="0" w:type="dxa"/>
            <w:vAlign w:val="bottom"/>
          </w:tcPr>
          <w:p>
            <w:pPr>
              <w:spacing w:after="0"/>
              <w:rPr>
                <w:sz w:val="1"/>
                <w:szCs w:val="1"/>
                <w:color w:val="auto"/>
              </w:rPr>
            </w:pPr>
          </w:p>
        </w:tc>
      </w:tr>
      <w:tr>
        <w:trPr>
          <w:trHeight w:val="213"/>
        </w:trPr>
        <w:tc>
          <w:tcPr>
            <w:tcW w:w="70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18,272</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Changes in assets and liabilities, net of business acquisition:</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Accounts receivable—trade, net</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(73,044)</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(207,243)</w:t>
            </w:r>
          </w:p>
        </w:tc>
        <w:tc>
          <w:tcPr>
            <w:tcW w:w="0" w:type="dxa"/>
            <w:vAlign w:val="bottom"/>
          </w:tcPr>
          <w:p>
            <w:pPr>
              <w:spacing w:after="0"/>
              <w:rPr>
                <w:sz w:val="1"/>
                <w:szCs w:val="1"/>
                <w:color w:val="auto"/>
              </w:rPr>
            </w:pPr>
          </w:p>
        </w:tc>
      </w:tr>
      <w:tr>
        <w:trPr>
          <w:trHeight w:val="213"/>
        </w:trPr>
        <w:tc>
          <w:tcPr>
            <w:tcW w:w="70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(339,155)</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335,640</w:t>
            </w:r>
          </w:p>
        </w:tc>
        <w:tc>
          <w:tcPr>
            <w:tcW w:w="0" w:type="dxa"/>
            <w:vAlign w:val="bottom"/>
          </w:tcPr>
          <w:p>
            <w:pPr>
              <w:spacing w:after="0"/>
              <w:rPr>
                <w:sz w:val="1"/>
                <w:szCs w:val="1"/>
                <w:color w:val="auto"/>
              </w:rPr>
            </w:pPr>
          </w:p>
        </w:tc>
      </w:tr>
      <w:tr>
        <w:trPr>
          <w:trHeight w:val="213"/>
        </w:trPr>
        <w:tc>
          <w:tcPr>
            <w:tcW w:w="70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Accrued income taxes</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80,174</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Contributions to pension and other benefit plans</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0" w:type="dxa"/>
            <w:vAlign w:val="bottom"/>
          </w:tcPr>
          <w:p>
            <w:pPr>
              <w:spacing w:after="0"/>
              <w:rPr>
                <w:sz w:val="1"/>
                <w:szCs w:val="1"/>
                <w:color w:val="auto"/>
              </w:rPr>
            </w:pPr>
          </w:p>
        </w:tc>
      </w:tr>
      <w:tr>
        <w:trPr>
          <w:trHeight w:val="213"/>
        </w:trPr>
        <w:tc>
          <w:tcPr>
            <w:tcW w:w="706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(22,081)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(30,754)</w:t>
            </w: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468,806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396,682</w:t>
            </w:r>
          </w:p>
        </w:tc>
        <w:tc>
          <w:tcPr>
            <w:tcW w:w="0" w:type="dxa"/>
            <w:vAlign w:val="bottom"/>
          </w:tcPr>
          <w:p>
            <w:pPr>
              <w:spacing w:after="0"/>
              <w:rPr>
                <w:sz w:val="1"/>
                <w:szCs w:val="1"/>
                <w:color w:val="auto"/>
              </w:rPr>
            </w:pPr>
          </w:p>
        </w:tc>
      </w:tr>
      <w:tr>
        <w:trPr>
          <w:trHeight w:val="194"/>
        </w:trPr>
        <w:tc>
          <w:tcPr>
            <w:tcW w:w="70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Capital additions (including software)</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(145,527)</w:t>
            </w:r>
          </w:p>
        </w:tc>
        <w:tc>
          <w:tcPr>
            <w:tcW w:w="0" w:type="dxa"/>
            <w:vAlign w:val="bottom"/>
          </w:tcPr>
          <w:p>
            <w:pPr>
              <w:spacing w:after="0"/>
              <w:rPr>
                <w:sz w:val="1"/>
                <w:szCs w:val="1"/>
                <w:color w:val="auto"/>
              </w:rPr>
            </w:pPr>
          </w:p>
        </w:tc>
      </w:tr>
      <w:tr>
        <w:trPr>
          <w:trHeight w:val="213"/>
        </w:trPr>
        <w:tc>
          <w:tcPr>
            <w:tcW w:w="7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Receipts related to equity investments in tax credit qualifying partnerships</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(5,017)</w:t>
            </w:r>
          </w:p>
        </w:tc>
        <w:tc>
          <w:tcPr>
            <w:tcW w:w="0" w:type="dxa"/>
            <w:vAlign w:val="bottom"/>
          </w:tcPr>
          <w:p>
            <w:pPr>
              <w:spacing w:after="0"/>
              <w:rPr>
                <w:sz w:val="1"/>
                <w:szCs w:val="1"/>
                <w:color w:val="auto"/>
              </w:rPr>
            </w:pPr>
          </w:p>
        </w:tc>
      </w:tr>
      <w:tr>
        <w:trPr>
          <w:trHeight w:val="207"/>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(117,124)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(146,986)</w:t>
            </w:r>
          </w:p>
        </w:tc>
        <w:tc>
          <w:tcPr>
            <w:tcW w:w="0" w:type="dxa"/>
            <w:vAlign w:val="bottom"/>
          </w:tcPr>
          <w:p>
            <w:pPr>
              <w:spacing w:after="0"/>
              <w:rPr>
                <w:sz w:val="1"/>
                <w:szCs w:val="1"/>
                <w:color w:val="auto"/>
              </w:rPr>
            </w:pPr>
          </w:p>
        </w:tc>
      </w:tr>
      <w:tr>
        <w:trPr>
          <w:trHeight w:val="199"/>
        </w:trPr>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decrease in short-term debt</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(1,165,724)</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Long-term borrowings, net of debt issuance costs</w:t>
            </w:r>
          </w:p>
        </w:tc>
        <w:tc>
          <w:tcPr>
            <w:tcW w:w="2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1,986,026</w:t>
            </w:r>
          </w:p>
        </w:tc>
        <w:tc>
          <w:tcPr>
            <w:tcW w:w="0" w:type="dxa"/>
            <w:vAlign w:val="bottom"/>
          </w:tcPr>
          <w:p>
            <w:pPr>
              <w:spacing w:after="0"/>
              <w:rPr>
                <w:sz w:val="1"/>
                <w:szCs w:val="1"/>
                <w:color w:val="auto"/>
              </w:rPr>
            </w:pPr>
          </w:p>
        </w:tc>
      </w:tr>
      <w:tr>
        <w:trPr>
          <w:trHeight w:val="213"/>
        </w:trPr>
        <w:tc>
          <w:tcPr>
            <w:tcW w:w="7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Repayment of long-term debt and finance leases</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Cash dividends paid</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(287,997)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(271,594)</w:t>
            </w:r>
          </w:p>
        </w:tc>
        <w:tc>
          <w:tcPr>
            <w:tcW w:w="0" w:type="dxa"/>
            <w:vAlign w:val="bottom"/>
          </w:tcPr>
          <w:p>
            <w:pPr>
              <w:spacing w:after="0"/>
              <w:rPr>
                <w:sz w:val="1"/>
                <w:szCs w:val="1"/>
                <w:color w:val="auto"/>
              </w:rPr>
            </w:pPr>
          </w:p>
        </w:tc>
      </w:tr>
      <w:tr>
        <w:trPr>
          <w:trHeight w:val="213"/>
        </w:trPr>
        <w:tc>
          <w:tcPr>
            <w:tcW w:w="7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Proceeds from exercised stock options</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0" w:type="dxa"/>
            <w:vAlign w:val="bottom"/>
          </w:tcPr>
          <w:p>
            <w:pPr>
              <w:spacing w:after="0"/>
              <w:rPr>
                <w:sz w:val="1"/>
                <w:szCs w:val="1"/>
                <w:color w:val="auto"/>
              </w:rPr>
            </w:pPr>
          </w:p>
        </w:tc>
      </w:tr>
      <w:tr>
        <w:trPr>
          <w:trHeight w:val="213"/>
        </w:trPr>
        <w:tc>
          <w:tcPr>
            <w:tcW w:w="70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Taxes withheld and paid on employee stock awards</w:t>
            </w: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(12,573)</w:t>
            </w: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(402,844)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537,076</w:t>
            </w:r>
          </w:p>
        </w:tc>
        <w:tc>
          <w:tcPr>
            <w:tcW w:w="0" w:type="dxa"/>
            <w:vAlign w:val="bottom"/>
          </w:tcPr>
          <w:p>
            <w:pPr>
              <w:spacing w:after="0"/>
              <w:rPr>
                <w:sz w:val="1"/>
                <w:szCs w:val="1"/>
                <w:color w:val="auto"/>
              </w:rPr>
            </w:pPr>
          </w:p>
        </w:tc>
      </w:tr>
      <w:tr>
        <w:trPr>
          <w:trHeight w:val="207"/>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(2,266)</w:t>
            </w: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(48,883)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784,506</w:t>
            </w:r>
          </w:p>
        </w:tc>
        <w:tc>
          <w:tcPr>
            <w:tcW w:w="0" w:type="dxa"/>
            <w:vAlign w:val="bottom"/>
          </w:tcPr>
          <w:p>
            <w:pPr>
              <w:spacing w:after="0"/>
              <w:rPr>
                <w:sz w:val="1"/>
                <w:szCs w:val="1"/>
                <w:color w:val="auto"/>
              </w:rPr>
            </w:pPr>
          </w:p>
        </w:tc>
      </w:tr>
      <w:tr>
        <w:trPr>
          <w:trHeight w:val="213"/>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925,859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730,746</w:t>
            </w:r>
          </w:p>
        </w:tc>
        <w:tc>
          <w:tcPr>
            <w:tcW w:w="0" w:type="dxa"/>
            <w:vAlign w:val="bottom"/>
          </w:tcPr>
          <w:p>
            <w:pPr>
              <w:spacing w:after="0"/>
              <w:rPr>
                <w:sz w:val="1"/>
                <w:szCs w:val="1"/>
                <w:color w:val="auto"/>
              </w:rPr>
            </w:pPr>
          </w:p>
        </w:tc>
      </w:tr>
      <w:tr>
        <w:trPr>
          <w:trHeight w:val="237"/>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876,976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1,515,252</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Supplemental Disclosure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38,366</w:t>
            </w:r>
          </w:p>
        </w:tc>
        <w:tc>
          <w:tcPr>
            <w:tcW w:w="0" w:type="dxa"/>
            <w:vAlign w:val="bottom"/>
          </w:tcPr>
          <w:p>
            <w:pPr>
              <w:spacing w:after="0"/>
              <w:rPr>
                <w:sz w:val="1"/>
                <w:szCs w:val="1"/>
                <w:color w:val="auto"/>
              </w:rPr>
            </w:pPr>
          </w:p>
        </w:tc>
      </w:tr>
      <w:tr>
        <w:trPr>
          <w:trHeight w:val="210"/>
        </w:trPr>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Income taxes paid</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38,918</w:t>
            </w:r>
          </w:p>
        </w:tc>
        <w:tc>
          <w:tcPr>
            <w:tcW w:w="0" w:type="dxa"/>
            <w:vAlign w:val="bottom"/>
          </w:tcPr>
          <w:p>
            <w:pPr>
              <w:spacing w:after="0"/>
              <w:rPr>
                <w:sz w:val="1"/>
                <w:szCs w:val="1"/>
                <w:color w:val="auto"/>
              </w:rPr>
            </w:pPr>
          </w:p>
        </w:tc>
      </w:tr>
    </w:tbl>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294005</wp:posOffset>
            </wp:positionV>
            <wp:extent cx="19685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tabs>
          <w:tab w:leader="none" w:pos="384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342265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251" w:right="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HERSHEY COMPANY</w:t>
      </w:r>
    </w:p>
    <w:p>
      <w:pPr>
        <w:jc w:val="center"/>
        <w:ind w:right="-119"/>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jc w:val="center"/>
        <w:ind w:right="-119"/>
        <w:spacing w:after="0" w:line="203" w:lineRule="auto"/>
        <w:rPr>
          <w:sz w:val="20"/>
          <w:szCs w:val="20"/>
          <w:color w:val="auto"/>
        </w:rPr>
      </w:pPr>
      <w:r>
        <w:rPr>
          <w:rFonts w:ascii="Times New Roman" w:cs="Times New Roman" w:eastAsia="Times New Roman" w:hAnsi="Times New Roman"/>
          <w:sz w:val="18"/>
          <w:szCs w:val="18"/>
          <w:b w:val="1"/>
          <w:bCs w:val="1"/>
          <w:color w:val="auto"/>
        </w:rPr>
        <w:t>For the Three Months Ended March 29, 2026 and March 30, 2025</w:t>
      </w:r>
    </w:p>
    <w:p>
      <w:pPr>
        <w:ind w:left="5140"/>
        <w:spacing w:after="0" w:line="204" w:lineRule="auto"/>
        <w:rPr>
          <w:sz w:val="20"/>
          <w:szCs w:val="20"/>
          <w:color w:val="auto"/>
        </w:rPr>
      </w:pPr>
      <w:r>
        <w:rPr>
          <w:rFonts w:ascii="Times New Roman" w:cs="Times New Roman" w:eastAsia="Times New Roman" w:hAnsi="Times New Roman"/>
          <w:sz w:val="18"/>
          <w:szCs w:val="18"/>
          <w:b w:val="1"/>
          <w:bCs w:val="1"/>
          <w:color w:val="auto"/>
        </w:rPr>
        <w:t>(in thousands)</w:t>
      </w: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 w:type="dxa"/>
            <w:vAlign w:val="bottom"/>
          </w:tcPr>
          <w:p>
            <w:pPr>
              <w:spacing w:after="0"/>
              <w:rPr>
                <w:sz w:val="13"/>
                <w:szCs w:val="13"/>
                <w:color w:val="auto"/>
              </w:rPr>
            </w:pPr>
          </w:p>
        </w:tc>
        <w:tc>
          <w:tcPr>
            <w:tcW w:w="94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6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80" w:type="dxa"/>
            <w:vAlign w:val="bottom"/>
          </w:tcPr>
          <w:p>
            <w:pPr>
              <w:spacing w:after="0"/>
              <w:rPr>
                <w:sz w:val="17"/>
                <w:szCs w:val="17"/>
                <w:color w:val="auto"/>
              </w:rPr>
            </w:pP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1,426,651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5,495,449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(2,259,553)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(247,350)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4,636,750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435,105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435,105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Common Stock, $1.452 per share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(215,036)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(215,036)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Class B Common Stock, $1.320 per share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(72,090)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(72,090)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 and incentive-based transactions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Repurchase of common stock (including excise tax)</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(69,270)</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March 29, 2026</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1,435,194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5,643,428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(2,316,416)</w:t>
            </w:r>
          </w:p>
        </w:tc>
        <w:tc>
          <w:tcPr>
            <w:tcW w:w="8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(249,911)</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4,733,848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 w:type="dxa"/>
            <w:vAlign w:val="bottom"/>
          </w:tcPr>
          <w:p>
            <w:pPr>
              <w:spacing w:after="0"/>
              <w:rPr>
                <w:sz w:val="24"/>
                <w:szCs w:val="24"/>
                <w:color w:val="auto"/>
              </w:rPr>
            </w:pPr>
          </w:p>
        </w:tc>
        <w:tc>
          <w:tcPr>
            <w:tcW w:w="9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4"/>
                <w:szCs w:val="24"/>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80" w:type="dxa"/>
            <w:vAlign w:val="bottom"/>
          </w:tcPr>
          <w:p>
            <w:pPr>
              <w:spacing w:after="0"/>
              <w:rPr>
                <w:sz w:val="17"/>
                <w:szCs w:val="17"/>
                <w:color w:val="auto"/>
              </w:rPr>
            </w:pP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1,377,226</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5,698,316</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(2,278,551)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(303,890)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4,714,654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224,203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(including dividend equivalents):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Stock, $1.370 per share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(202,460)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(202,460)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Class B Common Stock, $1.245 per share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(67,994)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Exercise of stock options and incentive-based transactions</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(18,736)</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30, 2025</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166,939</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54,614</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1,372,137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5,652,065</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(2,269,560)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(291,299)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4,684,896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796925</wp:posOffset>
            </wp:positionV>
            <wp:extent cx="19685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50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minority shareholders do not have substantive participating rights, we have significant control through contractual or economic interests in which we are the primary beneficiary or we have the power to direct the activities that most significantly impact the entity’s economic performance. We use the equity method of accounting when we have a 20% to 50% interest in other companies and exercise significant influence. Other investments that are not controlled, and over which we do not have the ability to exercise significant influence, are accounted for under the cost method. Both equity method investments and cost, less impairment, investments are included as Other non-current assets in the Consolidated Balance Sheets.</w:t>
      </w:r>
    </w:p>
    <w:p>
      <w:pPr>
        <w:spacing w:after="0" w:line="13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(consisting of normal recurring adjustments) which are, in our opinion, necessary for a fair presentation of the results of operations, financial position, and cash flows for the indicated periods.</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Operating results for the quarter ended March 29, 2026 may not be indicative of the results that may be expected for the year ending December 31, 2026 because of seasonal effects on our business. These financial statements should be read in conjunction with our Annual Report on Form 10-K for the year ended December 31, 2025 (our “2025 Annual Report on Form 10-K”), which provides a more complete understanding of our accounting policies, financial position, operating results and other matters.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This ASU requires public business entities on an annual basis to disclose specific categories in a tabular rate reconciliation and provide additional information for reconciling items that meet a five percent quantitative threshold. Additionally, the ASU requires all entities to disclose the amount of income taxes paid disaggregated by federal, state, and foreign taxes, as well as individual jurisdictions where income taxes paid are equal to or greater than five percent of total income taxes paid. ASU 2023-09 is effective for annual periods beginning after December 15, 2024. We adopted the provisions of this ASU in the fourth quarter of 2025 and applied the provisions on a prospective basis.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This ASU requires entities to disclose certain additional expense information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 items, purchases of inventory, employee compensation, depreciation and intangible asset amortization included within each Consolidated Statement of Income expense caption. ASU 2024-03 is effective for annual reporting periods beginning after December 15, 2026, and interim reporting periods beginning after December 15, 2027. Early adoption is permitted and the update should be applied on a prospective basis, with a retrospective application permitted in the financial statements. We are currently evaluating the impact of the new standard on our consolidated financial statements and 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523240</wp:posOffset>
            </wp:positionV>
            <wp:extent cx="19685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This ASU modernizes the capitalization guidance by removing all references to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project stages so that the guidance is neutral to different software development methods. Under this ASU, costs are capitalized when management has authorized and committed funding and it is probable the project will be completed and the software used as intended. ASU 2025-06 is effective for annual reporting periods beginning after December 15, 2027, and interim reporting periods within those annual reporting periods. Early adoption is permitted and the amendments in this update permit an entity to apply the new guidance using a prospective, retrospective or modified transition approach. We are currently evaluating the impact of the new standard on our consolidated financial statements and related disclosures.</w:t>
      </w:r>
    </w:p>
    <w:p>
      <w:pPr>
        <w:spacing w:after="0" w:line="13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 issued or effective during the fiscal year had or is expected to have a material impact on our consolidated financial statements or disclosures.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BUSINESS ACQUISITIONS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LesserEvil,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18, 2025, we completed the acquisition of LesserEvil, LLC (“LesserEvil”), previously a privately held company that produces and sells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organic popcorn and puffed snack products to retailers and distributors in the United States and Canada, which complements Hershey’s existing product</w:t>
      </w:r>
    </w:p>
    <w:p>
      <w:pPr>
        <w:spacing w:after="0" w:line="219" w:lineRule="auto"/>
        <w:rPr>
          <w:sz w:val="20"/>
          <w:szCs w:val="20"/>
          <w:color w:val="auto"/>
        </w:rPr>
      </w:pPr>
      <w:r>
        <w:rPr>
          <w:rFonts w:ascii="Times New Roman" w:cs="Times New Roman" w:eastAsia="Times New Roman" w:hAnsi="Times New Roman"/>
          <w:sz w:val="18"/>
          <w:szCs w:val="18"/>
          <w:color w:val="auto"/>
        </w:rPr>
        <w:t>portfolio and brings additional manufacturing capacity. The initial cash consideration paid for LesserEvil totaled $769,090 and consisted of cash on hand</w:t>
      </w:r>
    </w:p>
    <w:p>
      <w:pPr>
        <w:spacing w:after="0" w:line="234" w:lineRule="auto"/>
        <w:rPr>
          <w:sz w:val="20"/>
          <w:szCs w:val="20"/>
          <w:color w:val="auto"/>
        </w:rPr>
      </w:pPr>
      <w:r>
        <w:rPr>
          <w:rFonts w:ascii="Times New Roman" w:cs="Times New Roman" w:eastAsia="Times New Roman" w:hAnsi="Times New Roman"/>
          <w:sz w:val="18"/>
          <w:szCs w:val="18"/>
          <w:color w:val="auto"/>
        </w:rPr>
        <w:t>and short-term borrowings; however, the Company may be required to pay additional contingent consideration ranging from zero to a maximum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$200,000 if certain defined earnings targets are met over a multi-year period. Acquisition-related costs for the LesserEvil acquisition were immaterial.</w:t>
      </w:r>
    </w:p>
    <w:p>
      <w:pPr>
        <w:spacing w:after="0" w:line="15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and, accordingly, LesserEvil has been included within the North America Salty Snacks segment from the date of acquisition. The purchase consideration, inclusive of the acquisition date fair value of the contingent consideration and certain holdbacks, was allocated to assets acquired and liabilities assumed based on their respective fair values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Initial Allocation</w:t>
            </w:r>
          </w:p>
        </w:tc>
      </w:tr>
      <w:tr>
        <w:trPr>
          <w:trHeight w:val="229"/>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289,142</w:t>
            </w:r>
          </w:p>
        </w:tc>
      </w:tr>
      <w:tr>
        <w:trPr>
          <w:trHeight w:val="230"/>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3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604,500</w:t>
            </w:r>
          </w:p>
        </w:tc>
      </w:tr>
      <w:tr>
        <w:trPr>
          <w:trHeight w:val="23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 acquired, including cash and cash equivalents</w:t>
            </w:r>
          </w:p>
        </w:tc>
        <w:tc>
          <w:tcPr>
            <w:tcW w:w="3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65,060</w:t>
            </w:r>
          </w:p>
        </w:tc>
      </w:tr>
      <w:tr>
        <w:trPr>
          <w:trHeight w:val="230"/>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15,572</w:t>
            </w:r>
          </w:p>
        </w:tc>
      </w:tr>
      <w:tr>
        <w:trPr>
          <w:trHeight w:val="229"/>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 primarily operating lease ROU assets</w:t>
            </w:r>
          </w:p>
        </w:tc>
        <w:tc>
          <w:tcPr>
            <w:tcW w:w="3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28,214</w:t>
            </w:r>
          </w:p>
        </w:tc>
      </w:tr>
      <w:tr>
        <w:trPr>
          <w:trHeight w:val="230"/>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3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(21,141)</w:t>
            </w:r>
          </w:p>
        </w:tc>
      </w:tr>
      <w:tr>
        <w:trPr>
          <w:trHeight w:val="23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 primarily operating lease liabilities</w:t>
            </w:r>
          </w:p>
        </w:tc>
        <w:tc>
          <w:tcPr>
            <w:tcW w:w="3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(22,054)</w:t>
            </w:r>
          </w:p>
        </w:tc>
      </w:tr>
      <w:tr>
        <w:trPr>
          <w:trHeight w:val="230"/>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(144,143)</w:t>
            </w:r>
          </w:p>
        </w:tc>
      </w:tr>
      <w:tr>
        <w:trPr>
          <w:trHeight w:val="248"/>
        </w:trPr>
        <w:tc>
          <w:tcPr>
            <w:tcW w:w="8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assets acquired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815,150</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purchase price allocation presented above is preliminary. We are in the process of evaluating additional information necessary to finalize the valuation of assets acquired and liabilities assumed as of the acquisition date including, but not limited to, post-closing adjustments to the working capital acquired including certain holdbacks, as well as the valuation and step-up on property, plant and equipment. The final fair value determination could result in material adjustments to the values presented in the preliminary purchase price allocation, including other intangible assets and goodwill. We expect to finalize the purchase price allocation by mid-2026.</w:t>
      </w:r>
    </w:p>
    <w:p>
      <w:pPr>
        <w:spacing w:after="0" w:line="2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Goodwill was determined as the excess of the purchase price over the fair value of the net assets acquired (including the identifiable intangible assets). The goodwill derived from this acquisition is not expected to be deductible for tax purposes and reflects the value of leveraging our brand building expertise, supply chain capabilities and retail relationships to accelerate growth and access to the portfolio of LesserEvil’s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260350</wp:posOffset>
            </wp:positionV>
            <wp:extent cx="19685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include the following estimated useful lives and values:</w:t>
            </w: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56"/>
        </w:trPr>
        <w:tc>
          <w:tcPr>
            <w:tcW w:w="6440" w:type="dxa"/>
            <w:vAlign w:val="bottom"/>
          </w:tcPr>
          <w:p>
            <w:pPr>
              <w:spacing w:after="0"/>
              <w:rPr>
                <w:sz w:val="22"/>
                <w:szCs w:val="22"/>
                <w:color w:val="auto"/>
              </w:rPr>
            </w:pP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c>
          <w:tcPr>
            <w:tcW w:w="300" w:type="dxa"/>
            <w:vAlign w:val="bottom"/>
          </w:tcPr>
          <w:p>
            <w:pPr>
              <w:spacing w:after="0"/>
              <w:rPr>
                <w:sz w:val="22"/>
                <w:szCs w:val="22"/>
                <w:color w:val="auto"/>
              </w:rPr>
            </w:pPr>
          </w:p>
        </w:tc>
        <w:tc>
          <w:tcPr>
            <w:tcW w:w="2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Initial Allocation</w:t>
            </w:r>
          </w:p>
        </w:tc>
      </w:tr>
      <w:tr>
        <w:trPr>
          <w:trHeight w:val="223"/>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303,000</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20 years</w:t>
            </w:r>
          </w:p>
        </w:tc>
        <w:tc>
          <w:tcPr>
            <w:tcW w:w="3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301,500</w:t>
            </w:r>
          </w:p>
        </w:tc>
      </w:tr>
      <w:tr>
        <w:trPr>
          <w:trHeight w:val="248"/>
        </w:trPr>
        <w:tc>
          <w:tcPr>
            <w:tcW w:w="6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intangible assets</w:t>
            </w:r>
          </w:p>
        </w:tc>
        <w:tc>
          <w:tcPr>
            <w:tcW w:w="2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604,500</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Sour Strips</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November 8, 2024, we completed the acquisition of the Sour Strips brand from Actual Candy, LLC. Sour Strips is an emerging sour candy brand and is available in a wide range of food distribution channels in the United States. The initial cash consideration paid for Sour Strips was deemed immaterial and consisted of cash on hand and short-term borrowings; however, the Company may be required to pay additional contingent consideration if certain defined targets are met over a multi-year period. We paid a portion of contingent consideration in April 2026. Acquisition-related costs for the Sour Strips acquisition were immaterial.</w:t>
      </w:r>
    </w:p>
    <w:p>
      <w:pPr>
        <w:spacing w:after="0" w:line="1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and, accordingly, Sour Strips has been included within the North America Confectionery segment from the date of acquisition. The purchase consideration, inclusive of the acquisition date fair value of the contingent consideration, was allocated to minimal net assets acquired, goodwill and other intangible assets. The purchase price allocation was finalized as of the second quarter of 2025 and includes an immaterial amount of measurement period adjustments. The measurement period adjustments to the initial allocation were based on more detailed information obtained about the specific assets acquired and liabilities assumed, specifically, post-closing adjustments to the working capital acquired.</w:t>
      </w:r>
    </w:p>
    <w:p>
      <w:pPr>
        <w:spacing w:after="0" w:line="1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Goodwill was determined as the excess of the purchase price over the fair value of the net assets acquired (including the identifiable intangible assets). The goodwill derived from this acquisition is expected to be deductible for tax purposes and reflects the value of leveraging our brand building expertise, commercial capabilities and retail relationships to accelerate growth.</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Other intangible assets include trademarks valued at $41,800 and customer relationships valued at $41,300. Trademarks were assigned an estimated useful life of 22 years and customer relationships were assigned estimated useful lives ranging from 14 to 16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 AND INTANGIBLE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value of goodwill by reportable segment for the three months ended March 29, 2026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 Salty</w:t>
            </w:r>
          </w:p>
        </w:tc>
        <w:tc>
          <w:tcPr>
            <w:tcW w:w="240" w:type="dxa"/>
            <w:vAlign w:val="bottom"/>
          </w:tcPr>
          <w:p>
            <w:pPr>
              <w:spacing w:after="0"/>
              <w:rPr>
                <w:sz w:val="18"/>
                <w:szCs w:val="18"/>
                <w:color w:val="auto"/>
              </w:rPr>
            </w:pPr>
          </w:p>
        </w:tc>
        <w:tc>
          <w:tcPr>
            <w:tcW w:w="1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400" w:type="dxa"/>
            <w:vAlign w:val="bottom"/>
          </w:tcPr>
          <w:p>
            <w:pPr>
              <w:spacing w:after="0"/>
              <w:rPr>
                <w:sz w:val="18"/>
                <w:szCs w:val="18"/>
                <w:color w:val="auto"/>
              </w:rPr>
            </w:pPr>
          </w:p>
        </w:tc>
        <w:tc>
          <w:tcPr>
            <w:tcW w:w="140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Confectionery</w:t>
            </w:r>
          </w:p>
        </w:tc>
        <w:tc>
          <w:tcPr>
            <w:tcW w:w="360" w:type="dxa"/>
            <w:vAlign w:val="bottom"/>
          </w:tcPr>
          <w:p>
            <w:pPr>
              <w:spacing w:after="0"/>
              <w:rPr>
                <w:sz w:val="21"/>
                <w:szCs w:val="21"/>
                <w:color w:val="auto"/>
              </w:rPr>
            </w:pP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Snacks</w:t>
            </w:r>
          </w:p>
        </w:tc>
        <w:tc>
          <w:tcPr>
            <w:tcW w:w="240" w:type="dxa"/>
            <w:vAlign w:val="bottom"/>
          </w:tcPr>
          <w:p>
            <w:pPr>
              <w:spacing w:after="0"/>
              <w:rPr>
                <w:sz w:val="21"/>
                <w:szCs w:val="21"/>
                <w:color w:val="auto"/>
              </w:rPr>
            </w:pPr>
          </w:p>
        </w:tc>
        <w:tc>
          <w:tcPr>
            <w:tcW w:w="168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2,039,098</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946,143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10,764</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2,996,005</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0" w:type="dxa"/>
            <w:vAlign w:val="bottom"/>
          </w:tcPr>
          <w:p>
            <w:pPr>
              <w:spacing w:after="0"/>
              <w:rPr>
                <w:sz w:val="1"/>
                <w:szCs w:val="1"/>
                <w:color w:val="auto"/>
              </w:rPr>
            </w:pPr>
          </w:p>
        </w:tc>
      </w:tr>
      <w:tr>
        <w:trPr>
          <w:trHeight w:val="248"/>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29, 2026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2,037,828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2,994,696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488315</wp:posOffset>
            </wp:positionV>
            <wp:extent cx="19685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provides the gross carrying amount and accumulated amortization for each major class of intangible asset: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7"/>
        </w:trPr>
        <w:tc>
          <w:tcPr>
            <w:tcW w:w="4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180" w:type="dxa"/>
            <w:vAlign w:val="bottom"/>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March 29, 2026</w:t>
            </w:r>
          </w:p>
        </w:tc>
        <w:tc>
          <w:tcPr>
            <w:tcW w:w="140" w:type="dxa"/>
            <w:vAlign w:val="bottom"/>
          </w:tcPr>
          <w:p>
            <w:pPr>
              <w:spacing w:after="0"/>
              <w:rPr>
                <w:sz w:val="22"/>
                <w:szCs w:val="22"/>
                <w:color w:val="auto"/>
              </w:rPr>
            </w:pPr>
          </w:p>
        </w:tc>
        <w:tc>
          <w:tcPr>
            <w:tcW w:w="308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69"/>
        </w:trPr>
        <w:tc>
          <w:tcPr>
            <w:tcW w:w="47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r>
      <w:tr>
        <w:trPr>
          <w:trHeight w:val="241"/>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0"/>
                <w:szCs w:val="20"/>
                <w:color w:val="auto"/>
              </w:rPr>
            </w:pPr>
          </w:p>
        </w:tc>
        <w:tc>
          <w:tcPr>
            <w:tcW w:w="14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12"/>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1,803,394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(348,780)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1,803,973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(335,974)</w:t>
            </w:r>
          </w:p>
        </w:tc>
      </w:tr>
      <w:tr>
        <w:trPr>
          <w:trHeight w:val="230"/>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Customer-related</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(185,995)</w:t>
            </w:r>
          </w:p>
        </w:tc>
      </w:tr>
      <w:tr>
        <w:trPr>
          <w:trHeight w:val="229"/>
        </w:trPr>
        <w:tc>
          <w:tcPr>
            <w:tcW w:w="4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Patents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(7,944)</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2,666,416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2,667,473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(529,913)</w:t>
            </w:r>
          </w:p>
        </w:tc>
      </w:tr>
      <w:tr>
        <w:trPr>
          <w:trHeight w:val="270"/>
        </w:trPr>
        <w:tc>
          <w:tcPr>
            <w:tcW w:w="4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4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2,450,391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2,475,698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amortization expense for the three months ended March 29, 2026 and March 30, 2025 was $24,974 and $20,568,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Debt</w:t>
      </w:r>
    </w:p>
    <w:p>
      <w:pPr>
        <w:spacing w:after="0" w:line="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a source of short-term financing, we utilize cash on hand and commercial paper or bank loans with an original maturity of three months or less. As of March 29, 2026, we maintained a $1.875 billion unsecured revolving credit facility with the option to increase the aggregate amount of the commitments by up to $1 billion with the consent of the lenders. The credit facility is scheduled to expire on October 21, 2030; however, we may extend the termination date for up to two additional one-year periods upon notice to the administrative agent under the facility.</w:t>
      </w:r>
    </w:p>
    <w:p>
      <w:pPr>
        <w:spacing w:after="0" w:line="5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credit agreements governing the credit facility contain certain financial and other covenants, customary representations, warranties and events of default. As of March 29, 2026, we were in compliance with all covenants pertaining to the credit facility, and we had no significant compensating balance agreements that legally restricted access to these funds. For more information, refer to the Consolidated Financial Statements included in our 2025 Annual Report on Form 10-K.</w:t>
      </w:r>
    </w:p>
    <w:p>
      <w:pPr>
        <w:spacing w:after="0" w:line="5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addition to the revolving credit facility, we maintain lines of credit with domestic and international commercial banks. We had short-term foreign bank loans against these lines of credit for $169,455 at March 29, 2026 and $218,546 at December 31, 2025. Commitment fees relating to our revolving credit facility and lines of credit are not material.</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29, 2026 and December 31, 2025, we had no outstanding commercial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454660</wp:posOffset>
            </wp:positionV>
            <wp:extent cx="19685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Debt Type and Rate</w:t>
            </w:r>
          </w:p>
        </w:tc>
        <w:tc>
          <w:tcPr>
            <w:tcW w:w="2560" w:type="dxa"/>
            <w:vAlign w:val="bottom"/>
            <w:gridSpan w:val="4"/>
          </w:tcPr>
          <w:p>
            <w:pPr>
              <w:jc w:val="right"/>
              <w:ind w:right="103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2.300%</w:t>
            </w:r>
          </w:p>
        </w:tc>
        <w:tc>
          <w:tcPr>
            <w:tcW w:w="404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15, 2026</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7.200%</w:t>
            </w: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Debentures</w:t>
            </w:r>
          </w:p>
        </w:tc>
        <w:tc>
          <w:tcPr>
            <w:tcW w:w="2560" w:type="dxa"/>
            <w:vAlign w:val="bottom"/>
            <w:gridSpan w:val="4"/>
          </w:tcPr>
          <w:p>
            <w:pPr>
              <w:jc w:val="center"/>
              <w:ind w:right="350"/>
              <w:spacing w:after="0"/>
              <w:rPr>
                <w:sz w:val="20"/>
                <w:szCs w:val="20"/>
                <w:color w:val="auto"/>
              </w:rPr>
            </w:pPr>
            <w:r>
              <w:rPr>
                <w:rFonts w:ascii="Times New Roman" w:cs="Times New Roman" w:eastAsia="Times New Roman" w:hAnsi="Times New Roman"/>
                <w:sz w:val="18"/>
                <w:szCs w:val="18"/>
                <w:color w:val="auto"/>
              </w:rPr>
              <w:t>August 15, 2027</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193,639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4.550%</w:t>
            </w:r>
          </w:p>
        </w:tc>
        <w:tc>
          <w:tcPr>
            <w:tcW w:w="4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560" w:type="dxa"/>
            <w:vAlign w:val="bottom"/>
            <w:gridSpan w:val="4"/>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w w:val="99"/>
              </w:rPr>
              <w:t>February 24, 2028</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4.250%</w:t>
            </w: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560" w:type="dxa"/>
            <w:vAlign w:val="bottom"/>
            <w:gridSpan w:val="4"/>
          </w:tcPr>
          <w:p>
            <w:pPr>
              <w:jc w:val="center"/>
              <w:ind w:right="350"/>
              <w:spacing w:after="0"/>
              <w:rPr>
                <w:sz w:val="20"/>
                <w:szCs w:val="20"/>
                <w:color w:val="auto"/>
              </w:rPr>
            </w:pPr>
            <w:r>
              <w:rPr>
                <w:rFonts w:ascii="Times New Roman" w:cs="Times New Roman" w:eastAsia="Times New Roman" w:hAnsi="Times New Roman"/>
                <w:sz w:val="18"/>
                <w:szCs w:val="18"/>
                <w:color w:val="auto"/>
              </w:rPr>
              <w:t>May 4, 2028</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2.450%</w:t>
            </w:r>
          </w:p>
        </w:tc>
        <w:tc>
          <w:tcPr>
            <w:tcW w:w="4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560" w:type="dxa"/>
            <w:vAlign w:val="bottom"/>
            <w:gridSpan w:val="4"/>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rPr>
              <w:t>November 15, 2029</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4.750%</w:t>
            </w: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560" w:type="dxa"/>
            <w:vAlign w:val="bottom"/>
            <w:gridSpan w:val="4"/>
          </w:tcPr>
          <w:p>
            <w:pPr>
              <w:jc w:val="center"/>
              <w:ind w:right="350"/>
              <w:spacing w:after="0"/>
              <w:rPr>
                <w:sz w:val="20"/>
                <w:szCs w:val="20"/>
                <w:color w:val="auto"/>
              </w:rPr>
            </w:pPr>
            <w:r>
              <w:rPr>
                <w:rFonts w:ascii="Times New Roman" w:cs="Times New Roman" w:eastAsia="Times New Roman" w:hAnsi="Times New Roman"/>
                <w:sz w:val="18"/>
                <w:szCs w:val="18"/>
                <w:color w:val="auto"/>
                <w:w w:val="99"/>
              </w:rPr>
              <w:t>February 24, 2030</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1.700%</w:t>
            </w:r>
          </w:p>
        </w:tc>
        <w:tc>
          <w:tcPr>
            <w:tcW w:w="4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560" w:type="dxa"/>
            <w:vAlign w:val="bottom"/>
            <w:gridSpan w:val="4"/>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rPr>
              <w:t>June 1, 2030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4.950%</w:t>
            </w: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560" w:type="dxa"/>
            <w:vAlign w:val="bottom"/>
            <w:gridSpan w:val="4"/>
          </w:tcPr>
          <w:p>
            <w:pPr>
              <w:jc w:val="center"/>
              <w:ind w:right="350"/>
              <w:spacing w:after="0"/>
              <w:rPr>
                <w:sz w:val="20"/>
                <w:szCs w:val="20"/>
                <w:color w:val="auto"/>
              </w:rPr>
            </w:pPr>
            <w:r>
              <w:rPr>
                <w:rFonts w:ascii="Times New Roman" w:cs="Times New Roman" w:eastAsia="Times New Roman" w:hAnsi="Times New Roman"/>
                <w:sz w:val="18"/>
                <w:szCs w:val="18"/>
                <w:color w:val="auto"/>
                <w:w w:val="99"/>
              </w:rPr>
              <w:t>February 24, 2032</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4.500%</w:t>
            </w:r>
          </w:p>
        </w:tc>
        <w:tc>
          <w:tcPr>
            <w:tcW w:w="4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560" w:type="dxa"/>
            <w:vAlign w:val="bottom"/>
            <w:gridSpan w:val="4"/>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rPr>
              <w:t>May 4, 2033</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5.100%</w:t>
            </w: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560" w:type="dxa"/>
            <w:vAlign w:val="bottom"/>
            <w:gridSpan w:val="4"/>
          </w:tcPr>
          <w:p>
            <w:pPr>
              <w:jc w:val="center"/>
              <w:ind w:right="350"/>
              <w:spacing w:after="0"/>
              <w:rPr>
                <w:sz w:val="20"/>
                <w:szCs w:val="20"/>
                <w:color w:val="auto"/>
              </w:rPr>
            </w:pPr>
            <w:r>
              <w:rPr>
                <w:rFonts w:ascii="Times New Roman" w:cs="Times New Roman" w:eastAsia="Times New Roman" w:hAnsi="Times New Roman"/>
                <w:sz w:val="18"/>
                <w:szCs w:val="18"/>
                <w:color w:val="auto"/>
                <w:w w:val="99"/>
              </w:rPr>
              <w:t>February 24, 2035</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3.375%</w:t>
            </w:r>
          </w:p>
        </w:tc>
        <w:tc>
          <w:tcPr>
            <w:tcW w:w="4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560" w:type="dxa"/>
            <w:vAlign w:val="bottom"/>
            <w:gridSpan w:val="4"/>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rPr>
              <w:t>August 15, 2046</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3.125%</w:t>
            </w: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560" w:type="dxa"/>
            <w:vAlign w:val="bottom"/>
            <w:gridSpan w:val="4"/>
          </w:tcPr>
          <w:p>
            <w:pPr>
              <w:jc w:val="center"/>
              <w:ind w:right="350"/>
              <w:spacing w:after="0"/>
              <w:rPr>
                <w:sz w:val="20"/>
                <w:szCs w:val="20"/>
                <w:color w:val="auto"/>
              </w:rPr>
            </w:pPr>
            <w:r>
              <w:rPr>
                <w:rFonts w:ascii="Times New Roman" w:cs="Times New Roman" w:eastAsia="Times New Roman" w:hAnsi="Times New Roman"/>
                <w:sz w:val="18"/>
                <w:szCs w:val="18"/>
                <w:color w:val="auto"/>
              </w:rPr>
              <w:t>November 15, 2049</w:t>
            </w:r>
          </w:p>
        </w:tc>
        <w:tc>
          <w:tcPr>
            <w:tcW w:w="1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400,000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2.650%</w:t>
            </w:r>
          </w:p>
        </w:tc>
        <w:tc>
          <w:tcPr>
            <w:tcW w:w="4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560" w:type="dxa"/>
            <w:vAlign w:val="bottom"/>
            <w:gridSpan w:val="4"/>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rPr>
              <w:t>June 1, 2050</w:t>
            </w:r>
          </w:p>
        </w:tc>
        <w:tc>
          <w:tcPr>
            <w:tcW w:w="1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350,000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4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Finance lease obligations (see </w:t>
            </w:r>
            <w:r>
              <w:rPr>
                <w:rFonts w:ascii="Times New Roman" w:cs="Times New Roman" w:eastAsia="Times New Roman" w:hAnsi="Times New Roman"/>
                <w:sz w:val="18"/>
                <w:szCs w:val="18"/>
                <w:color w:val="0000FF"/>
              </w:rPr>
              <w:t>Note 7</w:t>
            </w:r>
            <w:r>
              <w:rPr>
                <w:rFonts w:ascii="Times New Roman" w:cs="Times New Roman" w:eastAsia="Times New Roman" w:hAnsi="Times New Roman"/>
                <w:sz w:val="18"/>
                <w:szCs w:val="18"/>
                <w:color w:val="auto"/>
              </w:rPr>
              <w:t>)</w:t>
            </w: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76,141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73,510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74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impact of interest rate swaps, debt issuance costs and</w:t>
            </w:r>
          </w:p>
        </w:tc>
        <w:tc>
          <w:tcPr>
            <w:tcW w:w="2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discounts</w:t>
            </w:r>
          </w:p>
        </w:tc>
        <w:tc>
          <w:tcPr>
            <w:tcW w:w="2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(31,336)</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(32,628)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5,188,444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5,184,521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Less—current portion</w:t>
            </w:r>
          </w:p>
        </w:tc>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504,081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503,327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4,684,363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4,681,194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740" w:type="dxa"/>
            <w:vAlign w:val="bottom"/>
            <w:gridSpan w:val="5"/>
            <w:vMerge w:val="continue"/>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interest expense consists of the following:</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7"/>
          </w:tcPr>
          <w:p>
            <w:pPr>
              <w:ind w:left="1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40" w:type="dxa"/>
            <w:vAlign w:val="bottom"/>
            <w:tcBorders>
              <w:top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80" w:type="dxa"/>
            <w:vAlign w:val="bottom"/>
            <w:tcBorders>
              <w:top w:val="single" w:sz="8" w:color="CCEEFF"/>
            </w:tcBorders>
            <w:gridSpan w:val="3"/>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96"/>
              </w:rPr>
              <w:t>56,876</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54,916</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2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ind w:left="1220"/>
              <w:spacing w:after="0"/>
              <w:rPr>
                <w:sz w:val="20"/>
                <w:szCs w:val="20"/>
                <w:color w:val="auto"/>
              </w:rPr>
            </w:pPr>
            <w:r>
              <w:rPr>
                <w:rFonts w:ascii="Times New Roman" w:cs="Times New Roman" w:eastAsia="Times New Roman" w:hAnsi="Times New Roman"/>
                <w:sz w:val="18"/>
                <w:szCs w:val="18"/>
                <w:color w:val="auto"/>
              </w:rPr>
              <w:t>(2,126)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ind w:left="1280"/>
              <w:spacing w:after="0"/>
              <w:rPr>
                <w:sz w:val="20"/>
                <w:szCs w:val="20"/>
                <w:color w:val="auto"/>
              </w:rPr>
            </w:pPr>
            <w:r>
              <w:rPr>
                <w:rFonts w:ascii="Times New Roman" w:cs="Times New Roman" w:eastAsia="Times New Roman" w:hAnsi="Times New Roman"/>
                <w:sz w:val="18"/>
                <w:szCs w:val="18"/>
                <w:color w:val="auto"/>
              </w:rPr>
              <w:t>(4,309)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96"/>
              </w:rPr>
              <w:t>54,750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50,607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ind w:left="1220"/>
              <w:spacing w:after="0"/>
              <w:rPr>
                <w:sz w:val="20"/>
                <w:szCs w:val="20"/>
                <w:color w:val="auto"/>
              </w:rPr>
            </w:pPr>
            <w:r>
              <w:rPr>
                <w:rFonts w:ascii="Times New Roman" w:cs="Times New Roman" w:eastAsia="Times New Roman" w:hAnsi="Times New Roman"/>
                <w:sz w:val="18"/>
                <w:szCs w:val="18"/>
                <w:color w:val="auto"/>
              </w:rPr>
              <w:t>(4,932)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ind w:left="1280"/>
              <w:spacing w:after="0"/>
              <w:rPr>
                <w:sz w:val="20"/>
                <w:szCs w:val="20"/>
                <w:color w:val="auto"/>
              </w:rPr>
            </w:pPr>
            <w:r>
              <w:rPr>
                <w:rFonts w:ascii="Times New Roman" w:cs="Times New Roman" w:eastAsia="Times New Roman" w:hAnsi="Times New Roman"/>
                <w:sz w:val="18"/>
                <w:szCs w:val="18"/>
                <w:color w:val="auto"/>
              </w:rPr>
              <w:t>(5,985)</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80" w:type="dxa"/>
            <w:vAlign w:val="bottom"/>
            <w:tcBorders>
              <w:bottom w:val="single" w:sz="8" w:color="CCEEFF"/>
            </w:tcBorders>
            <w:gridSpan w:val="3"/>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96"/>
              </w:rPr>
              <w:t>49,818</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44,622</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6944360</wp:posOffset>
            </wp:positionH>
            <wp:positionV relativeFrom="paragraph">
              <wp:posOffset>651510</wp:posOffset>
            </wp:positionV>
            <wp:extent cx="19685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tabs>
          <w:tab w:leader="none" w:pos="384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17"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entering into these contracts, we have assumed the risk that might arise from the possible inability of counterparties to meet the terms of their contracts. We mitigate this risk by entering into exchange-traded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9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$925,182 as of March 29, 2026 and $973,083 as of December 31, 2025.</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Derivatives used to manage commodity price risk are not designated for hedge accounting treatment. Therefore, the changes in fair value of these derivatives are recorded as incurred within cost of sales. As discussed in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Price Risk</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Brazilian real, Malaysian ringgit, Mexican peso and Swiss franc. We typically utilize foreign currency forward exchange contracts to hedge these exposures for periods ranging from 3 to 18 months. The contracts are either designated as cash flow hedges or are undesignated. The net notional amount of foreign exchange contracts accounted for as cash flow hedges was $157,838 at March 29, 2026 and $223,962 at December 31, 2025.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$63,653 at March 29, 2026 and $59,970 at December 31, 2025. The change in fair value on these instruments is recorded directly in cost of sales or selling, marketing and administrative (“SM&amp;A”) expense, depending on the nature of the underlying exposure.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order to manage interest rate exposure, from time to time, we enter into interest rate swap agreements to protect against unfavorable interest rate changes relating to forecasted debt transactions. These swaps, which are settled upon issuance of the related debt, are designated as cash flow hedges and the gains and losses that are deferred in other comprehensive income are being recognized as an adjustment to interest expense over the same period that the hedged interest payments affect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SM&amp;A expense, together with the change in the related liabilities. The notional amount of the contracts outstanding at March 29, 2026 and December 31, 2025 was $37,119 and $35,896,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273685</wp:posOffset>
            </wp:positionV>
            <wp:extent cx="19685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classification of derivative assets and liabilities within the Consolidated Balance Sheets as of March 29,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March 29, 2026</w:t>
            </w:r>
          </w:p>
        </w:tc>
        <w:tc>
          <w:tcPr>
            <w:tcW w:w="260" w:type="dxa"/>
            <w:vAlign w:val="bottom"/>
          </w:tcPr>
          <w:p>
            <w:pPr>
              <w:spacing w:after="0"/>
              <w:rPr>
                <w:sz w:val="20"/>
                <w:szCs w:val="20"/>
                <w:color w:val="auto"/>
              </w:rPr>
            </w:pPr>
          </w:p>
        </w:tc>
        <w:tc>
          <w:tcPr>
            <w:tcW w:w="300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4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Assets (1)</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Liabilities (1)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Assets (1)</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Liabilities (1)</w:t>
            </w:r>
          </w:p>
        </w:tc>
      </w:tr>
      <w:tr>
        <w:trPr>
          <w:trHeight w:val="20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hedging instruments: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r>
      <w:tr>
        <w:trPr>
          <w:trHeight w:val="270"/>
        </w:trPr>
        <w:tc>
          <w:tcPr>
            <w:tcW w:w="4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 futures and options (2)</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20,829</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derivatives</w:t>
            </w:r>
          </w:p>
        </w:tc>
        <w:tc>
          <w:tcPr>
            <w:tcW w:w="2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20,829</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23,924</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500" w:right="20" w:hanging="330"/>
        <w:spacing w:after="0" w:line="281" w:lineRule="auto"/>
        <w:tabs>
          <w:tab w:leader="none" w:pos="4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assets are classified on our Consolidated Balance Sheets within prepaid expenses and other as well as other non-current assets. Derivative liabilities are classified on our Consolidated Balance Sheets within accrued liabilities and other long-term liabilities.</w:t>
      </w:r>
    </w:p>
    <w:p>
      <w:pPr>
        <w:spacing w:after="0" w:line="1" w:lineRule="exact"/>
        <w:rPr>
          <w:rFonts w:ascii="Times New Roman" w:cs="Times New Roman" w:eastAsia="Times New Roman" w:hAnsi="Times New Roman"/>
          <w:sz w:val="18"/>
          <w:szCs w:val="18"/>
          <w:color w:val="auto"/>
        </w:rPr>
      </w:pPr>
    </w:p>
    <w:p>
      <w:pPr>
        <w:ind w:left="500" w:right="260" w:hanging="330"/>
        <w:spacing w:after="0" w:line="258" w:lineRule="auto"/>
        <w:tabs>
          <w:tab w:leader="none" w:pos="4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29, 2026, amounts reflected on a net basis in liabilities were assets of $96,101 and liabilities of $214,024, which are associated with cash transfers receivable or payable on commodities futures contracts reflecting the change in quoted market prices on the last trading day for the period. The comparable amounts reflected on a net basis in liabilities at December 31, 2025 were assets of $46,467 and liabilities of $63,531. At March 29, 2026 and December 31, 2025, the remaining amount reflected in assets and liabilities related to the fair value of other non-exchange traded derivative instruments,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608330</wp:posOffset>
            </wp:positionV>
            <wp:extent cx="19685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Statement Impact of Derivative Instruments</w:t>
      </w:r>
    </w:p>
    <w:p>
      <w:pPr>
        <w:spacing w:after="0" w:line="121"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The effect of derivative instruments on the Consolidated Statements of Income for the three months ended March 29, 2026 and March 30, 2025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Non-designated Hedges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480" w:type="dxa"/>
            <w:vAlign w:val="bottom"/>
          </w:tcPr>
          <w:p>
            <w:pPr>
              <w:spacing w:after="0"/>
              <w:rPr>
                <w:sz w:val="13"/>
                <w:szCs w:val="13"/>
                <w:color w:val="auto"/>
              </w:rPr>
            </w:pPr>
          </w:p>
        </w:tc>
        <w:tc>
          <w:tcPr>
            <w:tcW w:w="260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Gains (losses) recognized in income</w:t>
            </w:r>
          </w:p>
        </w:tc>
        <w:tc>
          <w:tcPr>
            <w:tcW w:w="260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Gains (losses) recognized in other</w:t>
            </w:r>
          </w:p>
        </w:tc>
        <w:tc>
          <w:tcPr>
            <w:tcW w:w="100" w:type="dxa"/>
            <w:vAlign w:val="bottom"/>
          </w:tcPr>
          <w:p>
            <w:pPr>
              <w:spacing w:after="0"/>
              <w:rPr>
                <w:sz w:val="13"/>
                <w:szCs w:val="13"/>
                <w:color w:val="auto"/>
              </w:rPr>
            </w:pPr>
          </w:p>
        </w:tc>
        <w:tc>
          <w:tcPr>
            <w:tcW w:w="2400" w:type="dxa"/>
            <w:vAlign w:val="bottom"/>
            <w:gridSpan w:val="4"/>
          </w:tcPr>
          <w:p>
            <w:pPr>
              <w:jc w:val="center"/>
              <w:ind w:right="12"/>
              <w:spacing w:after="0" w:line="158" w:lineRule="exact"/>
              <w:rPr>
                <w:sz w:val="20"/>
                <w:szCs w:val="20"/>
                <w:color w:val="auto"/>
              </w:rPr>
            </w:pPr>
            <w:r>
              <w:rPr>
                <w:rFonts w:ascii="Times New Roman" w:cs="Times New Roman" w:eastAsia="Times New Roman" w:hAnsi="Times New Roman"/>
                <w:sz w:val="16"/>
                <w:szCs w:val="16"/>
                <w:b w:val="1"/>
                <w:bCs w:val="1"/>
                <w:color w:val="auto"/>
              </w:rPr>
              <w:t>Gains (losses) reclassified from</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4"/>
          </w:tcPr>
          <w:p>
            <w:pPr>
              <w:jc w:val="center"/>
              <w:ind w:right="12"/>
              <w:spacing w:after="0" w:line="162" w:lineRule="exact"/>
              <w:rPr>
                <w:sz w:val="20"/>
                <w:szCs w:val="20"/>
                <w:color w:val="auto"/>
              </w:rPr>
            </w:pPr>
            <w:r>
              <w:rPr>
                <w:rFonts w:ascii="Times New Roman" w:cs="Times New Roman" w:eastAsia="Times New Roman" w:hAnsi="Times New Roman"/>
                <w:sz w:val="16"/>
                <w:szCs w:val="16"/>
                <w:b w:val="1"/>
                <w:bCs w:val="1"/>
                <w:color w:val="auto"/>
              </w:rPr>
              <w:t>accumulated OCI (“AOCI”) into</w:t>
            </w:r>
          </w:p>
        </w:tc>
        <w:tc>
          <w:tcPr>
            <w:tcW w:w="0" w:type="dxa"/>
            <w:vAlign w:val="bottom"/>
          </w:tcPr>
          <w:p>
            <w:pPr>
              <w:spacing w:after="0"/>
              <w:rPr>
                <w:sz w:val="1"/>
                <w:szCs w:val="1"/>
                <w:color w:val="auto"/>
              </w:rPr>
            </w:pPr>
          </w:p>
        </w:tc>
      </w:tr>
      <w:tr>
        <w:trPr>
          <w:trHeight w:val="214"/>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(a)</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comprehensive income (“OCI”)</w:t>
            </w:r>
          </w:p>
        </w:tc>
        <w:tc>
          <w:tcPr>
            <w:tcW w:w="100" w:type="dxa"/>
            <w:vAlign w:val="bottom"/>
          </w:tcPr>
          <w:p>
            <w:pPr>
              <w:spacing w:after="0"/>
              <w:rPr>
                <w:sz w:val="18"/>
                <w:szCs w:val="18"/>
                <w:color w:val="auto"/>
              </w:rPr>
            </w:pPr>
          </w:p>
        </w:tc>
        <w:tc>
          <w:tcPr>
            <w:tcW w:w="1580" w:type="dxa"/>
            <w:vAlign w:val="bottom"/>
            <w:gridSpan w:val="3"/>
          </w:tcPr>
          <w:p>
            <w:pPr>
              <w:jc w:val="center"/>
              <w:ind w:left="635"/>
              <w:spacing w:after="0"/>
              <w:rPr>
                <w:sz w:val="20"/>
                <w:szCs w:val="20"/>
                <w:color w:val="auto"/>
              </w:rPr>
            </w:pPr>
            <w:r>
              <w:rPr>
                <w:rFonts w:ascii="Times New Roman" w:cs="Times New Roman" w:eastAsia="Times New Roman" w:hAnsi="Times New Roman"/>
                <w:sz w:val="16"/>
                <w:szCs w:val="16"/>
                <w:b w:val="1"/>
                <w:bCs w:val="1"/>
                <w:color w:val="auto"/>
              </w:rPr>
              <w:t>income (b)</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 futures and options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derivatives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340" w:hanging="332"/>
        <w:spacing w:after="0" w:line="266" w:lineRule="auto"/>
        <w:tabs>
          <w:tab w:leader="none" w:pos="33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13" w:lineRule="exact"/>
        <w:rPr>
          <w:rFonts w:ascii="Times New Roman" w:cs="Times New Roman" w:eastAsia="Times New Roman" w:hAnsi="Times New Roman"/>
          <w:sz w:val="18"/>
          <w:szCs w:val="18"/>
          <w:color w:val="auto"/>
        </w:rPr>
      </w:pPr>
    </w:p>
    <w:p>
      <w:pPr>
        <w:ind w:left="340" w:right="800" w:hanging="332"/>
        <w:spacing w:after="0" w:line="312" w:lineRule="auto"/>
        <w:tabs>
          <w:tab w:leader="none" w:pos="33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Gains (losses) reclassified from AOCI into income for foreign currency forward exchange contracts were included in selling, marketing and administrative expenses. Losses reclassified from AOCI into income for interest rate swap agreements were included in interest expense.</w:t>
      </w:r>
    </w:p>
    <w:p>
      <w:pPr>
        <w:spacing w:after="0" w:line="8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amount of pre-tax net loss on derivative instruments, including interest rate swap agreements and foreign currency forward exchange contracts expected to be reclassified into earnings in the next 12 months was approximately $2,686 as of March 29, 2026. This amount is primarily associated with interest rate swap agreements.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08"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8"/>
          <w:szCs w:val="18"/>
          <w:color w:val="auto"/>
        </w:rPr>
        <w:t>Accounting guidance on fair value measurements requires that financial assets and liabilities be classified and disclosed in one of the following categories of the fair value hierarchy:</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Based on unadjusted quoted prices for identical assets or liabilities in an active market.</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Based on observable market-based inputs or unobservable inputs that are corroborated by market data.</w:t>
      </w:r>
    </w:p>
    <w:p>
      <w:pPr>
        <w:spacing w:after="0" w:line="23" w:lineRule="exact"/>
        <w:rPr>
          <w:sz w:val="20"/>
          <w:szCs w:val="20"/>
          <w:color w:val="auto"/>
        </w:rPr>
      </w:pPr>
    </w:p>
    <w:p>
      <w:pPr>
        <w:ind w:left="20" w:right="140"/>
        <w:spacing w:after="0" w:line="23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Based on unobservable inputs that reflect the entity’s own assumptions about the assumptions that a market participant would use in pricing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or liability.</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any Level 3 financial assets or liabilities, nor were there any transfers between levels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291465</wp:posOffset>
            </wp:positionV>
            <wp:extent cx="19685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Consolidated Balance Sheets on a recurring basis as of March 29, 2026 and December 31,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Assets / Liabilities</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1"/>
        </w:trPr>
        <w:tc>
          <w:tcPr>
            <w:tcW w:w="4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87"/>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29, 2026:</w:t>
            </w: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0"/>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Pr>
          <w:p>
            <w:pPr>
              <w:spacing w:after="0"/>
              <w:rPr>
                <w:sz w:val="19"/>
                <w:szCs w:val="19"/>
                <w:color w:val="auto"/>
              </w:rPr>
            </w:pPr>
          </w:p>
        </w:tc>
        <w:tc>
          <w:tcPr>
            <w:tcW w:w="1160" w:type="dxa"/>
            <w:vAlign w:val="bottom"/>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30"/>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9,176</w:t>
            </w:r>
          </w:p>
        </w:tc>
      </w:tr>
      <w:tr>
        <w:trPr>
          <w:trHeight w:val="229"/>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r>
      <w:tr>
        <w:trPr>
          <w:trHeight w:val="229"/>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compensation derivatives (2)</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w:t>
            </w:r>
          </w:p>
        </w:tc>
      </w:tr>
      <w:tr>
        <w:trPr>
          <w:trHeight w:val="229"/>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122,402</w:t>
            </w:r>
          </w:p>
        </w:tc>
      </w:tr>
      <w:tr>
        <w:trPr>
          <w:trHeight w:val="47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6"/>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tcPr>
          <w:p>
            <w:pPr>
              <w:spacing w:after="0"/>
              <w:rPr>
                <w:sz w:val="19"/>
                <w:szCs w:val="19"/>
                <w:color w:val="auto"/>
              </w:rPr>
            </w:pPr>
          </w:p>
        </w:tc>
        <w:tc>
          <w:tcPr>
            <w:tcW w:w="1160" w:type="dxa"/>
            <w:vAlign w:val="bottom"/>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r>
      <w:tr>
        <w:trPr>
          <w:trHeight w:val="230"/>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 derivatives (2)</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29"/>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exchange contracts (1)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tcPr>
          <w:p>
            <w:pPr>
              <w:spacing w:after="0"/>
              <w:rPr>
                <w:sz w:val="19"/>
                <w:szCs w:val="19"/>
                <w:color w:val="auto"/>
              </w:rPr>
            </w:pPr>
          </w:p>
        </w:tc>
        <w:tc>
          <w:tcPr>
            <w:tcW w:w="1160" w:type="dxa"/>
            <w:vAlign w:val="bottom"/>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r>
      <w:tr>
        <w:trPr>
          <w:trHeight w:val="229"/>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 derivatives (3)</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34"/>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Commodities futures and options (3)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20,829</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20,829</w:t>
            </w:r>
          </w:p>
        </w:tc>
      </w:tr>
    </w:tbl>
    <w:p>
      <w:pPr>
        <w:spacing w:after="0" w:line="152" w:lineRule="exact"/>
        <w:rPr>
          <w:sz w:val="20"/>
          <w:szCs w:val="20"/>
          <w:color w:val="auto"/>
        </w:rPr>
      </w:pPr>
    </w:p>
    <w:p>
      <w:pPr>
        <w:ind w:left="660" w:right="20" w:hanging="328"/>
        <w:spacing w:after="0" w:line="266"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12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deferred compensation derivatives is based on quoted prices for market interest rates and a broad market equity index.</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commodities futures and options contracts is based on quoted market prices.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Instruments</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short-term debt approximated fair values as of March 29, 2026 and December 31, 2025 because of the relatively short maturity of these instruments.</w:t>
      </w:r>
    </w:p>
    <w:p>
      <w:pPr>
        <w:spacing w:after="0" w:line="108"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20" w:type="dxa"/>
            <w:vAlign w:val="bottom"/>
            <w:gridSpan w:val="5"/>
          </w:tcPr>
          <w:p>
            <w:pPr>
              <w:ind w:left="13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60" w:type="dxa"/>
            <w:vAlign w:val="bottom"/>
          </w:tcPr>
          <w:p>
            <w:pPr>
              <w:spacing w:after="0"/>
              <w:rPr>
                <w:sz w:val="18"/>
                <w:szCs w:val="18"/>
                <w:color w:val="auto"/>
              </w:rPr>
            </w:pPr>
          </w:p>
        </w:tc>
        <w:tc>
          <w:tcPr>
            <w:tcW w:w="3620" w:type="dxa"/>
            <w:vAlign w:val="bottom"/>
            <w:gridSpan w:val="4"/>
          </w:tcPr>
          <w:p>
            <w:pPr>
              <w:jc w:val="right"/>
              <w:ind w:right="1312"/>
              <w:spacing w:after="0"/>
              <w:rPr>
                <w:sz w:val="20"/>
                <w:szCs w:val="20"/>
                <w:color w:val="auto"/>
              </w:rPr>
            </w:pPr>
            <w:r>
              <w:rPr>
                <w:rFonts w:ascii="Times New Roman" w:cs="Times New Roman" w:eastAsia="Times New Roman" w:hAnsi="Times New Roman"/>
                <w:sz w:val="16"/>
                <w:szCs w:val="16"/>
                <w:b w:val="1"/>
                <w:bCs w:val="1"/>
                <w:color w:val="auto"/>
              </w:rPr>
              <w:t>Carrying Value</w:t>
            </w:r>
          </w:p>
        </w:tc>
      </w:tr>
      <w:tr>
        <w:trPr>
          <w:trHeight w:val="211"/>
        </w:trPr>
        <w:tc>
          <w:tcPr>
            <w:tcW w:w="33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5"/>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500,727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498,788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504,081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503,327</w:t>
            </w:r>
          </w:p>
        </w:tc>
      </w:tr>
      <w:tr>
        <w:trPr>
          <w:trHeight w:val="229"/>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4,295,344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4,373,815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4,684,363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4,681,194</w:t>
            </w:r>
          </w:p>
        </w:tc>
      </w:tr>
      <w:tr>
        <w:trPr>
          <w:trHeight w:val="248"/>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4,796,071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4,872,603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5,188,444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5,184,521</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737235</wp:posOffset>
            </wp:positionV>
            <wp:extent cx="19685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Measurements</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addition to assets and liabilities that are recorded at fair value on a recurring basis, GAAP requires that, under certain circumstances, we also record assets and liabilities at fair value on a nonrecurring basis.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2025 Activity</w:t>
      </w:r>
    </w:p>
    <w:p>
      <w:pPr>
        <w:spacing w:after="0" w:line="90"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acquisition of LesserEvil in 2025, as discussed in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we used various valuation techniques to determine fair value, with the primary techniques being discounted cash flow analysis and the relief-from-royalty, a form of the multi-period excess earnings, which use significant unobservable inputs, or Level 3 inputs, as defined by the fair value hierarchy. Additionally, we estimated the fair value of the contingent consideration using a Monte Carlo simulation model.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lease office and retail space, warehouse and distribution facilities, land, vehicles, and equipment. We determine if an agreement is or contains a lease at inception. Leases with an initial term of 12 months or less are not recorded on the consolidated balance sheet.</w:t>
      </w:r>
    </w:p>
    <w:p>
      <w:pPr>
        <w:spacing w:after="0" w:line="10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Right-of-use (“ROU”) assets represent our right to use an underlying asset for the lease term and lease liabilities represent our obligation to make lease payments arising from the lease. ROU assets and liabilities are based on the estimated present value of lease payments over the lease term and are recognized at the lease commencement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most of our leases do not provide an implicit rate, we use our estimated incremental borrowing rate in determining the present value of lease payments.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incremental borrowing rate is derived from information available at the lease commencement date.</w:t>
      </w:r>
    </w:p>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lease terms may include options to extend or terminate the lease when it is reasonably certain that we will exercise that option. A limited number of our lease agreements include rental payments adjusted periodically for inflation. Our lease agreements generally do not contain residual value guarantees or material restrictive covenants.</w:t>
      </w:r>
    </w:p>
    <w:p>
      <w:pPr>
        <w:spacing w:after="0" w:line="12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For real estate, equipment and vehicles that support selling, marketing and general administrative activities, the Company accounts for the lease and non-lease components as a single lease component. These asset categories comprise the majority of our leases. The lease and non-lease components of real estate and equipment leases supporting production activities are not accounted for as a single lease component. Consideration for such contracts are allocated to the lease and non-lease components based upon relative standalone prices either observable or estimated if observable prices are not readily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1542415</wp:posOffset>
            </wp:positionV>
            <wp:extent cx="19685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three months ended March 29, 2026 and March 30, 2025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4"/>
          </w:tcPr>
          <w:p>
            <w:pPr>
              <w:jc w:val="right"/>
              <w:ind w:right="115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Lease expense</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26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80" w:type="dxa"/>
            <w:vAlign w:val="bottom"/>
          </w:tcPr>
          <w:p>
            <w:pPr>
              <w:spacing w:after="0"/>
              <w:rPr>
                <w:sz w:val="18"/>
                <w:szCs w:val="18"/>
                <w:color w:val="auto"/>
              </w:rPr>
            </w:pPr>
          </w:p>
        </w:tc>
        <w:tc>
          <w:tcPr>
            <w:tcW w:w="166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225"/>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or SM&amp;A (1)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14,211</w:t>
            </w:r>
          </w:p>
        </w:tc>
      </w:tr>
      <w:tr>
        <w:trPr>
          <w:trHeight w:val="23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3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(1)</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29"/>
        </w:trPr>
        <w:tc>
          <w:tcPr>
            <w:tcW w:w="3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r>
      <w:tr>
        <w:trPr>
          <w:trHeight w:val="248"/>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cost (2)</w:t>
            </w:r>
          </w:p>
        </w:tc>
        <w:tc>
          <w:tcPr>
            <w:tcW w:w="3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17,595</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80" w:hanging="310"/>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chain-related amounts were included in cost of sales.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lease cost does not include short-term leases, variable lease costs or sublease income, all of which are immaterial.</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our lease terms and discount rates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w w:val="99"/>
              </w:rPr>
              <w:t>March 29, 2026</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70"/>
        </w:trPr>
        <w:tc>
          <w:tcPr>
            <w:tcW w:w="70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29"/>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were as follows:</w:t>
      </w:r>
    </w:p>
    <w:p>
      <w:pPr>
        <w:sectPr>
          <w:pgSz w:w="11900" w:h="16838" w:orient="portrait"/>
          <w:cols w:equalWidth="0" w:num="1">
            <w:col w:w="11240"/>
          </w:cols>
          <w:pgMar w:left="320" w:top="117" w:right="339" w:bottom="1440" w:gutter="0" w:footer="0" w:header="0"/>
        </w:sectPr>
      </w:pP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Operating lease ROU assets</w:t>
      </w:r>
    </w:p>
    <w:p>
      <w:pPr>
        <w:spacing w:after="0" w:line="28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Finance lease ROU assets, at cost</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Accumulated amortization</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Finance lease ROU assets, net</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leased assets</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Finance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Non-current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Finance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45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312,599</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325,345</w:t>
            </w:r>
          </w:p>
        </w:tc>
      </w:tr>
      <w:tr>
        <w:trPr>
          <w:trHeight w:val="495"/>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2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85,056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83,714</w:t>
            </w:r>
          </w:p>
        </w:tc>
      </w:tr>
      <w:tr>
        <w:trPr>
          <w:trHeight w:val="234"/>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(25,987)</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(26,073)</w:t>
            </w:r>
          </w:p>
        </w:tc>
      </w:tr>
      <w:tr>
        <w:trPr>
          <w:trHeight w:val="228"/>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57,641</w:t>
            </w:r>
          </w:p>
        </w:tc>
      </w:tr>
      <w:tr>
        <w:trPr>
          <w:trHeight w:val="265"/>
        </w:trPr>
        <w:tc>
          <w:tcPr>
            <w:tcW w:w="3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r>
      <w:tr>
        <w:trPr>
          <w:trHeight w:val="223"/>
        </w:trPr>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371,668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382,986</w:t>
            </w:r>
          </w:p>
        </w:tc>
      </w:tr>
      <w:tr>
        <w:trPr>
          <w:trHeight w:val="20"/>
        </w:trPr>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-976630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-659130</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-359410</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-16510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300355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-1276350</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49,676</w:t>
            </w:r>
          </w:p>
        </w:tc>
        <w:tc>
          <w:tcPr>
            <w:tcW w:w="10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49,583</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6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w:t>
            </w:r>
          </w:p>
        </w:tc>
      </w:tr>
      <w:tr>
        <w:trPr>
          <w:trHeight w:val="45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273,573</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285,925</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70,928</w:t>
            </w: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69,011</w:t>
            </w:r>
          </w:p>
        </w:tc>
      </w:tr>
      <w:tr>
        <w:trPr>
          <w:trHeight w:val="223"/>
        </w:trPr>
        <w:tc>
          <w:tcPr>
            <w:tcW w:w="372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399,390</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409,018</w:t>
            </w:r>
          </w:p>
        </w:tc>
      </w:tr>
      <w:tr>
        <w:trPr>
          <w:trHeight w:val="20"/>
        </w:trPr>
        <w:tc>
          <w:tcPr>
            <w:tcW w:w="3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-770890</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-479425</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-187960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4683760</wp:posOffset>
            </wp:positionH>
            <wp:positionV relativeFrom="paragraph">
              <wp:posOffset>488950</wp:posOffset>
            </wp:positionV>
            <wp:extent cx="19685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720"/>
            <w:col w:w="770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maturities of our lease liabilities as of March 29, 2026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tcPr>
          <w:p>
            <w:pPr>
              <w:jc w:val="right"/>
              <w:ind w:right="9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(rest of year)</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47,528</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54,996</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61,276</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69,716</w:t>
            </w: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49,870</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38,739</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43,249</w:t>
            </w: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36,345</w:t>
            </w:r>
          </w:p>
        </w:tc>
      </w:tr>
      <w:tr>
        <w:trPr>
          <w:trHeight w:val="230"/>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190,434</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129,333</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319,767</w:t>
            </w:r>
          </w:p>
        </w:tc>
      </w:tr>
      <w:tr>
        <w:trPr>
          <w:trHeight w:val="223"/>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412,667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161,276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573,943</w:t>
            </w:r>
          </w:p>
        </w:tc>
      </w:tr>
      <w:tr>
        <w:trPr>
          <w:trHeight w:val="230"/>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89,418</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85,135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174,553</w:t>
            </w:r>
          </w:p>
        </w:tc>
      </w:tr>
      <w:tr>
        <w:trPr>
          <w:trHeight w:val="248"/>
        </w:trPr>
        <w:tc>
          <w:tcPr>
            <w:tcW w:w="3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323,249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399,390</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and other information related to leases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4"/>
          </w:tcPr>
          <w:p>
            <w:pPr>
              <w:jc w:val="right"/>
              <w:ind w:right="119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80" w:type="dxa"/>
            <w:vAlign w:val="bottom"/>
          </w:tcPr>
          <w:p>
            <w:pPr>
              <w:spacing w:after="0"/>
              <w:rPr>
                <w:sz w:val="18"/>
                <w:szCs w:val="18"/>
                <w:color w:val="auto"/>
              </w:rPr>
            </w:pPr>
          </w:p>
        </w:tc>
        <w:tc>
          <w:tcPr>
            <w:tcW w:w="170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211"/>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13,538</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r>
      <w:tr>
        <w:trPr>
          <w:trHeight w:val="270"/>
        </w:trPr>
        <w:tc>
          <w:tcPr>
            <w:tcW w:w="7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29,501</w:t>
            </w:r>
          </w:p>
        </w:tc>
      </w:tr>
      <w:tr>
        <w:trPr>
          <w:trHeight w:val="234"/>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 IN UNCONSOLIDATED AFFILIATES</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We invest in partnerships that make equity investments in projects eligible to receive federal historic and renewable energy tax credits. The tax credits, when realized, are recognized as a reduction of tax expense under the flow-through method, at which time the corresponding equity investment is written-down to reflect the remaining value of the future benefits to be realized. The equity investment write-down is reflected within other (income) expense, net in the Consolidated Statements of Income (see </w:t>
      </w:r>
      <w:r>
        <w:rPr>
          <w:rFonts w:ascii="Times New Roman" w:cs="Times New Roman" w:eastAsia="Times New Roman" w:hAnsi="Times New Roman"/>
          <w:sz w:val="18"/>
          <w:szCs w:val="18"/>
          <w:u w:val="single" w:color="auto"/>
          <w:color w:val="0000FF"/>
        </w:rPr>
        <w:t>Note 17</w:t>
      </w:r>
      <w:r>
        <w:rPr>
          <w:rFonts w:ascii="Times New Roman" w:cs="Times New Roman" w:eastAsia="Times New Roman" w:hAnsi="Times New Roman"/>
          <w:sz w:val="18"/>
          <w:szCs w:val="18"/>
          <w:color w:val="auto"/>
        </w:rPr>
        <w:t>).</w:t>
      </w:r>
    </w:p>
    <w:p>
      <w:pPr>
        <w:spacing w:after="0" w:line="4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we acquire ownership interests in emerging snacking businesses and startup companies, which vary in method of accounting based on our percentage of ownership and ability to exercise significant influence over decisions relating to operating and financial affairs. These investments afford the Company the rights to distribute brands that the Company does not own to third-party customers primarily in North America. Net sales and expenses of our equity method investees are not consolidated into our financial statements; rather, our proportionate share of earnings or losses are recorded on a net basis within other (income) expense, net in the Consolidated Statements of Income.</w:t>
      </w:r>
    </w:p>
    <w:p>
      <w:pPr>
        <w:spacing w:after="0" w:line="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Both equity method investments and cost, less impairment, investments are reported within other non-current assets in our Consolidated Balance Sheets. We regularly review our investments and adjust accordingly for capital contributions, dividends received and other-than-temporary impairments. Total investments in unconsolidated affiliates were $179,399 and $176,567 as of March 29, 2026 and December 31, 2025,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BUSINESS REALIGNMENT ACTIVITIES</w:t>
      </w:r>
    </w:p>
    <w:p>
      <w:pPr>
        <w:spacing w:after="0" w:line="17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We periodically undertake business realignment activities designed to increase our efficiency and focus our business in support of our key growth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251460</wp:posOffset>
            </wp:positionV>
            <wp:extent cx="19685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Advancing Agility &amp; Automation Initiative</w:t>
      </w:r>
    </w:p>
    <w:p>
      <w:pPr>
        <w:spacing w:after="0" w:line="17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February 2, 2024, the Board of Directors of the Company approved a multi-year productivity initiative (“Advancing Agility &amp; Automation Initiative” or "AAA Initiative") to improve supply chain and manufacturing-related spend, optimize selling, general and administrative expenses, leverage new technology and business models to further simplify and automate processes, and generate long-term savings.</w:t>
      </w:r>
    </w:p>
    <w:p>
      <w:pPr>
        <w:spacing w:after="0" w:line="122"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18"/>
          <w:szCs w:val="18"/>
          <w:color w:val="auto"/>
        </w:rPr>
        <w:t>The Company estimates that the AAA Initiative will result in total pre-tax costs of $200,000 to $250,000 from inception through 2026. This estimate primarily includes program office execution and third-party costs supporting the design and implementation of the new organizational structure of $100,000 to $120,000, as well as implementation and technology capability costs of $55,000 to $70,000. Additionally, we expect to incur employee severance and related separation benefits of $45,000 to $60,000 as we facilitate workforce reductions and reallocate resources to further drive the Company’s strategic priorities. The cash portion of the total cost is estimated to be $175,000 to $225,000. At the conclusion of the program in 2026, ongoing annual savings are expected to be approximately $400,000.</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Since inception through March 29, 2026, we recognized total costs associated with the AAA Initiative of $190,295. These charges predominantly included employee severance and related separation benefits related to workforce reductions and third-party costs supporting the design and implementation of the new organizational structure, as well as technology capability costs. The costs and related benefits of the AAA Initiative predominantly relates to the North America Confectionery segment and Corporate. However, segment operating results do not include these business realignment expenses because we evaluate segment performance excluding such costs.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associated with business realignment activities are classified in our Consolidated Statements of Income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4"/>
          </w:tcPr>
          <w:p>
            <w:pPr>
              <w:jc w:val="right"/>
              <w:ind w:right="123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80" w:type="dxa"/>
            <w:vAlign w:val="bottom"/>
          </w:tcPr>
          <w:p>
            <w:pPr>
              <w:spacing w:after="0"/>
              <w:rPr>
                <w:sz w:val="18"/>
                <w:szCs w:val="18"/>
                <w:color w:val="auto"/>
              </w:rPr>
            </w:pP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23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marketing and administrative expense</w:t>
            </w:r>
          </w:p>
        </w:tc>
        <w:tc>
          <w:tcPr>
            <w:tcW w:w="2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Business realignment costs</w:t>
            </w: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16,374</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associated with business realignment activities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25,854</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recorded by program during the three months ended March 29, 2026 and March 30, 2025 related to these activities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4"/>
          </w:tcPr>
          <w:p>
            <w:pPr>
              <w:jc w:val="right"/>
              <w:ind w:right="123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80" w:type="dxa"/>
            <w:vAlign w:val="bottom"/>
          </w:tcPr>
          <w:p>
            <w:pPr>
              <w:spacing w:after="0"/>
              <w:rPr>
                <w:sz w:val="18"/>
                <w:szCs w:val="18"/>
                <w:color w:val="auto"/>
              </w:rPr>
            </w:pP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211"/>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Advancing Agility &amp; Automation Initiative:</w:t>
            </w:r>
          </w:p>
        </w:tc>
        <w:tc>
          <w:tcPr>
            <w:tcW w:w="2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29"/>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Severance and employee benefit costs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16,374</w:t>
            </w:r>
          </w:p>
        </w:tc>
      </w:tr>
      <w:tr>
        <w:trPr>
          <w:trHeight w:val="230"/>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program costs</w:t>
            </w: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w:t>
            </w: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25,854</w:t>
            </w:r>
          </w:p>
        </w:tc>
      </w:tr>
      <w:tr>
        <w:trPr>
          <w:trHeight w:val="20"/>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liability activity for costs qualifying as exit and disposal costs for the three months ended March 29, 2026:</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Liability balance at December 31, 2025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 business realignment charges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payments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Liability balance at March 29, 2026 (1)</w:t>
      </w:r>
    </w:p>
    <w:p>
      <w:pPr>
        <w:spacing w:after="0" w:line="185" w:lineRule="exact"/>
        <w:rPr>
          <w:sz w:val="20"/>
          <w:szCs w:val="20"/>
          <w:color w:val="auto"/>
        </w:rPr>
      </w:pPr>
    </w:p>
    <w:p>
      <w:pPr>
        <w:ind w:left="480" w:hanging="310"/>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balances reflected above are reported within accrued liabilities and other long-term liabilities.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reflected in the liability roll-forward represent employee-related charges.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w:t>
            </w:r>
          </w:p>
        </w:tc>
      </w:tr>
      <w:tr>
        <w:trPr>
          <w:trHeight w:val="230"/>
        </w:trPr>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w:t>
            </w:r>
          </w:p>
        </w:tc>
      </w:tr>
      <w:tr>
        <w:trPr>
          <w:trHeight w:val="234"/>
        </w:trPr>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w:t>
            </w:r>
          </w:p>
        </w:tc>
      </w:tr>
      <w:tr>
        <w:trPr>
          <w:trHeight w:val="223"/>
        </w:trPr>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12,694</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1216660</wp:posOffset>
            </wp:positionH>
            <wp:positionV relativeFrom="paragraph">
              <wp:posOffset>676910</wp:posOffset>
            </wp:positionV>
            <wp:extent cx="19685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807" w:lineRule="exact"/>
        <w:rPr>
          <w:sz w:val="20"/>
          <w:szCs w:val="20"/>
          <w:color w:val="auto"/>
        </w:rPr>
      </w:pPr>
    </w:p>
    <w:p>
      <w:pPr>
        <w:sectPr>
          <w:pgSz w:w="11900" w:h="16838" w:orient="portrait"/>
          <w:cols w:equalWidth="0" w:num="2">
            <w:col w:w="8280" w:space="720"/>
            <w:col w:w="2240"/>
          </w:cols>
          <w:pgMar w:left="320" w:top="117" w:right="339" w:bottom="1440" w:gutter="0" w:footer="0" w:header="0"/>
          <w:type w:val="continuous"/>
        </w:sectPr>
      </w:pPr>
    </w:p>
    <w:p>
      <w:pPr>
        <w:spacing w:after="0" w:line="32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majority of our taxable income is generated in the United States and taxed at the United States statutory rate of 21%. The effective tax rates for the three months ended March 29, 2026 and March 30, 2025 were 26.6% and 30.7%, respectively. Relative to the statutory rate, the 2026 effective tax rate was primarily impacted by foreign rate differential and state taxes.</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file tax returns in the United States, including various state and local returns, and in other foreign jurisdictions. We are routinely audited by taxing authorities in our filing jurisdictions, and a number of these disputes are currently underway, including multi-year controversies at various stages of review, negotiation and litigation in Mexico, Canada, and the United States. The outcome of tax audits cannot be predicted with certainty, including the timing of resolution or potential settlements. If any issues addressed in our tax audits are resolved in a manner not consistent with management’s expectations, we could be required to adjust our provision for income taxes in the period such resolution occurs. Based on our current assessments, we believe adequate provision has been made for all income tax uncertainties.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One Big Beautiful Bill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4, 2025, the One Big Beautiful Bill Act (“OBBBA”) was signed into law. The OBBBA introduces changes to United States tax policy, trade regulations, and federal spending priorities. Key provisions include the extension and modification of tax provisions from the 2017 Tax Cuts and Jobs Act, modification of certain energy-related tax credits and incentives, and timing of deductions related to certain domestic expenses. The OBBBA did not have a material impact on the Company’s consolidated financial statements for the three months ended March 29, 2026.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Organization for Economic Cooperation Development</w:t>
      </w:r>
    </w:p>
    <w:p>
      <w:pPr>
        <w:spacing w:after="0" w:line="17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(“OECD”) introduced Global Anti-Base Erosion and Profit Shifting Pillar Two regulations which aim to ensure that multi-national entities that exceed the threshold revenue levels are subject to a minimum effective tax rate of 15% in jurisdictions where they operate. The Company is subject to OECD Pillar Two regulations, in certain jurisdictions which have enacted legislation, which may result in additional tax liabilities in jurisdictions where the effective tax rate falls below the 15% threshold. The Company has evaluated and will continue to monitor the impact of these new rules, including the OECD’s “Side by Side” administrative guidance released in January 2026, but does not anticipate that they will have a material impact on the Company’s effective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430530</wp:posOffset>
            </wp:positionV>
            <wp:extent cx="19685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5780" w:firstLine="8"/>
        <w:spacing w:after="0" w:line="440" w:lineRule="auto"/>
        <w:tabs>
          <w:tab w:leader="none" w:pos="2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OTHER POST-RETIREMENT BENEFIT PLANS Net Periodic Benefit Cost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for the three months ended March 29, 2026 and March 30, 2025 were as follows:</w:t>
      </w:r>
    </w:p>
    <w:p>
      <w:pPr>
        <w:spacing w:after="0" w:line="52" w:lineRule="exact"/>
        <w:rPr>
          <w:sz w:val="20"/>
          <w:szCs w:val="20"/>
          <w:color w:val="auto"/>
        </w:rPr>
      </w:pPr>
    </w:p>
    <w:p>
      <w:pPr>
        <w:jc w:val="right"/>
        <w:ind w:right="108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Pension Benefits</w:t>
      </w:r>
      <w:r>
        <w:rPr>
          <w:sz w:val="20"/>
          <w:szCs w:val="20"/>
          <w:color w:val="auto"/>
        </w:rPr>
        <w:tab/>
      </w:r>
      <w:r>
        <w:rPr>
          <w:rFonts w:ascii="Times New Roman" w:cs="Times New Roman" w:eastAsia="Times New Roman" w:hAnsi="Times New Roman"/>
          <w:sz w:val="16"/>
          <w:szCs w:val="16"/>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21590</wp:posOffset>
            </wp:positionV>
            <wp:extent cx="40976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46"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21590</wp:posOffset>
            </wp:positionV>
            <wp:extent cx="20142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26" w:lineRule="exact"/>
        <w:rPr>
          <w:sz w:val="20"/>
          <w:szCs w:val="20"/>
          <w:color w:val="auto"/>
        </w:rPr>
      </w:pPr>
    </w:p>
    <w:p>
      <w:pPr>
        <w:ind w:left="5020"/>
        <w:spacing w:after="0"/>
        <w:tabs>
          <w:tab w:leader="none" w:pos="6640" w:val="left"/>
        </w:tabs>
        <w:rPr>
          <w:sz w:val="20"/>
          <w:szCs w:val="20"/>
          <w:color w:val="auto"/>
        </w:rPr>
      </w:pPr>
      <w:r>
        <w:rPr>
          <w:rFonts w:ascii="Times New Roman" w:cs="Times New Roman" w:eastAsia="Times New Roman" w:hAnsi="Times New Roman"/>
          <w:sz w:val="16"/>
          <w:szCs w:val="16"/>
          <w:b w:val="1"/>
          <w:bCs w:val="1"/>
          <w:color w:val="auto"/>
        </w:rPr>
        <w:t>March 29, 2026</w:t>
      </w:r>
      <w:r>
        <w:rPr>
          <w:sz w:val="20"/>
          <w:szCs w:val="20"/>
          <w:color w:val="auto"/>
        </w:rPr>
        <w:tab/>
      </w:r>
      <w:r>
        <w:rPr>
          <w:rFonts w:ascii="Times New Roman" w:cs="Times New Roman" w:eastAsia="Times New Roman" w:hAnsi="Times New Roman"/>
          <w:sz w:val="15"/>
          <w:szCs w:val="15"/>
          <w:b w:val="1"/>
          <w:bCs w:val="1"/>
          <w:color w:val="auto"/>
        </w:rPr>
        <w:t>March 30, 2025</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21590</wp:posOffset>
            </wp:positionV>
            <wp:extent cx="20148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14855" cy="8890"/>
                    </a:xfrm>
                    <a:prstGeom prst="rect">
                      <a:avLst/>
                    </a:prstGeom>
                    <a:noFill/>
                  </pic:spPr>
                </pic:pic>
              </a:graphicData>
            </a:graphic>
          </wp:anchor>
        </w:drawing>
      </w:r>
    </w:p>
    <w:p>
      <w:pPr>
        <w:spacing w:after="0" w:line="26"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6"/>
          <w:szCs w:val="16"/>
          <w:b w:val="1"/>
          <w:bCs w:val="1"/>
          <w:color w:val="auto"/>
        </w:rPr>
        <w:t>March 29, 2026</w:t>
      </w:r>
      <w:r>
        <w:rPr>
          <w:sz w:val="20"/>
          <w:szCs w:val="20"/>
          <w:color w:val="auto"/>
        </w:rPr>
        <w:tab/>
      </w:r>
      <w:r>
        <w:rPr>
          <w:rFonts w:ascii="Times New Roman" w:cs="Times New Roman" w:eastAsia="Times New Roman" w:hAnsi="Times New Roman"/>
          <w:sz w:val="15"/>
          <w:szCs w:val="15"/>
          <w:b w:val="1"/>
          <w:bCs w:val="1"/>
          <w:color w:val="auto"/>
        </w:rPr>
        <w:t>March 30, 2025</w:t>
      </w:r>
    </w:p>
    <w:p>
      <w:pPr>
        <w:spacing w:after="0" w:line="28" w:lineRule="exact"/>
        <w:rPr>
          <w:sz w:val="20"/>
          <w:szCs w:val="20"/>
          <w:color w:val="auto"/>
        </w:rPr>
      </w:pPr>
    </w:p>
    <w:p>
      <w:pPr>
        <w:sectPr>
          <w:pgSz w:w="11900" w:h="16838" w:orient="portrait"/>
          <w:cols w:equalWidth="0" w:num="2">
            <w:col w:w="7720" w:space="580"/>
            <w:col w:w="294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periodic benefit cost</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r>
      <w:tr>
        <w:trPr>
          <w:trHeight w:val="20"/>
        </w:trPr>
        <w:tc>
          <w:tcPr>
            <w:tcW w:w="4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made contributions of $465 and $2,872 to our pension plans and other benefits plans, respectively, during the first quarter of 2026. In the first quarter of 2025, we made contributions of $689 and $2,437 to our pension plans and other benefit plans, respectively. The contributions in 2026 and 2025 also included benefit payments from our non-qualified pension plans and post-retirement benefit plans.</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The non-service cost components of net periodic benefit cost relating to pension and other post-retirement benefit plans are reflected within other (income) expense, net in the Consolidated Statements of Income (see </w:t>
      </w:r>
      <w:r>
        <w:rPr>
          <w:rFonts w:ascii="Times New Roman" w:cs="Times New Roman" w:eastAsia="Times New Roman" w:hAnsi="Times New Roman"/>
          <w:sz w:val="18"/>
          <w:szCs w:val="18"/>
          <w:u w:val="single" w:color="auto"/>
          <w:color w:val="0000FF"/>
        </w:rPr>
        <w:t>Note 17</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 COMPENSATION PLANS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Share-based grants for compensation and incentive purposes are made pursuant to the Equity and Incentive Compensation Plan (“EICP”). The EICP provides for grants of one or more of the following stock-based compensation awards to employees, non-employee directors and certain service providers upon whom the successful conduct of our business is dependent:</w:t>
      </w:r>
    </w:p>
    <w:p>
      <w:pPr>
        <w:spacing w:after="0" w:line="12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options (“stock options”);</w:t>
      </w:r>
    </w:p>
    <w:p>
      <w:pPr>
        <w:spacing w:after="0" w:line="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Performance stock units (“PSUs”) and performance stock;</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Stock appreciation rights;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Restricted stock units (“RSUs”) and restricted stock; and</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Other stock-based awards.</w:t>
      </w:r>
    </w:p>
    <w:p>
      <w:pPr>
        <w:spacing w:after="0" w:line="14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EICP also provides for the deferral of stock-based compensation awards by participants if approved by the Compensation and Human Capital Committee of our Board and if in accordance with an applicable deferred compensation plan of the Company. Currently, the Compensation and Human Capital Committee has authorized the deferral of PSU and RSU awards by certain eligible employees under the Company’s Deferred Compensation Plan. Our Board has authorized our non-employee directors to defer any portion of their cash retainer, committee chair fees and RSUs awarded that they elect to convert into deferred stock units under our Directors’ Compensation Plan.</w:t>
      </w:r>
    </w:p>
    <w:p>
      <w:pPr>
        <w:spacing w:after="0" w:line="12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At the time stock options are exercised or PSUs and RSUs become payable, Common Stock is issued from our accumulated treasury shares. Dividend equivalents are credited on RSUs on the same date and at the same rate as dividends paid on our Common Stock. Dividend equivalents are charged to retained earnings and included in accrued liabilities until paid.</w:t>
      </w:r>
    </w:p>
    <w:p>
      <w:pPr>
        <w:spacing w:after="0" w:line="12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Awards to employees eligible for retirement prior to the award becoming fully vested are amortized to expense over the period through the date that the employee first becomes eligible to retire and is no longer required to provide service to earn the award. In addition, historical data is used to estimate forfeiture rates and record share-based compensation expense only for those awards that are expected to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260350</wp:posOffset>
            </wp:positionV>
            <wp:extent cx="19685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For the periods presented, compensation expense for all types of stock-based compensation programs and the related income tax benefit recognized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4"/>
          </w:tcPr>
          <w:p>
            <w:pPr>
              <w:jc w:val="right"/>
              <w:ind w:right="123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80" w:type="dxa"/>
            <w:vAlign w:val="bottom"/>
          </w:tcPr>
          <w:p>
            <w:pPr>
              <w:spacing w:after="0"/>
              <w:rPr>
                <w:sz w:val="18"/>
                <w:szCs w:val="18"/>
                <w:color w:val="auto"/>
              </w:rPr>
            </w:pPr>
          </w:p>
        </w:tc>
        <w:tc>
          <w:tcPr>
            <w:tcW w:w="172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225"/>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compensation expense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13,559</w:t>
            </w:r>
          </w:p>
        </w:tc>
      </w:t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income tax benefit</w:t>
            </w: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r>
    </w:tbl>
    <w:p>
      <w:pPr>
        <w:spacing w:after="0" w:line="23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Compensation expenses for stock compensation plans are primarily included in SM&amp;A expense. As of March 29, 2026, total stock-based compensation expense related to non-vested awards not yet recognized was $132,516 and the weighted-average period over which this amount is expected to be recognized was approximately 2.0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exercise price of each stock option awarded under the EICP equals the closing price of our Common Stock on the New York Stock Exchange on the date of grant. Each stock option has a maximum term of 10 years. Grants of stock options provide for pro-rated vesting, typically over a four-year period. Expense for stock options is based on grant date fair value and recognized on a straight-line method over the vesting period, net of estimated forfeitures.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relating to grants of stock options for the period ended March 29, 2026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7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6"/>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70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Exercise Price (per</w:t>
            </w: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40" w:type="dxa"/>
            <w:vAlign w:val="bottom"/>
            <w:tcBorders>
              <w:bottom w:val="single" w:sz="8" w:color="CCEEFF"/>
            </w:tcBorders>
            <w:vMerge w:val="continue"/>
          </w:tcPr>
          <w:p>
            <w:pPr>
              <w:spacing w:after="0"/>
              <w:rPr>
                <w:sz w:val="21"/>
                <w:szCs w:val="21"/>
                <w:color w:val="auto"/>
              </w:rPr>
            </w:pPr>
          </w:p>
        </w:tc>
        <w:tc>
          <w:tcPr>
            <w:tcW w:w="1700" w:type="dxa"/>
            <w:vAlign w:val="bottom"/>
            <w:tcBorders>
              <w:bottom w:val="single" w:sz="8" w:color="auto"/>
            </w:tcBorders>
            <w:vMerge w:val="continue"/>
          </w:tcPr>
          <w:p>
            <w:pPr>
              <w:spacing w:after="0"/>
              <w:rPr>
                <w:sz w:val="21"/>
                <w:szCs w:val="21"/>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70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368,560</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 years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tcBorders>
              <w:bottom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rPr>
              <w:t>(158,058)</w:t>
            </w:r>
          </w:p>
        </w:tc>
        <w:tc>
          <w:tcPr>
            <w:tcW w:w="1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$100.34</w:t>
            </w:r>
          </w:p>
        </w:tc>
        <w:tc>
          <w:tcPr>
            <w:tcW w:w="15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29, 2026</w:t>
            </w:r>
          </w:p>
        </w:tc>
        <w:tc>
          <w:tcPr>
            <w:tcW w:w="1700" w:type="dxa"/>
            <w:vAlign w:val="bottom"/>
            <w:tcBorders>
              <w:bottom w:val="single" w:sz="8" w:color="auto"/>
            </w:tcBorders>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210,066</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$117.52</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 years</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exercisable as of March 29, 2026</w:t>
            </w:r>
          </w:p>
        </w:tc>
        <w:tc>
          <w:tcPr>
            <w:tcW w:w="1700" w:type="dxa"/>
            <w:vAlign w:val="bottom"/>
            <w:tcBorders>
              <w:bottom w:val="single" w:sz="8" w:color="auto"/>
            </w:tcBorders>
          </w:tcPr>
          <w:p>
            <w:pPr>
              <w:jc w:val="center"/>
              <w:ind w:left="870"/>
              <w:spacing w:after="0" w:line="203" w:lineRule="exact"/>
              <w:rPr>
                <w:sz w:val="20"/>
                <w:szCs w:val="20"/>
                <w:color w:val="auto"/>
              </w:rPr>
            </w:pPr>
            <w:r>
              <w:rPr>
                <w:rFonts w:ascii="Times New Roman" w:cs="Times New Roman" w:eastAsia="Times New Roman" w:hAnsi="Times New Roman"/>
                <w:sz w:val="18"/>
                <w:szCs w:val="18"/>
                <w:color w:val="auto"/>
                <w:w w:val="99"/>
              </w:rPr>
              <w:t>204,603</w:t>
            </w:r>
          </w:p>
        </w:tc>
        <w:tc>
          <w:tcPr>
            <w:tcW w:w="1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$115.90</w:t>
            </w:r>
          </w:p>
        </w:tc>
        <w:tc>
          <w:tcPr>
            <w:tcW w:w="158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rPr>
              <w:t>2.2 years</w:t>
            </w:r>
          </w:p>
        </w:tc>
        <w:tc>
          <w:tcPr>
            <w:tcW w:w="42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20,131</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options were granted for the periods ended March 29, 2026 and March 30,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options exercised was $17,893 and $1,833 for the periods ended March 29, 2026 and March 30, 2025,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Units and Restricted Stock Units</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Under the EICP, we grant PSUs to select executives and other key employees. Vesting is contingent upon the achievement of certain performance objectives. We grant PSUs over three-year performance cycles. If we meet targets for financial measures at the end of the applicable three-year performance cycle, we award a resulting number of shares of our Common Stock to the participants. The number of shares may be increased to the maximum or reduced to the minimum threshold based on the results of these performance metrics in accordance with the terms established at the time of the award.</w:t>
      </w:r>
    </w:p>
    <w:p>
      <w:pPr>
        <w:spacing w:after="0" w:line="1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PSUs granted, the target award is a combination of a market-based total shareholder return and performance-based components. For market-based condition components, market volatility and other factors are taken into consideration in determining the grant date fair value and the related compensation expense is recognized regardless of whether the market condition is satisfied, provided that the requisite service has been provided. For performance-based condition components, we estimate the probability that the performance conditions will be achieved each quarter and adjust compensation expenses accordingly. The performance scores of PSU grants during the three months ended March 29, 2026 and March 30, 2025 can range from 0% to 250% of the targeted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276225</wp:posOffset>
            </wp:positionV>
            <wp:extent cx="19685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recognize the compensation expenses associated with PSUs ratably over the three-year term. Compensation expenses are based on the grant date fair value because the grants can only be settled in shares of our Common Stock. The grant date fair value of PSUs is determined based on the Monte Carlo simulation model for the market-based total shareholder return component and the closing market price of the Company’s Common Stock on the date of grant for performance-based components.</w:t>
      </w:r>
    </w:p>
    <w:p>
      <w:pPr>
        <w:spacing w:after="0" w:line="12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29, 2026 and March 30, 2025, we awarded RSUs to certain executive officers and other key employees under the EICP. We also awarded RSUs to non-employee directors.</w:t>
      </w:r>
    </w:p>
    <w:p>
      <w:pPr>
        <w:spacing w:after="0" w:line="10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recognize the compensation expenses associated with employee RSUs over a specified award vesting period based on the grant date fair value of our Common Stock. We recognize expense for employee RSUs based on the straight-line method. The compensation expenses associated with non-employee director RSUs is recognized ratably over the vesting period, net of estimated forfeitures.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relating to grants of PSUs and RSUs for the period ended March 29, 2026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Stock Units and Restricted Stock Units</w:t>
            </w:r>
          </w:p>
        </w:tc>
        <w:tc>
          <w:tcPr>
            <w:tcW w:w="164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Number of units</w:t>
            </w:r>
          </w:p>
        </w:tc>
        <w:tc>
          <w:tcPr>
            <w:tcW w:w="100" w:type="dxa"/>
            <w:vAlign w:val="bottom"/>
          </w:tcPr>
          <w:p>
            <w:pPr>
              <w:spacing w:after="0"/>
              <w:rPr>
                <w:sz w:val="16"/>
                <w:szCs w:val="16"/>
                <w:color w:val="auto"/>
              </w:rPr>
            </w:pPr>
          </w:p>
        </w:tc>
        <w:tc>
          <w:tcPr>
            <w:tcW w:w="354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Weighted-average grant date fair value for</w:t>
            </w:r>
          </w:p>
        </w:tc>
        <w:tc>
          <w:tcPr>
            <w:tcW w:w="0" w:type="dxa"/>
            <w:vAlign w:val="bottom"/>
          </w:tcPr>
          <w:p>
            <w:pPr>
              <w:spacing w:after="0"/>
              <w:rPr>
                <w:sz w:val="1"/>
                <w:szCs w:val="1"/>
                <w:color w:val="auto"/>
              </w:rPr>
            </w:pPr>
          </w:p>
        </w:tc>
      </w:tr>
      <w:tr>
        <w:trPr>
          <w:trHeight w:val="214"/>
        </w:trPr>
        <w:tc>
          <w:tcPr>
            <w:tcW w:w="586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right"/>
              <w:ind w:right="856"/>
              <w:spacing w:after="0"/>
              <w:rPr>
                <w:sz w:val="20"/>
                <w:szCs w:val="20"/>
                <w:color w:val="auto"/>
              </w:rPr>
            </w:pPr>
            <w:r>
              <w:rPr>
                <w:rFonts w:ascii="Times New Roman" w:cs="Times New Roman" w:eastAsia="Times New Roman" w:hAnsi="Times New Roman"/>
                <w:sz w:val="16"/>
                <w:szCs w:val="16"/>
                <w:b w:val="1"/>
                <w:bCs w:val="1"/>
                <w:color w:val="auto"/>
              </w:rPr>
              <w:t>equity awards (per unit)</w:t>
            </w:r>
          </w:p>
        </w:tc>
        <w:tc>
          <w:tcPr>
            <w:tcW w:w="0" w:type="dxa"/>
            <w:vAlign w:val="bottom"/>
          </w:tcPr>
          <w:p>
            <w:pPr>
              <w:spacing w:after="0"/>
              <w:rPr>
                <w:sz w:val="1"/>
                <w:szCs w:val="1"/>
                <w:color w:val="auto"/>
              </w:rPr>
            </w:pPr>
          </w:p>
        </w:tc>
      </w:tr>
      <w:tr>
        <w:trPr>
          <w:trHeight w:val="225"/>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1,038,893</w:t>
            </w:r>
          </w:p>
        </w:tc>
        <w:tc>
          <w:tcPr>
            <w:tcW w:w="100" w:type="dxa"/>
            <w:vAlign w:val="bottom"/>
            <w:tcBorders>
              <w:top w:val="single" w:sz="8" w:color="CCEEFF"/>
            </w:tcBorders>
            <w:shd w:val="clear" w:color="auto" w:fill="CCEEFF"/>
          </w:tcPr>
          <w:p>
            <w:pPr>
              <w:spacing w:after="0"/>
              <w:rPr>
                <w:sz w:val="19"/>
                <w:szCs w:val="19"/>
                <w:color w:val="auto"/>
              </w:rPr>
            </w:pPr>
          </w:p>
        </w:tc>
        <w:tc>
          <w:tcPr>
            <w:tcW w:w="3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$192.64</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297,233</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$235.79</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assumption change (1)</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31,199</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$554.65</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(214,703)</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$228.52</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(19,674)</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$190.73</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as of March 29, 2026</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1,132,948</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$207.19</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Reflects the net number of PSUs above and below target levels based on the performance metrics.</w:t>
      </w:r>
    </w:p>
    <w:p>
      <w:pPr>
        <w:spacing w:after="0" w:line="17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about the fair value of the PSUs and RSUs granted for potential future distribution to employees and non-employee directors. In addition, the table provides weighted average assumptions used to determine the fair value of the market-based total shareholder return component using the Monte Carlo simulation model on the date of grant.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gridSpan w:val="4"/>
          </w:tcPr>
          <w:p>
            <w:pPr>
              <w:jc w:val="right"/>
              <w:ind w:right="161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1"/>
        </w:trPr>
        <w:tc>
          <w:tcPr>
            <w:tcW w:w="6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360" w:type="dxa"/>
            <w:vAlign w:val="bottom"/>
          </w:tcPr>
          <w:p>
            <w:pPr>
              <w:spacing w:after="0"/>
              <w:rPr>
                <w:sz w:val="18"/>
                <w:szCs w:val="18"/>
                <w:color w:val="auto"/>
              </w:rPr>
            </w:pPr>
          </w:p>
        </w:tc>
        <w:tc>
          <w:tcPr>
            <w:tcW w:w="200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0" w:type="dxa"/>
            <w:vAlign w:val="bottom"/>
          </w:tcPr>
          <w:p>
            <w:pPr>
              <w:spacing w:after="0"/>
              <w:rPr>
                <w:sz w:val="1"/>
                <w:szCs w:val="1"/>
                <w:color w:val="auto"/>
              </w:rPr>
            </w:pPr>
          </w:p>
        </w:tc>
      </w:tr>
      <w:tr>
        <w:trPr>
          <w:trHeight w:val="225"/>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granted</w:t>
            </w:r>
          </w:p>
        </w:tc>
        <w:tc>
          <w:tcPr>
            <w:tcW w:w="38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297,233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420,478</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fair value at date of grant</w:t>
            </w:r>
          </w:p>
        </w:tc>
        <w:tc>
          <w:tcPr>
            <w:tcW w:w="3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235.79</w:t>
            </w:r>
          </w:p>
        </w:tc>
        <w:tc>
          <w:tcPr>
            <w:tcW w:w="120" w:type="dxa"/>
            <w:vAlign w:val="bottom"/>
          </w:tcPr>
          <w:p>
            <w:pPr>
              <w:spacing w:after="0"/>
              <w:rPr>
                <w:sz w:val="20"/>
                <w:szCs w:val="20"/>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166.02</w:t>
            </w:r>
          </w:p>
        </w:tc>
        <w:tc>
          <w:tcPr>
            <w:tcW w:w="0" w:type="dxa"/>
            <w:vAlign w:val="bottom"/>
          </w:tcPr>
          <w:p>
            <w:pPr>
              <w:spacing w:after="0"/>
              <w:rPr>
                <w:sz w:val="1"/>
                <w:szCs w:val="1"/>
                <w:color w:val="auto"/>
              </w:rPr>
            </w:pPr>
          </w:p>
        </w:tc>
      </w:tr>
      <w:tr>
        <w:trPr>
          <w:trHeight w:val="90"/>
        </w:trPr>
        <w:tc>
          <w:tcPr>
            <w:tcW w:w="636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20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 Carlo simulation assumptions:</w:t>
            </w:r>
          </w:p>
        </w:tc>
        <w:tc>
          <w:tcPr>
            <w:tcW w:w="3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Estimated values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 yields</w:t>
            </w:r>
          </w:p>
        </w:tc>
        <w:tc>
          <w:tcPr>
            <w:tcW w:w="3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34"/>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volatility</w:t>
            </w:r>
          </w:p>
        </w:tc>
        <w:tc>
          <w:tcPr>
            <w:tcW w:w="3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shares vested totaled $47,478 and $46,251 for the periods ended March 29, 2026 and March 30, 2025, respectively.</w:t>
      </w:r>
    </w:p>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Deferred PSUs, deferred RSUs and deferred stock units representing directors’ fees totaled 237,602 units as of March 29, 2026. Each unit is equivalent to one share of the Company’s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94"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The Company reports its operations through three segments: (i) North America Confectionery, (ii) North America Salty Snacks and (iii) International. This organizational structure aligns with how our Chief Operating Decision Maker (“CODM”), Kirk Tanner, President and Chief Executive Officer, manages our business, including resource allocation and performance assessment, and further aligns with our product categories and the key markets we serve.</w:t>
      </w:r>
    </w:p>
    <w:p>
      <w:pPr>
        <w:spacing w:after="0" w:line="100" w:lineRule="exact"/>
        <w:rPr>
          <w:sz w:val="20"/>
          <w:szCs w:val="20"/>
          <w:color w:val="auto"/>
        </w:rPr>
      </w:pPr>
    </w:p>
    <w:p>
      <w:pPr>
        <w:ind w:left="660" w:right="100" w:hanging="328"/>
        <w:spacing w:after="0" w:line="286" w:lineRule="auto"/>
        <w:tabs>
          <w:tab w:leader="none" w:pos="65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North America Confectionery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is responsible for our traditional chocolate and non-chocolate confectionery market position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and Canada. This includes our business in chocolate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258445</wp:posOffset>
            </wp:positionV>
            <wp:extent cx="19685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non-chocolate confectionery, gum and refreshment products, protein bars, spreads, snack bites and mixes, as well as pantry and food service lines. This segment also includes our retail operations, including Hershey’s Chocolate World stores in Hershey, Pennsylvania; New York, New York; Las Vegas, Nevada; Niagara Falls (Ontario) and Singapore, as well as operations associated with licensing the use of certain of the Company’s trademarks and products to third parties around the world.</w:t>
      </w:r>
    </w:p>
    <w:p>
      <w:pPr>
        <w:spacing w:after="0" w:line="122" w:lineRule="exact"/>
        <w:rPr>
          <w:sz w:val="20"/>
          <w:szCs w:val="20"/>
          <w:color w:val="auto"/>
        </w:rPr>
      </w:pPr>
    </w:p>
    <w:p>
      <w:pPr>
        <w:ind w:left="660" w:right="600" w:hanging="328"/>
        <w:spacing w:after="0" w:line="286" w:lineRule="auto"/>
        <w:tabs>
          <w:tab w:leader="none" w:pos="6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North America Salty Snacks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is responsible for our salty snacking products in the United States. This includes ready-to-eat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popcorn, baked and trans fat free snacks, pretzels and other snacks.</w:t>
      </w:r>
    </w:p>
    <w:p>
      <w:pPr>
        <w:spacing w:after="0" w:line="100" w:lineRule="exact"/>
        <w:rPr>
          <w:rFonts w:ascii="Times New Roman" w:cs="Times New Roman" w:eastAsia="Times New Roman" w:hAnsi="Times New Roman"/>
          <w:sz w:val="18"/>
          <w:szCs w:val="18"/>
          <w:b w:val="1"/>
          <w:bCs w:val="1"/>
          <w:i w:val="1"/>
          <w:iCs w:val="1"/>
          <w:color w:val="auto"/>
        </w:rPr>
      </w:pPr>
    </w:p>
    <w:p>
      <w:pPr>
        <w:ind w:left="660" w:right="160" w:hanging="328"/>
        <w:spacing w:after="0" w:line="262" w:lineRule="auto"/>
        <w:tabs>
          <w:tab w:leader="none" w:pos="6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International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International is a combination of all other operating segments that are not individually material, including those geographic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regions where we operate outside of North America. We currently have operations and manufacture product in Mexico, Brazil, India and Malaysia, primarily for consumers in these regions, and also distribute and sell confectionery products in export markets of Asia, Latin America, Middle East, Europe, Africa and other regions.</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segment reporting purposes, the CODM uses “segment income” to evaluate segment performance and allocate resources, including considering budget-to-actual variances and prior year-to-actual variances on a monthly basis.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profit are managed centrally at the corporate level and are excluded from the measure of segment income reviewed by the CODM as well as the measure of segment performance used for incentive compensation purposes.</w:t>
      </w:r>
    </w:p>
    <w:p>
      <w:pPr>
        <w:spacing w:after="0" w:line="1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derivatives used to manage commodity price risk are not designated for hedge accounting treatment. These derivatives are recognized at fair market value with the resulting realized and unrealized (gains)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Our segment net sales and earnings for the three months ended March 29, 2026 and March 30, 2025 were as follows: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760" w:type="dxa"/>
            <w:vAlign w:val="bottom"/>
            <w:gridSpan w:val="8"/>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March 29, 2026</w:t>
            </w:r>
          </w:p>
        </w:tc>
        <w:tc>
          <w:tcPr>
            <w:tcW w:w="140" w:type="dxa"/>
            <w:vAlign w:val="bottom"/>
          </w:tcPr>
          <w:p>
            <w:pPr>
              <w:spacing w:after="0"/>
              <w:rPr>
                <w:sz w:val="24"/>
                <w:szCs w:val="2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North America</w:t>
            </w:r>
          </w:p>
        </w:tc>
        <w:tc>
          <w:tcPr>
            <w:tcW w:w="14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North America</w:t>
            </w:r>
          </w:p>
        </w:tc>
        <w:tc>
          <w:tcPr>
            <w:tcW w:w="200" w:type="dxa"/>
            <w:vAlign w:val="bottom"/>
          </w:tcPr>
          <w:p>
            <w:pPr>
              <w:spacing w:after="0"/>
              <w:rPr>
                <w:sz w:val="24"/>
                <w:szCs w:val="24"/>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40" w:type="dxa"/>
            <w:vAlign w:val="bottom"/>
          </w:tcPr>
          <w:p>
            <w:pPr>
              <w:spacing w:after="0"/>
              <w:rPr>
                <w:sz w:val="24"/>
                <w:szCs w:val="24"/>
                <w:color w:val="auto"/>
              </w:rPr>
            </w:pPr>
          </w:p>
        </w:tc>
        <w:tc>
          <w:tcPr>
            <w:tcW w:w="12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760" w:type="dxa"/>
            <w:vAlign w:val="bottom"/>
            <w:tcBorders>
              <w:bottom w:val="single" w:sz="8" w:color="auto"/>
            </w:tcBorders>
            <w:gridSpan w:val="8"/>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Confectionery</w:t>
            </w: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Salty Snacks</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6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2,489,918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3,104,167</w:t>
            </w:r>
          </w:p>
        </w:tc>
        <w:tc>
          <w:tcPr>
            <w:tcW w:w="0" w:type="dxa"/>
            <w:vAlign w:val="bottom"/>
          </w:tcPr>
          <w:p>
            <w:pPr>
              <w:spacing w:after="0"/>
              <w:rPr>
                <w:sz w:val="1"/>
                <w:szCs w:val="1"/>
                <w:color w:val="auto"/>
              </w:rPr>
            </w:pPr>
          </w:p>
        </w:tc>
      </w:tr>
      <w:tr>
        <w:trPr>
          <w:trHeight w:val="229"/>
        </w:trPr>
        <w:tc>
          <w:tcPr>
            <w:tcW w:w="47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1,402,465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SM&amp;A expense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792,378</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34,300</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15,263</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841,941</w:t>
            </w:r>
          </w:p>
        </w:tc>
        <w:tc>
          <w:tcPr>
            <w:tcW w:w="0" w:type="dxa"/>
            <w:vAlign w:val="bottom"/>
          </w:tcPr>
          <w:p>
            <w:pPr>
              <w:spacing w:after="0"/>
              <w:rPr>
                <w:sz w:val="1"/>
                <w:szCs w:val="1"/>
                <w:color w:val="auto"/>
              </w:rPr>
            </w:pPr>
          </w:p>
        </w:tc>
      </w:tr>
      <w:tr>
        <w:trPr>
          <w:trHeight w:val="223"/>
        </w:trPr>
        <w:tc>
          <w:tcPr>
            <w:tcW w:w="47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157,706</w:t>
            </w:r>
          </w:p>
        </w:tc>
        <w:tc>
          <w:tcPr>
            <w:tcW w:w="0" w:type="dxa"/>
            <w:vAlign w:val="bottom"/>
          </w:tcPr>
          <w:p>
            <w:pPr>
              <w:spacing w:after="0"/>
              <w:rPr>
                <w:sz w:val="1"/>
                <w:szCs w:val="1"/>
                <w:color w:val="auto"/>
              </w:rPr>
            </w:pPr>
          </w:p>
        </w:tc>
      </w:tr>
      <w:tr>
        <w:trPr>
          <w:trHeight w:val="229"/>
        </w:trPr>
        <w:tc>
          <w:tcPr>
            <w:tcW w:w="47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Unallocated mark-to-market losses on commodity derivatives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30,184</w:t>
            </w:r>
          </w:p>
        </w:tc>
        <w:tc>
          <w:tcPr>
            <w:tcW w:w="0" w:type="dxa"/>
            <w:vAlign w:val="bottom"/>
          </w:tcPr>
          <w:p>
            <w:pPr>
              <w:spacing w:after="0"/>
              <w:rPr>
                <w:sz w:val="1"/>
                <w:szCs w:val="1"/>
                <w:color w:val="auto"/>
              </w:rPr>
            </w:pPr>
          </w:p>
        </w:tc>
      </w:tr>
      <w:tr>
        <w:trPr>
          <w:trHeight w:val="229"/>
        </w:trPr>
        <w:tc>
          <w:tcPr>
            <w:tcW w:w="476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99"/>
              </w:rPr>
              <w:t xml:space="preserve">Costs associated with business realignment activities (see </w:t>
            </w:r>
            <w:r>
              <w:rPr>
                <w:rFonts w:ascii="Times New Roman" w:cs="Times New Roman" w:eastAsia="Times New Roman" w:hAnsi="Times New Roman"/>
                <w:sz w:val="18"/>
                <w:szCs w:val="18"/>
                <w:color w:val="0000FF"/>
                <w:w w:val="99"/>
              </w:rPr>
              <w:t>Note 9</w:t>
            </w: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13,358</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50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gridSpan w:val="2"/>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640,693</w:t>
            </w:r>
          </w:p>
        </w:tc>
        <w:tc>
          <w:tcPr>
            <w:tcW w:w="0" w:type="dxa"/>
            <w:vAlign w:val="bottom"/>
          </w:tcPr>
          <w:p>
            <w:pPr>
              <w:spacing w:after="0"/>
              <w:rPr>
                <w:sz w:val="1"/>
                <w:szCs w:val="1"/>
                <w:color w:val="auto"/>
              </w:rPr>
            </w:pPr>
          </w:p>
        </w:tc>
      </w:tr>
      <w:tr>
        <w:trPr>
          <w:trHeight w:val="189"/>
        </w:trPr>
        <w:tc>
          <w:tcPr>
            <w:tcW w:w="476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Interest expense, net (see </w:t>
            </w:r>
            <w:r>
              <w:rPr>
                <w:rFonts w:ascii="Times New Roman" w:cs="Times New Roman" w:eastAsia="Times New Roman" w:hAnsi="Times New Roman"/>
                <w:sz w:val="18"/>
                <w:szCs w:val="18"/>
                <w:color w:val="0000FF"/>
              </w:rPr>
              <w:t>Note 4</w:t>
            </w: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49,818</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60" w:type="dxa"/>
            <w:vAlign w:val="bottom"/>
            <w:gridSpan w:val="8"/>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Other (income) expense, net (see </w:t>
            </w:r>
            <w:r>
              <w:rPr>
                <w:rFonts w:ascii="Times New Roman" w:cs="Times New Roman" w:eastAsia="Times New Roman" w:hAnsi="Times New Roman"/>
                <w:sz w:val="18"/>
                <w:szCs w:val="18"/>
                <w:color w:val="0000FF"/>
              </w:rPr>
              <w:t>Note 17</w:t>
            </w: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21"/>
        </w:trPr>
        <w:tc>
          <w:tcPr>
            <w:tcW w:w="1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0000FF"/>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592,695</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gridSpan w:val="8"/>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30, 2025</w:t>
            </w:r>
          </w:p>
        </w:tc>
        <w:tc>
          <w:tcPr>
            <w:tcW w:w="14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North America</w:t>
            </w: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North America</w:t>
            </w:r>
          </w:p>
        </w:tc>
        <w:tc>
          <w:tcPr>
            <w:tcW w:w="200" w:type="dxa"/>
            <w:vAlign w:val="bottom"/>
          </w:tcPr>
          <w:p>
            <w:pPr>
              <w:spacing w:after="0"/>
              <w:rPr>
                <w:sz w:val="17"/>
                <w:szCs w:val="17"/>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40" w:type="dxa"/>
            <w:vAlign w:val="bottom"/>
          </w:tcPr>
          <w:p>
            <w:pPr>
              <w:spacing w:after="0"/>
              <w:rPr>
                <w:sz w:val="17"/>
                <w:szCs w:val="17"/>
                <w:color w:val="auto"/>
              </w:rPr>
            </w:pPr>
          </w:p>
        </w:tc>
        <w:tc>
          <w:tcPr>
            <w:tcW w:w="12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760" w:type="dxa"/>
            <w:vAlign w:val="bottom"/>
            <w:tcBorders>
              <w:bottom w:val="single" w:sz="8" w:color="auto"/>
            </w:tcBorders>
            <w:gridSpan w:val="8"/>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Confectionery</w:t>
            </w: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Salty Snacks</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6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2,805,419</w:t>
            </w:r>
          </w:p>
        </w:tc>
        <w:tc>
          <w:tcPr>
            <w:tcW w:w="0" w:type="dxa"/>
            <w:vAlign w:val="bottom"/>
          </w:tcPr>
          <w:p>
            <w:pPr>
              <w:spacing w:after="0"/>
              <w:rPr>
                <w:sz w:val="1"/>
                <w:szCs w:val="1"/>
                <w:color w:val="auto"/>
              </w:rPr>
            </w:pPr>
          </w:p>
        </w:tc>
      </w:tr>
      <w:tr>
        <w:trPr>
          <w:trHeight w:val="229"/>
        </w:trPr>
        <w:tc>
          <w:tcPr>
            <w:tcW w:w="47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1,315,076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SM&amp;A expense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696,374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41,853</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28,726</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766,953</w:t>
            </w:r>
          </w:p>
        </w:tc>
        <w:tc>
          <w:tcPr>
            <w:tcW w:w="0" w:type="dxa"/>
            <w:vAlign w:val="bottom"/>
          </w:tcPr>
          <w:p>
            <w:pPr>
              <w:spacing w:after="0"/>
              <w:rPr>
                <w:sz w:val="1"/>
                <w:szCs w:val="1"/>
                <w:color w:val="auto"/>
              </w:rPr>
            </w:pPr>
          </w:p>
        </w:tc>
      </w:tr>
      <w:tr>
        <w:trPr>
          <w:trHeight w:val="223"/>
        </w:trPr>
        <w:tc>
          <w:tcPr>
            <w:tcW w:w="47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160,425</w:t>
            </w:r>
          </w:p>
        </w:tc>
        <w:tc>
          <w:tcPr>
            <w:tcW w:w="0" w:type="dxa"/>
            <w:vAlign w:val="bottom"/>
          </w:tcPr>
          <w:p>
            <w:pPr>
              <w:spacing w:after="0"/>
              <w:rPr>
                <w:sz w:val="1"/>
                <w:szCs w:val="1"/>
                <w:color w:val="auto"/>
              </w:rPr>
            </w:pPr>
          </w:p>
        </w:tc>
      </w:tr>
      <w:tr>
        <w:trPr>
          <w:trHeight w:val="229"/>
        </w:trPr>
        <w:tc>
          <w:tcPr>
            <w:tcW w:w="47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Unallocated mark-to-market losses on commodity derivatives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211,453</w:t>
            </w:r>
          </w:p>
        </w:tc>
        <w:tc>
          <w:tcPr>
            <w:tcW w:w="0" w:type="dxa"/>
            <w:vAlign w:val="bottom"/>
          </w:tcPr>
          <w:p>
            <w:pPr>
              <w:spacing w:after="0"/>
              <w:rPr>
                <w:sz w:val="1"/>
                <w:szCs w:val="1"/>
                <w:color w:val="auto"/>
              </w:rPr>
            </w:pPr>
          </w:p>
        </w:tc>
      </w:tr>
      <w:tr>
        <w:trPr>
          <w:trHeight w:val="230"/>
        </w:trPr>
        <w:tc>
          <w:tcPr>
            <w:tcW w:w="476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99"/>
              </w:rPr>
              <w:t xml:space="preserve">Costs associated with business realignment activities (see </w:t>
            </w:r>
            <w:r>
              <w:rPr>
                <w:rFonts w:ascii="Times New Roman" w:cs="Times New Roman" w:eastAsia="Times New Roman" w:hAnsi="Times New Roman"/>
                <w:sz w:val="18"/>
                <w:szCs w:val="18"/>
                <w:color w:val="0000FF"/>
                <w:w w:val="99"/>
              </w:rPr>
              <w:t>Note 9</w:t>
            </w: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25,854</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50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gridSpan w:val="2"/>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369,221</w:t>
            </w:r>
          </w:p>
        </w:tc>
        <w:tc>
          <w:tcPr>
            <w:tcW w:w="0" w:type="dxa"/>
            <w:vAlign w:val="bottom"/>
          </w:tcPr>
          <w:p>
            <w:pPr>
              <w:spacing w:after="0"/>
              <w:rPr>
                <w:sz w:val="1"/>
                <w:szCs w:val="1"/>
                <w:color w:val="auto"/>
              </w:rPr>
            </w:pPr>
          </w:p>
        </w:tc>
      </w:tr>
      <w:tr>
        <w:trPr>
          <w:trHeight w:val="189"/>
        </w:trPr>
        <w:tc>
          <w:tcPr>
            <w:tcW w:w="476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Interest expense, net (see </w:t>
            </w:r>
            <w:r>
              <w:rPr>
                <w:rFonts w:ascii="Times New Roman" w:cs="Times New Roman" w:eastAsia="Times New Roman" w:hAnsi="Times New Roman"/>
                <w:sz w:val="18"/>
                <w:szCs w:val="18"/>
                <w:color w:val="0000FF"/>
              </w:rPr>
              <w:t>Note 4</w:t>
            </w: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44,622</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60" w:type="dxa"/>
            <w:vAlign w:val="bottom"/>
            <w:gridSpan w:val="8"/>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Other (income) expense, net (see </w:t>
            </w:r>
            <w:r>
              <w:rPr>
                <w:rFonts w:ascii="Times New Roman" w:cs="Times New Roman" w:eastAsia="Times New Roman" w:hAnsi="Times New Roman"/>
                <w:sz w:val="18"/>
                <w:szCs w:val="18"/>
                <w:color w:val="0000FF"/>
              </w:rPr>
              <w:t>Note 17</w:t>
            </w: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0000FF"/>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323,654</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40" w:right="20" w:hanging="332"/>
        <w:spacing w:after="0" w:line="261"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within the unallocated mark-to-market adjustment for commodity derivatives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1"/>
        </w:trPr>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80" w:type="dxa"/>
            <w:vAlign w:val="bottom"/>
          </w:tcPr>
          <w:p>
            <w:pPr>
              <w:spacing w:after="0"/>
              <w:rPr>
                <w:sz w:val="18"/>
                <w:szCs w:val="18"/>
                <w:color w:val="auto"/>
              </w:rPr>
            </w:pPr>
          </w:p>
        </w:tc>
        <w:tc>
          <w:tcPr>
            <w:tcW w:w="142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0" w:type="dxa"/>
            <w:vAlign w:val="bottom"/>
          </w:tcPr>
          <w:p>
            <w:pPr>
              <w:spacing w:after="0"/>
              <w:rPr>
                <w:sz w:val="1"/>
                <w:szCs w:val="1"/>
                <w:color w:val="auto"/>
              </w:rPr>
            </w:pPr>
          </w:p>
        </w:tc>
      </w:tr>
      <w:tr>
        <w:trPr>
          <w:trHeight w:val="225"/>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losses on mark-to-market valuation of commodity derivative positions recognized in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53,857</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gains on commodity derivative positions reclassified from unallocated to segment income</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157,596</w:t>
            </w:r>
          </w:p>
        </w:tc>
        <w:tc>
          <w:tcPr>
            <w:tcW w:w="0" w:type="dxa"/>
            <w:vAlign w:val="bottom"/>
          </w:tcPr>
          <w:p>
            <w:pPr>
              <w:spacing w:after="0"/>
              <w:rPr>
                <w:sz w:val="1"/>
                <w:szCs w:val="1"/>
                <w:color w:val="auto"/>
              </w:rPr>
            </w:pPr>
          </w:p>
        </w:tc>
      </w:tr>
      <w:tr>
        <w:trPr>
          <w:trHeight w:val="164"/>
        </w:trPr>
        <w:tc>
          <w:tcPr>
            <w:tcW w:w="79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Net losses on mark-to-market valuation of commodity derivative positions recognized in unallocated</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30,184</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211,453</w:t>
            </w:r>
          </w:p>
        </w:tc>
        <w:tc>
          <w:tcPr>
            <w:tcW w:w="0" w:type="dxa"/>
            <w:vAlign w:val="bottom"/>
          </w:tcPr>
          <w:p>
            <w:pPr>
              <w:spacing w:after="0"/>
              <w:rPr>
                <w:sz w:val="1"/>
                <w:szCs w:val="1"/>
                <w:color w:val="auto"/>
              </w:rPr>
            </w:pPr>
          </w:p>
        </w:tc>
      </w:tr>
      <w:tr>
        <w:trPr>
          <w:trHeight w:val="227"/>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losses</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548640</wp:posOffset>
            </wp:positionV>
            <wp:extent cx="19685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3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March 29, 2026, the cumulative amount of mark-to-market gains on commodity derivatives that have been recognized in our consolidated cost of sales and not yet allocated to reportable segments was $380,047. Based on our forecasts of the timing of the recognition of the underlying hedged items, we expect to reclassify net pre-tax gains on commodity derivatives of $261,284 to segment operating results in the next twelve months.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included within segment income presented above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80" w:type="dxa"/>
            <w:vAlign w:val="bottom"/>
          </w:tcPr>
          <w:p>
            <w:pPr>
              <w:spacing w:after="0"/>
              <w:rPr>
                <w:sz w:val="18"/>
                <w:szCs w:val="18"/>
                <w:color w:val="auto"/>
              </w:rPr>
            </w:pPr>
          </w:p>
        </w:tc>
        <w:tc>
          <w:tcPr>
            <w:tcW w:w="142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225"/>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69,773</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21,846</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21,760</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119,564</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our net sales disaggregated by geographical region is as follows:</w:t>
      </w:r>
    </w:p>
    <w:p>
      <w:pPr>
        <w:spacing w:after="0" w:line="52"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21590</wp:posOffset>
            </wp:positionV>
            <wp:extent cx="2108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6" w:lineRule="exact"/>
        <w:rPr>
          <w:sz w:val="20"/>
          <w:szCs w:val="20"/>
          <w:color w:val="auto"/>
        </w:rPr>
      </w:pPr>
    </w:p>
    <w:p>
      <w:pPr>
        <w:ind w:left="8180"/>
        <w:spacing w:after="0"/>
        <w:tabs>
          <w:tab w:leader="none" w:pos="9880" w:val="left"/>
        </w:tabs>
        <w:rPr>
          <w:sz w:val="20"/>
          <w:szCs w:val="20"/>
          <w:color w:val="auto"/>
        </w:rPr>
      </w:pPr>
      <w:r>
        <w:rPr>
          <w:rFonts w:ascii="Times New Roman" w:cs="Times New Roman" w:eastAsia="Times New Roman" w:hAnsi="Times New Roman"/>
          <w:sz w:val="16"/>
          <w:szCs w:val="16"/>
          <w:b w:val="1"/>
          <w:bCs w:val="1"/>
          <w:color w:val="auto"/>
        </w:rPr>
        <w:t>March 29, 2026</w:t>
      </w:r>
      <w:r>
        <w:rPr>
          <w:sz w:val="20"/>
          <w:szCs w:val="20"/>
          <w:color w:val="auto"/>
        </w:rPr>
        <w:tab/>
      </w:r>
      <w:r>
        <w:rPr>
          <w:rFonts w:ascii="Times New Roman" w:cs="Times New Roman" w:eastAsia="Times New Roman" w:hAnsi="Times New Roman"/>
          <w:sz w:val="16"/>
          <w:szCs w:val="16"/>
          <w:b w:val="1"/>
          <w:bCs w:val="1"/>
          <w:color w:val="auto"/>
        </w:rPr>
        <w:t>March 30, 2025</w:t>
      </w:r>
    </w:p>
    <w:p>
      <w:pPr>
        <w:sectPr>
          <w:pgSz w:w="11900" w:h="16838" w:orient="portrait"/>
          <w:cols w:equalWidth="0" w:num="1">
            <w:col w:w="11240"/>
          </w:cols>
          <w:pgMar w:left="320" w:top="117"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All other countries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TREASURY STOCK ACTIVITY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treasury stock activity is as follows: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Shares repurchased in the open market to replace Treasury Stock issued for stock options and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0" w:right="2440"/>
        <w:spacing w:after="0" w:line="344" w:lineRule="auto"/>
        <w:rPr>
          <w:sz w:val="20"/>
          <w:szCs w:val="20"/>
          <w:color w:val="auto"/>
        </w:rPr>
      </w:pPr>
      <w:r>
        <w:rPr>
          <w:rFonts w:ascii="Times New Roman" w:cs="Times New Roman" w:eastAsia="Times New Roman" w:hAnsi="Times New Roman"/>
          <w:sz w:val="18"/>
          <w:szCs w:val="18"/>
          <w:color w:val="auto"/>
        </w:rPr>
        <w:t>Shares issued for stock options and incentive compensation Total net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1020" w:type="dxa"/>
        <w:tblCellMar>
          <w:top w:w="0" w:type="dxa"/>
          <w:left w:w="0" w:type="dxa"/>
          <w:bottom w:w="0" w:type="dxa"/>
          <w:right w:w="0" w:type="dxa"/>
        </w:tblCellMar>
      </w:tblPr>
      <w:tr>
        <w:trPr>
          <w:trHeight w:val="230"/>
        </w:trPr>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2,711,473</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2,467,754</w:t>
            </w:r>
          </w:p>
        </w:tc>
      </w:tr>
      <w:tr>
        <w:trPr>
          <w:trHeight w:val="234"/>
        </w:trPr>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392,694</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337,665</w:t>
            </w:r>
          </w:p>
        </w:tc>
      </w:tr>
      <w:tr>
        <w:trPr>
          <w:trHeight w:val="223"/>
        </w:trPr>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3,104,167</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2,805,419</w:t>
            </w:r>
          </w:p>
        </w:tc>
      </w:tr>
      <w:tr>
        <w:trPr>
          <w:trHeight w:val="21"/>
        </w:trPr>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Three Months Ended March 29,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20" w:type="dxa"/>
            <w:vAlign w:val="bottom"/>
            <w:tcBorders>
              <w:top w:val="single" w:sz="8" w:color="auto"/>
            </w:tcBorders>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center"/>
              <w:ind w:right="272"/>
              <w:spacing w:after="0"/>
              <w:rPr>
                <w:sz w:val="20"/>
                <w:szCs w:val="20"/>
                <w:color w:val="auto"/>
              </w:rPr>
            </w:pPr>
            <w:r>
              <w:rPr>
                <w:rFonts w:ascii="Times New Roman" w:cs="Times New Roman" w:eastAsia="Times New Roman" w:hAnsi="Times New Roman"/>
                <w:sz w:val="18"/>
                <w:szCs w:val="18"/>
                <w:b w:val="1"/>
                <w:bCs w:val="1"/>
                <w:color w:val="auto"/>
                <w:w w:val="99"/>
              </w:rPr>
              <w:t>Dollars</w:t>
            </w:r>
          </w:p>
        </w:tc>
      </w:tr>
      <w:tr>
        <w:trPr>
          <w:trHeight w:val="206"/>
        </w:trPr>
        <w:tc>
          <w:tcPr>
            <w:tcW w:w="2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center"/>
              <w:ind w:right="272"/>
              <w:spacing w:after="0"/>
              <w:rPr>
                <w:sz w:val="20"/>
                <w:szCs w:val="20"/>
                <w:color w:val="auto"/>
              </w:rPr>
            </w:pPr>
            <w:r>
              <w:rPr>
                <w:rFonts w:ascii="Times New Roman" w:cs="Times New Roman" w:eastAsia="Times New Roman" w:hAnsi="Times New Roman"/>
                <w:sz w:val="16"/>
                <w:szCs w:val="16"/>
                <w:b w:val="1"/>
                <w:bCs w:val="1"/>
                <w:color w:val="auto"/>
                <w:w w:val="99"/>
              </w:rPr>
              <w:t>In thousands</w:t>
            </w:r>
          </w:p>
        </w:tc>
      </w:tr>
      <w:tr>
        <w:trPr>
          <w:trHeight w:val="417"/>
        </w:trPr>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tcPr>
          <w:p>
            <w:pPr>
              <w:jc w:val="center"/>
              <w:ind w:left="1032"/>
              <w:spacing w:after="0"/>
              <w:rPr>
                <w:sz w:val="20"/>
                <w:szCs w:val="20"/>
                <w:color w:val="auto"/>
              </w:rPr>
            </w:pPr>
            <w:r>
              <w:rPr>
                <w:rFonts w:ascii="Times New Roman" w:cs="Times New Roman" w:eastAsia="Times New Roman" w:hAnsi="Times New Roman"/>
                <w:sz w:val="18"/>
                <w:szCs w:val="18"/>
                <w:color w:val="auto"/>
                <w:w w:val="96"/>
              </w:rPr>
              <w:t>69,270</w:t>
            </w:r>
          </w:p>
        </w:tc>
      </w:tr>
      <w:tr>
        <w:trPr>
          <w:trHeight w:val="234"/>
        </w:trPr>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(298,172)</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center"/>
              <w:ind w:left="1012"/>
              <w:spacing w:after="0"/>
              <w:rPr>
                <w:sz w:val="20"/>
                <w:szCs w:val="20"/>
                <w:color w:val="auto"/>
              </w:rPr>
            </w:pPr>
            <w:r>
              <w:rPr>
                <w:rFonts w:ascii="Times New Roman" w:cs="Times New Roman" w:eastAsia="Times New Roman" w:hAnsi="Times New Roman"/>
                <w:sz w:val="18"/>
                <w:szCs w:val="18"/>
                <w:color w:val="auto"/>
              </w:rPr>
              <w:t>(12,407)</w:t>
            </w:r>
          </w:p>
        </w:tc>
      </w:tr>
      <w:tr>
        <w:trPr>
          <w:trHeight w:val="223"/>
        </w:trPr>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left="1032"/>
              <w:spacing w:after="0"/>
              <w:rPr>
                <w:sz w:val="20"/>
                <w:szCs w:val="20"/>
                <w:color w:val="auto"/>
              </w:rPr>
            </w:pPr>
            <w:r>
              <w:rPr>
                <w:rFonts w:ascii="Times New Roman" w:cs="Times New Roman" w:eastAsia="Times New Roman" w:hAnsi="Times New Roman"/>
                <w:sz w:val="18"/>
                <w:szCs w:val="18"/>
                <w:color w:val="auto"/>
                <w:w w:val="96"/>
              </w:rPr>
              <w:t>56,863</w:t>
            </w: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740" w:space="160"/>
            <w:col w:w="4340"/>
          </w:cols>
          <w:pgMar w:left="320" w:top="117" w:right="339" w:bottom="1440" w:gutter="0" w:footer="0" w:header="0"/>
          <w:type w:val="continuous"/>
        </w:sect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December 2023, our Board of Directors approved a $500 million share repurchase authorization. As a result of the share repurchase authorization, approximately $470 million remains available for repurchases under our December 2023 share repurchase authorization.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CONTINGENCIES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is subject to certain legal proceedings and claims arising out of the ordinary course of our business, which cover a wide range of matters including trade regulation, product liability, advertising, contracts, environmental issues, patent and trademark matters, labor and employment matters, human and workplace rights matters and tax.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265430</wp:posOffset>
            </wp:positionV>
            <wp:extent cx="19685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EARNINGS PER SHARE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162"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30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0" w:type="dxa"/>
            <w:vAlign w:val="bottom"/>
          </w:tcPr>
          <w:p>
            <w:pPr>
              <w:spacing w:after="0"/>
              <w:rPr>
                <w:sz w:val="1"/>
                <w:szCs w:val="1"/>
                <w:color w:val="auto"/>
              </w:rPr>
            </w:pPr>
          </w:p>
        </w:tc>
      </w:tr>
      <w:tr>
        <w:trPr>
          <w:trHeight w:val="156"/>
        </w:trPr>
        <w:tc>
          <w:tcPr>
            <w:tcW w:w="638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5" w:lineRule="exact"/>
              <w:rPr>
                <w:sz w:val="20"/>
                <w:szCs w:val="20"/>
                <w:color w:val="auto"/>
              </w:rPr>
            </w:pPr>
            <w:r>
              <w:rPr>
                <w:rFonts w:ascii="Times New Roman" w:cs="Times New Roman" w:eastAsia="Times New Roman" w:hAnsi="Times New Roman"/>
                <w:sz w:val="16"/>
                <w:szCs w:val="16"/>
                <w:b w:val="1"/>
                <w:bCs w:val="1"/>
                <w:color w:val="auto"/>
              </w:rPr>
              <w:t>Class B</w:t>
            </w:r>
          </w:p>
        </w:tc>
        <w:tc>
          <w:tcPr>
            <w:tcW w:w="12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5" w:lineRule="exact"/>
              <w:rPr>
                <w:sz w:val="20"/>
                <w:szCs w:val="20"/>
                <w:color w:val="auto"/>
              </w:rPr>
            </w:pPr>
            <w:r>
              <w:rPr>
                <w:rFonts w:ascii="Times New Roman" w:cs="Times New Roman" w:eastAsia="Times New Roman" w:hAnsi="Times New Roman"/>
                <w:sz w:val="16"/>
                <w:szCs w:val="16"/>
                <w:b w:val="1"/>
                <w:bCs w:val="1"/>
                <w:color w:val="auto"/>
              </w:rPr>
              <w:t>Class B</w:t>
            </w:r>
          </w:p>
        </w:tc>
        <w:tc>
          <w:tcPr>
            <w:tcW w:w="0" w:type="dxa"/>
            <w:vAlign w:val="bottom"/>
          </w:tcPr>
          <w:p>
            <w:pPr>
              <w:spacing w:after="0"/>
              <w:rPr>
                <w:sz w:val="1"/>
                <w:szCs w:val="1"/>
                <w:color w:val="auto"/>
              </w:rPr>
            </w:pPr>
          </w:p>
        </w:tc>
      </w:tr>
      <w:tr>
        <w:trPr>
          <w:trHeight w:val="214"/>
        </w:trPr>
        <w:tc>
          <w:tcPr>
            <w:tcW w:w="63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20" w:type="dxa"/>
            <w:vAlign w:val="bottom"/>
            <w:gridSpan w:val="3"/>
            <w:vMerge w:val="continue"/>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0" w:type="dxa"/>
            <w:vAlign w:val="bottom"/>
          </w:tcPr>
          <w:p>
            <w:pPr>
              <w:spacing w:after="0"/>
              <w:rPr>
                <w:sz w:val="1"/>
                <w:szCs w:val="1"/>
                <w:color w:val="auto"/>
              </w:rPr>
            </w:pPr>
          </w:p>
        </w:tc>
      </w:tr>
      <w:tr>
        <w:trPr>
          <w:trHeight w:val="198"/>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Allocation of distributed earnings (cash dividends paid)</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67,994</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Allocation of undistributed earnings</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110,268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36,840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(35,496)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(11,895)</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earnings—basic</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108,930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56,099</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weighted-average shares—basic</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148,606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148,097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0" w:type="dxa"/>
            <w:vAlign w:val="bottom"/>
          </w:tcPr>
          <w:p>
            <w:pPr>
              <w:spacing w:after="0"/>
              <w:rPr>
                <w:sz w:val="1"/>
                <w:szCs w:val="1"/>
                <w:color w:val="auto"/>
              </w:rPr>
            </w:pPr>
          </w:p>
        </w:tc>
      </w:tr>
      <w:tr>
        <w:trPr>
          <w:trHeight w:val="131"/>
        </w:trPr>
        <w:tc>
          <w:tcPr>
            <w:tcW w:w="6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Share—basic</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3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Allocation of total earnings used in basic computation</w:t>
            </w: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326,175</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108,930</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168,104</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56,099</w:t>
            </w:r>
          </w:p>
        </w:tc>
        <w:tc>
          <w:tcPr>
            <w:tcW w:w="0" w:type="dxa"/>
            <w:vAlign w:val="bottom"/>
          </w:tcPr>
          <w:p>
            <w:pPr>
              <w:spacing w:after="0"/>
              <w:rPr>
                <w:sz w:val="1"/>
                <w:szCs w:val="1"/>
                <w:color w:val="auto"/>
              </w:rPr>
            </w:pPr>
          </w:p>
        </w:tc>
      </w:tr>
      <w:tr>
        <w:trPr>
          <w:trHeight w:val="165"/>
        </w:trPr>
        <w:tc>
          <w:tcPr>
            <w:tcW w:w="63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Reallocation of total earnings as a result of conversion of Class B common stock to</w:t>
            </w:r>
          </w:p>
        </w:tc>
        <w:tc>
          <w:tcPr>
            <w:tcW w:w="3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108,930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56,099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w:t>
            </w:r>
          </w:p>
        </w:tc>
        <w:tc>
          <w:tcPr>
            <w:tcW w:w="3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Reallocation of undistributed earnings</w:t>
            </w:r>
          </w:p>
        </w:tc>
        <w:tc>
          <w:tcPr>
            <w:tcW w:w="3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earnings—diluted</w:t>
            </w: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435,105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108,798</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224,203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56,125</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 (shares in thousands):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Number of shares used in basic computation</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Weighted-average effect of dilutive securities: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Conversion of Class B common stock to Common shares outstanding</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Employee stock options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Performance and restricted stock units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weighted-average shares—diluted</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203,931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203,141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54,614</w:t>
            </w:r>
          </w:p>
        </w:tc>
        <w:tc>
          <w:tcPr>
            <w:tcW w:w="0" w:type="dxa"/>
            <w:vAlign w:val="bottom"/>
          </w:tcPr>
          <w:p>
            <w:pPr>
              <w:spacing w:after="0"/>
              <w:rPr>
                <w:sz w:val="1"/>
                <w:szCs w:val="1"/>
                <w:color w:val="auto"/>
              </w:rPr>
            </w:pPr>
          </w:p>
        </w:tc>
      </w:tr>
      <w:tr>
        <w:trPr>
          <w:trHeight w:val="148"/>
        </w:trPr>
        <w:tc>
          <w:tcPr>
            <w:tcW w:w="63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Share—diluted</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earnings per share calculations for the three months ended March 29, 2026 and March 30, 2025 excluded 14 and 27 stock options (in thousands), respectively, that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585470</wp:posOffset>
            </wp:positionV>
            <wp:extent cx="19685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OTHER (INCOME) EXPENSE, NET</w:t>
      </w:r>
    </w:p>
    <w:p>
      <w:pPr>
        <w:spacing w:after="0" w:line="256"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Other (income) expense, net reports certain gains and losses associated with activities not directly related to our core operations. A summary of the components of other (income) expense, net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4"/>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00" w:type="dxa"/>
            <w:vAlign w:val="bottom"/>
          </w:tcPr>
          <w:p>
            <w:pPr>
              <w:spacing w:after="0"/>
              <w:rPr>
                <w:sz w:val="18"/>
                <w:szCs w:val="18"/>
                <w:color w:val="auto"/>
              </w:rPr>
            </w:pPr>
          </w:p>
        </w:tc>
        <w:tc>
          <w:tcPr>
            <w:tcW w:w="144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186"/>
        </w:trPr>
        <w:tc>
          <w:tcPr>
            <w:tcW w:w="7840" w:type="dxa"/>
            <w:vAlign w:val="bottom"/>
            <w:gridSpan w:val="3"/>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Non-service cost components of net periodic benefit cost relating to pension and other post-retirement</w:t>
            </w: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94"/>
        </w:trPr>
        <w:tc>
          <w:tcPr>
            <w:tcW w:w="7840" w:type="dxa"/>
            <w:vAlign w:val="bottom"/>
            <w:gridSpan w:val="3"/>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 xml:space="preserve">benefit plans (see </w:t>
            </w:r>
            <w:r>
              <w:rPr>
                <w:rFonts w:ascii="Times New Roman" w:cs="Times New Roman" w:eastAsia="Times New Roman" w:hAnsi="Times New Roman"/>
                <w:sz w:val="18"/>
                <w:szCs w:val="18"/>
                <w:color w:val="0000FF"/>
              </w:rPr>
              <w:t>Note 11</w:t>
            </w: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(1,109)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1,320</w:t>
            </w:r>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8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48"/>
        </w:trPr>
        <w:tc>
          <w:tcPr>
            <w:tcW w:w="7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548640</wp:posOffset>
            </wp:positionV>
            <wp:extent cx="19685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 SUPPLEMENTAL BALANCE SHEET INFORMATION</w:t>
            </w: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11"/>
        </w:trPr>
        <w:tc>
          <w:tcPr>
            <w:tcW w:w="8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certain asset accounts included within our Consolidated Balance Sheets are as follows:</w:t>
            </w: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6"/>
        </w:trPr>
        <w:tc>
          <w:tcPr>
            <w:tcW w:w="6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29, 2026</w:t>
            </w:r>
          </w:p>
        </w:tc>
        <w:tc>
          <w:tcPr>
            <w:tcW w:w="240" w:type="dxa"/>
            <w:vAlign w:val="bottom"/>
          </w:tcPr>
          <w:p>
            <w:pPr>
              <w:spacing w:after="0"/>
              <w:rPr>
                <w:sz w:val="22"/>
                <w:szCs w:val="22"/>
                <w:color w:val="auto"/>
              </w:rPr>
            </w:pP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Raw materials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854,748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762,391</w:t>
            </w: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Goods in process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294,374</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Finished goods</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924,985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1,074,690</w:t>
            </w:r>
          </w:p>
        </w:tc>
      </w:tr>
      <w:tr>
        <w:trPr>
          <w:trHeight w:val="223"/>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 at First In First Out</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2,124,362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2,131,455</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Adjustment to Last In First Out</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(695,238)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(702,201)</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1,429,124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1,429,254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6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20" w:type="dxa"/>
            <w:vAlign w:val="bottom"/>
          </w:tcPr>
          <w:p>
            <w:pPr>
              <w:spacing w:after="0"/>
              <w:rPr>
                <w:sz w:val="8"/>
                <w:szCs w:val="8"/>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Prepaid expenses and other:</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163,412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201,527</w:t>
            </w: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302,712</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487,856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504,239</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15"/>
        </w:trPr>
        <w:tc>
          <w:tcPr>
            <w:tcW w:w="66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199,559</w:t>
            </w: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Buildings</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2,110,533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2,102,794</w:t>
            </w: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4,530,712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4,515,447</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324,998</w:t>
            </w:r>
          </w:p>
        </w:tc>
      </w:tr>
      <w:tr>
        <w:trPr>
          <w:trHeight w:val="223"/>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7,175,437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7,142,798</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(3,686,275)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(3,613,190)</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3,489,162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3,529,608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20" w:type="dxa"/>
            <w:vAlign w:val="bottom"/>
          </w:tcPr>
          <w:p>
            <w:pPr>
              <w:spacing w:after="0"/>
              <w:rPr>
                <w:sz w:val="8"/>
                <w:szCs w:val="8"/>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64,520</w:t>
            </w: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software, net</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341,430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351,285</w:t>
            </w: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325,345</w:t>
            </w: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176,567</w:t>
            </w:r>
          </w:p>
        </w:tc>
      </w:tr>
      <w:tr>
        <w:trPr>
          <w:trHeight w:val="230"/>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205,568</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1,111,645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1,123,285</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411480</wp:posOffset>
            </wp:positionV>
            <wp:extent cx="19685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certain liability and stockholders’ equity accounts included within our Consolidated Balance Sheets are as follows:</w:t>
      </w:r>
    </w:p>
    <w:p>
      <w:pPr>
        <w:spacing w:after="0" w:line="32" w:lineRule="exact"/>
        <w:rPr>
          <w:sz w:val="20"/>
          <w:szCs w:val="20"/>
          <w:color w:val="auto"/>
        </w:rPr>
      </w:pPr>
    </w:p>
    <w:p>
      <w:pPr>
        <w:jc w:val="right"/>
        <w:ind w:right="40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March 29, 2026</w:t>
      </w:r>
      <w:r>
        <w:rPr>
          <w:sz w:val="20"/>
          <w:szCs w:val="20"/>
          <w:color w:val="auto"/>
        </w:rPr>
        <w:tab/>
      </w:r>
      <w:r>
        <w:rPr>
          <w:rFonts w:ascii="Times New Roman" w:cs="Times New Roman" w:eastAsia="Times New Roman" w:hAnsi="Times New Roman"/>
          <w:sz w:val="18"/>
          <w:szCs w:val="18"/>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13232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payable: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Accounts payable—trade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Supplier finance program obligations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accounts payable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Payroll, compensation and benefits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Advertising, promotion and product allowances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accrued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Post-retirement benefits liabilities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Pension benefits liabilities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long-term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Pension and post-retirement benefit plans, net of tax</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flow hedges, net of tax</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accumulated other comprehensive loss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986,784</w:t>
            </w:r>
          </w:p>
        </w:tc>
        <w:tc>
          <w:tcPr>
            <w:tcW w:w="10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831,204</w:t>
            </w:r>
          </w:p>
        </w:tc>
      </w:tr>
      <w:tr>
        <w:trPr>
          <w:trHeight w:val="229"/>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265,776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300,332</w:t>
            </w:r>
          </w:p>
        </w:tc>
      </w:tr>
      <w:tr>
        <w:trPr>
          <w:trHeight w:val="234"/>
        </w:trPr>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51,143</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124,165</w:t>
            </w:r>
          </w:p>
        </w:tc>
      </w:tr>
      <w:tr>
        <w:trPr>
          <w:trHeight w:val="223"/>
        </w:trPr>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1,303,703</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1,255,701</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69"/>
        </w:trPr>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177,385</w:t>
            </w:r>
          </w:p>
        </w:tc>
        <w:tc>
          <w:tcPr>
            <w:tcW w:w="100" w:type="dxa"/>
            <w:vAlign w:val="bottom"/>
          </w:tcPr>
          <w:p>
            <w:pPr>
              <w:spacing w:after="0"/>
              <w:rPr>
                <w:sz w:val="24"/>
                <w:szCs w:val="24"/>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311,241</w:t>
            </w:r>
          </w:p>
        </w:tc>
      </w:tr>
      <w:tr>
        <w:trPr>
          <w:trHeight w:val="230"/>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448,865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373,940</w:t>
            </w:r>
          </w:p>
        </w:tc>
      </w:tr>
      <w:tr>
        <w:trPr>
          <w:trHeight w:val="229"/>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49,583</w:t>
            </w:r>
          </w:p>
        </w:tc>
      </w:tr>
      <w:tr>
        <w:trPr>
          <w:trHeight w:val="234"/>
        </w:trPr>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250,247</w:t>
            </w: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235,833</w:t>
            </w:r>
          </w:p>
        </w:tc>
      </w:tr>
      <w:tr>
        <w:trPr>
          <w:trHeight w:val="223"/>
        </w:trPr>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926,173</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970,597</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69"/>
        </w:trPr>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96,390</w:t>
            </w:r>
          </w:p>
        </w:tc>
        <w:tc>
          <w:tcPr>
            <w:tcW w:w="100" w:type="dxa"/>
            <w:vAlign w:val="bottom"/>
          </w:tcPr>
          <w:p>
            <w:pPr>
              <w:spacing w:after="0"/>
              <w:rPr>
                <w:sz w:val="24"/>
                <w:szCs w:val="24"/>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98,101</w:t>
            </w:r>
          </w:p>
        </w:tc>
      </w:tr>
      <w:tr>
        <w:trPr>
          <w:trHeight w:val="230"/>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42,987</w:t>
            </w:r>
          </w:p>
        </w:tc>
      </w:tr>
      <w:tr>
        <w:trPr>
          <w:trHeight w:val="229"/>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273,573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285,925</w:t>
            </w:r>
          </w:p>
        </w:tc>
      </w:tr>
      <w:tr>
        <w:trPr>
          <w:trHeight w:val="234"/>
        </w:trPr>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269,809</w:t>
            </w: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304,904</w:t>
            </w:r>
          </w:p>
        </w:tc>
      </w:tr>
      <w:tr>
        <w:trPr>
          <w:trHeight w:val="223"/>
        </w:trPr>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676,847</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731,917</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69"/>
        </w:trPr>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(141,624)</w:t>
            </w:r>
          </w:p>
        </w:tc>
        <w:tc>
          <w:tcPr>
            <w:tcW w:w="100" w:type="dxa"/>
            <w:vAlign w:val="bottom"/>
          </w:tcPr>
          <w:p>
            <w:pPr>
              <w:spacing w:after="0"/>
              <w:rPr>
                <w:sz w:val="24"/>
                <w:szCs w:val="24"/>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(136,508)</w:t>
            </w:r>
          </w:p>
        </w:tc>
      </w:tr>
      <w:tr>
        <w:trPr>
          <w:trHeight w:val="229"/>
        </w:trPr>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(106,161)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(107,620)</w:t>
            </w:r>
          </w:p>
        </w:tc>
      </w:tr>
      <w:tr>
        <w:trPr>
          <w:trHeight w:val="234"/>
        </w:trPr>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w:t>
            </w:r>
          </w:p>
        </w:tc>
      </w:tr>
      <w:tr>
        <w:trPr>
          <w:trHeight w:val="223"/>
        </w:trPr>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(249,911)</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(247,350)</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-3317240</wp:posOffset>
            </wp:positionV>
            <wp:extent cx="71323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-3025140</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-2759710</wp:posOffset>
            </wp:positionV>
            <wp:extent cx="71323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-2468245</wp:posOffset>
            </wp:positionV>
            <wp:extent cx="7132320"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-2176780</wp:posOffset>
            </wp:positionV>
            <wp:extent cx="713232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-1859915</wp:posOffset>
            </wp:positionV>
            <wp:extent cx="7132320" cy="939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-1619250</wp:posOffset>
            </wp:positionV>
            <wp:extent cx="7132320"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-1327785</wp:posOffset>
            </wp:positionV>
            <wp:extent cx="713232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-1036955</wp:posOffset>
            </wp:positionV>
            <wp:extent cx="71323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-770890</wp:posOffset>
            </wp:positionV>
            <wp:extent cx="713232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-479425</wp:posOffset>
            </wp:positionV>
            <wp:extent cx="713232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-187960</wp:posOffset>
            </wp:positionV>
            <wp:extent cx="71323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539750</wp:posOffset>
            </wp:positionV>
            <wp:extent cx="19685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80" w:space="720"/>
            <w:col w:w="4620"/>
          </w:cols>
          <w:pgMar w:left="34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380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342265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type w:val="continuous"/>
        </w:sectPr>
      </w:pPr>
    </w:p>
    <w:bookmarkStart w:id="31" w:name="page32"/>
    <w:bookmarkEnd w:id="31"/>
    <w:p>
      <w:pPr>
        <w:spacing w:after="0" w:line="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(“MD&amp;A”) is intended to provide an understanding of Hershey’s financial condition, results of operations and cash flows by focusing on changes in certain key measures from year to year. This MD&amp;A should be read in conjunction with our Unaudited Consolidated Financial Statements and accompanying notes included in this Quarterly Report on Form 10-Q for the quarterly period ended March 29, 2026 (“this Quarterly Report on Form 10-Q”). This discussion contains a number of forward-looking statements, all of which are based on current expectations. Actual results may differ materially. Refer to the Safe Harbor Statement below as well as the Risk Factors and other information contained in our 2025 Annual Report on Form 10-K for information concerning the key risks to achieving future performance goals.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MD&amp;A is organized in the following sections:</w:t>
      </w:r>
    </w:p>
    <w:p>
      <w:pPr>
        <w:spacing w:after="0" w:line="63"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Overview</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Trends Affecting Our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Consolidated Results of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Segment Results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Liquidity and Capital Resources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Safe Harbor Statement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Hershey is a global confectionery leader known for making more moments of goodness through chocolate, sweets, mints and other great tasting snacks. We are the largest producer of quality chocolate in North America, a leading snack maker in the United States (“U.S.”) and a global leader in chocolate and non-chocolate confectionery. We market, sell and distribute our products under more than 85 brand names in approximately 65 countries worldwide.</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principal product offerings include chocolate and non-chocolate confectionery products; gum and mint refreshment products and protein bars; pantry items, such as baking ingredients, toppings and beverages; and snack items such as spreads, bars, and snack bites and mixes, popcorn and pretzels.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November 18, 2025, we completed the acquisition of LesserEvil, LLC (“LesserEvil”), previously a privately held company that produces and sells organic popcorn and puffed snack products to retailers and distributors in the United States and Canada. The acquisition complements Hershey’s existing portfolio and increases manufacturing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526415</wp:posOffset>
            </wp:positionV>
            <wp:extent cx="19685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Throughout the first three months of 2026, we experienced net sales growth and positive consumer sentiment for our brands, despite the persistent dynamic macro environment, which continues to put pressure on our business. Specifically, higher manufacturing and supply costs continue to challenge the business and drive incremental cost to our business (see </w:t>
      </w:r>
      <w:r>
        <w:rPr>
          <w:rFonts w:ascii="Times New Roman" w:cs="Times New Roman" w:eastAsia="Times New Roman" w:hAnsi="Times New Roman"/>
          <w:sz w:val="18"/>
          <w:szCs w:val="18"/>
          <w:u w:val="single" w:color="auto"/>
          <w:color w:val="0000FF"/>
        </w:rPr>
        <w:t>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highlight w:val="white"/>
        </w:rPr>
        <w:t>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included in this MD&amp;A). Additionally, w</w:t>
      </w:r>
      <w:r>
        <w:rPr>
          <w:rFonts w:ascii="Times New Roman" w:cs="Times New Roman" w:eastAsia="Times New Roman" w:hAnsi="Times New Roman"/>
          <w:sz w:val="18"/>
          <w:szCs w:val="18"/>
          <w:color w:val="auto"/>
        </w:rPr>
        <w:t xml:space="preserve">e utilize many exchange traded commodities for our business that are subject to price volatility, specifically cocoa products, which has continued to improve during the first three months of 2026 (see </w:t>
      </w:r>
      <w:r>
        <w:rPr>
          <w:rFonts w:ascii="Times New Roman" w:cs="Times New Roman" w:eastAsia="Times New Roman" w:hAnsi="Times New Roman"/>
          <w:sz w:val="18"/>
          <w:szCs w:val="18"/>
          <w:u w:val="single" w:color="auto"/>
          <w:color w:val="0000FF"/>
        </w:rPr>
        <w:t>Part I, Item 3 - Quantitative and Qualitative Disclosures about Market Risk</w:t>
      </w:r>
      <w:r>
        <w:rPr>
          <w:rFonts w:ascii="Times New Roman" w:cs="Times New Roman" w:eastAsia="Times New Roman" w:hAnsi="Times New Roman"/>
          <w:sz w:val="18"/>
          <w:szCs w:val="18"/>
          <w:color w:val="auto"/>
        </w:rPr>
        <w:t xml:space="preserve"> included in this Quarterly Report on Form 10-Q).</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changes in global trade policies, including tariffs on U.S. imports, and certain geopolitical events, specifically the conflict in the Middle East, continue to increase global economic and political uncertainty. We are continuing to monitor the ongoing regulations related to tariffs, specifically, goods imported into the U.S. from Canada, Mexico and other countries, as well as export markets, as it was ruled by the International Emergency Economic Powers Act on February 20, 2026, that while certain tariffs imposed by the current U.S. administration do remain in full effect, there are other tariffs imposed that were deemed to not have such authority to do so. Therefore, companies now may have considerations around refund requests and as such, the Company is currently assessing the potential for refunds and the impact refunds may have on our results of operations. As such, the scope and length of tariffs, including their effects on the broader economy and our business, remain uncertain, but we expect tariff expense to continue to negatively impact our results of operations. Additionally, we are actively monitoring the evolving conflict in the Middle East and the potential impact on our business. For the first three months of 2026, this conflict did not have a material impact on our commodity prices or supply availability. However, we are continuing to monitor for any significant escalation or expansion of economic or supply chain disruptions or broader inflationary costs, which may result in material adverse effects on our results of operations.</w:t>
      </w:r>
    </w:p>
    <w:p>
      <w:pPr>
        <w:spacing w:after="0" w:line="1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As of March 29, 2026, we believe we have sufficient liquidity to satisfy our key strategic initiatives and other material cash requirements in both the short-term and in the long-term; however, we continue to evaluate and take action, as necessary, to preserve adequate liquidity and ensure that our business can operate effectively during the current economic environment. We continue to monitor our discretionary spending across the organization (see </w:t>
      </w:r>
      <w:r>
        <w:rPr>
          <w:rFonts w:ascii="Times New Roman" w:cs="Times New Roman" w:eastAsia="Times New Roman" w:hAnsi="Times New Roman"/>
          <w:sz w:val="18"/>
          <w:szCs w:val="18"/>
          <w:u w:val="single" w:color="auto"/>
          <w:color w:val="0000FF"/>
        </w:rPr>
        <w:t>Liquidity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Capital Resources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included in this MD&amp;A).</w:t>
      </w:r>
    </w:p>
    <w:p>
      <w:pPr>
        <w:spacing w:after="0" w:line="12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Based on the length and severity of the fluctuating macroeconomic environment, including price volatility for our commodities, fluctuations in consumer shopping and consumption behavior, and ongoing changes in geopolitical events, including the imposition of tariffs and retaliatory tariffs, as well as the conflict in the Middle East, we may continue to experience increasing supply chain costs, higher inflation and other impacts to our business. We will continue to evaluate the nature and extent of these evolving impacts on our business, consolidated results of operations, segment results,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265430</wp:posOffset>
            </wp:positionV>
            <wp:extent cx="19685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56"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amounts</w:t>
            </w:r>
          </w:p>
        </w:tc>
        <w:tc>
          <w:tcPr>
            <w:tcW w:w="22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20" w:type="dxa"/>
            <w:vAlign w:val="bottom"/>
          </w:tcPr>
          <w:p>
            <w:pPr>
              <w:spacing w:after="0"/>
              <w:rPr>
                <w:sz w:val="18"/>
                <w:szCs w:val="18"/>
                <w:color w:val="auto"/>
              </w:rPr>
            </w:pPr>
          </w:p>
        </w:tc>
        <w:tc>
          <w:tcPr>
            <w:tcW w:w="15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100" w:type="dxa"/>
            <w:vAlign w:val="bottom"/>
          </w:tcPr>
          <w:p>
            <w:pPr>
              <w:spacing w:after="0"/>
              <w:rPr>
                <w:sz w:val="18"/>
                <w:szCs w:val="18"/>
                <w:color w:val="auto"/>
              </w:rPr>
            </w:pPr>
          </w:p>
        </w:tc>
        <w:tc>
          <w:tcPr>
            <w:tcW w:w="17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0" w:type="dxa"/>
            <w:vAlign w:val="bottom"/>
          </w:tcPr>
          <w:p>
            <w:pPr>
              <w:spacing w:after="0"/>
              <w:rPr>
                <w:sz w:val="1"/>
                <w:szCs w:val="1"/>
                <w:color w:val="auto"/>
              </w:rPr>
            </w:pPr>
          </w:p>
        </w:tc>
      </w:tr>
      <w:tr>
        <w:trPr>
          <w:trHeight w:val="161"/>
        </w:trPr>
        <w:tc>
          <w:tcPr>
            <w:tcW w:w="5820" w:type="dxa"/>
            <w:vAlign w:val="bottom"/>
            <w:vMerge w:val="continue"/>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3,104.2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2,805.4</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0" w:type="dxa"/>
            <w:vAlign w:val="bottom"/>
          </w:tcPr>
          <w:p>
            <w:pPr>
              <w:spacing w:after="0"/>
              <w:rPr>
                <w:sz w:val="1"/>
                <w:szCs w:val="1"/>
                <w:color w:val="auto"/>
              </w:rPr>
            </w:pPr>
          </w:p>
        </w:tc>
      </w:tr>
      <w:tr>
        <w:trPr>
          <w:trHeight w:val="213"/>
        </w:trPr>
        <w:tc>
          <w:tcPr>
            <w:tcW w:w="5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Cost of sales</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1,881.4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1,861.1</w:t>
            </w:r>
          </w:p>
        </w:tc>
        <w:tc>
          <w:tcPr>
            <w:tcW w:w="18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1,222.7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944.3</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29.5 %</w:t>
            </w:r>
          </w:p>
        </w:tc>
        <w:tc>
          <w:tcPr>
            <w:tcW w:w="0" w:type="dxa"/>
            <w:vAlign w:val="bottom"/>
          </w:tcPr>
          <w:p>
            <w:pPr>
              <w:spacing w:after="0"/>
              <w:rPr>
                <w:sz w:val="1"/>
                <w:szCs w:val="1"/>
                <w:color w:val="auto"/>
              </w:rPr>
            </w:pPr>
          </w:p>
        </w:tc>
      </w:tr>
      <w:tr>
        <w:trPr>
          <w:trHeight w:val="208"/>
        </w:trPr>
        <w:tc>
          <w:tcPr>
            <w:tcW w:w="582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220" w:type="dxa"/>
            <w:vAlign w:val="bottom"/>
          </w:tcPr>
          <w:p>
            <w:pPr>
              <w:spacing w:after="0"/>
              <w:rPr>
                <w:sz w:val="18"/>
                <w:szCs w:val="18"/>
                <w:color w:val="auto"/>
              </w:rPr>
            </w:pPr>
          </w:p>
        </w:tc>
        <w:tc>
          <w:tcPr>
            <w:tcW w:w="1520" w:type="dxa"/>
            <w:vAlign w:val="bottom"/>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rPr>
              <w:t>39.4 %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rPr>
              <w:t>33.7 %</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Selling, marketing &amp; administrative (“SM&amp;A”) expenses</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576.0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558.7</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08"/>
        </w:trPr>
        <w:tc>
          <w:tcPr>
            <w:tcW w:w="582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SM&amp;A expense as a percent of net sales</w:t>
            </w:r>
          </w:p>
        </w:tc>
        <w:tc>
          <w:tcPr>
            <w:tcW w:w="220" w:type="dxa"/>
            <w:vAlign w:val="bottom"/>
          </w:tcPr>
          <w:p>
            <w:pPr>
              <w:spacing w:after="0"/>
              <w:rPr>
                <w:sz w:val="18"/>
                <w:szCs w:val="18"/>
                <w:color w:val="auto"/>
              </w:rPr>
            </w:pPr>
          </w:p>
        </w:tc>
        <w:tc>
          <w:tcPr>
            <w:tcW w:w="1520" w:type="dxa"/>
            <w:vAlign w:val="bottom"/>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rPr>
              <w:t>18.6 %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rPr>
              <w:t>19.9 %</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Business realignment activities</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16.4</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0" w:type="dxa"/>
            <w:vAlign w:val="bottom"/>
          </w:tcPr>
          <w:p>
            <w:pPr>
              <w:spacing w:after="0"/>
              <w:rPr>
                <w:sz w:val="1"/>
                <w:szCs w:val="1"/>
                <w:color w:val="auto"/>
              </w:rPr>
            </w:pPr>
          </w:p>
        </w:tc>
      </w:tr>
      <w:tr>
        <w:trPr>
          <w:trHeight w:val="207"/>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220" w:type="dxa"/>
            <w:vAlign w:val="bottom"/>
          </w:tcPr>
          <w:p>
            <w:pPr>
              <w:spacing w:after="0"/>
              <w:rPr>
                <w:sz w:val="17"/>
                <w:szCs w:val="17"/>
                <w:color w:val="auto"/>
              </w:rPr>
            </w:pPr>
          </w:p>
        </w:tc>
        <w:tc>
          <w:tcPr>
            <w:tcW w:w="1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640.7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369.2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73.5 %</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profit margin</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rPr>
              <w:t>20.6 %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rPr>
              <w:t>13.2 %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tcPr>
          <w:p>
            <w:pPr>
              <w:spacing w:after="0"/>
              <w:rPr>
                <w:sz w:val="18"/>
                <w:szCs w:val="18"/>
                <w:color w:val="auto"/>
              </w:rPr>
            </w:pPr>
          </w:p>
        </w:tc>
        <w:tc>
          <w:tcPr>
            <w:tcW w:w="1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44.6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157.6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99.5</w:t>
            </w:r>
          </w:p>
        </w:tc>
        <w:tc>
          <w:tcPr>
            <w:tcW w:w="18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58.5 %</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Effective income tax rate</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i w:val="1"/>
                <w:iCs w:val="1"/>
                <w:color w:val="auto"/>
              </w:rPr>
              <w:t>26.6%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i w:val="1"/>
                <w:iCs w:val="1"/>
                <w:color w:val="auto"/>
              </w:rPr>
              <w:t>30.7%</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435.1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224.2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94.1 %</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income per share—diluted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center"/>
              <w:ind w:left="959"/>
              <w:spacing w:after="0"/>
              <w:rPr>
                <w:sz w:val="20"/>
                <w:szCs w:val="20"/>
                <w:color w:val="auto"/>
              </w:rPr>
            </w:pPr>
            <w:r>
              <w:rPr>
                <w:rFonts w:ascii="Times New Roman" w:cs="Times New Roman" w:eastAsia="Times New Roman" w:hAnsi="Times New Roman"/>
                <w:sz w:val="16"/>
                <w:szCs w:val="16"/>
                <w:color w:val="auto"/>
                <w:w w:val="99"/>
              </w:rPr>
              <w:t>2.13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center"/>
              <w:ind w:left="939"/>
              <w:spacing w:after="0"/>
              <w:rPr>
                <w:sz w:val="20"/>
                <w:szCs w:val="20"/>
                <w:color w:val="auto"/>
              </w:rPr>
            </w:pPr>
            <w:r>
              <w:rPr>
                <w:rFonts w:ascii="Times New Roman" w:cs="Times New Roman" w:eastAsia="Times New Roman" w:hAnsi="Times New Roman"/>
                <w:sz w:val="16"/>
                <w:szCs w:val="16"/>
                <w:color w:val="auto"/>
              </w:rPr>
              <w:t>1.10</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93.6 %</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NOTE: Percentage changes may not compute directly as shown due to rounding of amounts presented above.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First Quarter 2026 vs. First Quarter 2025</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08" w:lineRule="exact"/>
        <w:rPr>
          <w:sz w:val="20"/>
          <w:szCs w:val="20"/>
          <w:color w:val="auto"/>
        </w:rPr>
      </w:pPr>
    </w:p>
    <w:p>
      <w:pPr>
        <w:ind w:left="40" w:right="100"/>
        <w:spacing w:after="0" w:line="258" w:lineRule="auto"/>
        <w:rPr>
          <w:sz w:val="20"/>
          <w:szCs w:val="20"/>
          <w:color w:val="auto"/>
        </w:rPr>
      </w:pPr>
      <w:r>
        <w:rPr>
          <w:rFonts w:ascii="Times New Roman" w:cs="Times New Roman" w:eastAsia="Times New Roman" w:hAnsi="Times New Roman"/>
          <w:sz w:val="18"/>
          <w:szCs w:val="18"/>
          <w:color w:val="auto"/>
        </w:rPr>
        <w:t>Net sales were $3,104.2 million in the first quarter of 2026 compared to $2,805.4 million in the same period of 2025, an increase of $298.8 million, or 10.6%. The net sales increase reflects a favorable price realization of approximately 10% primarily related to pricing actions within the North America Confectionery and International segments. Additionally, the 2025 acquisition of LesserEvil contributed a 2% benefit, with an additional 1% benefit being provided by foreign currency exchange rates. The increase was partially offset by a volume decrease of approximately 2%, primarily driven by declines in North America Confectionery and International segments, which more than offset the volume growth in the North America Salty Snacks segment.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U.S. Marketplace Metrics</w:t>
      </w:r>
    </w:p>
    <w:p>
      <w:pPr>
        <w:spacing w:after="0" w:line="173" w:lineRule="exact"/>
        <w:rPr>
          <w:sz w:val="20"/>
          <w:szCs w:val="20"/>
          <w:color w:val="auto"/>
        </w:rPr>
      </w:pPr>
    </w:p>
    <w:p>
      <w:pPr>
        <w:ind w:left="40"/>
        <w:spacing w:after="0" w:line="261" w:lineRule="auto"/>
        <w:rPr>
          <w:sz w:val="20"/>
          <w:szCs w:val="20"/>
          <w:color w:val="auto"/>
        </w:rPr>
      </w:pPr>
      <w:r>
        <w:rPr>
          <w:rFonts w:ascii="Times New Roman" w:cs="Times New Roman" w:eastAsia="Times New Roman" w:hAnsi="Times New Roman"/>
          <w:sz w:val="18"/>
          <w:szCs w:val="18"/>
          <w:color w:val="auto"/>
        </w:rPr>
        <w:t>For the first quarter of 2026, our total U.S. retail takeaway increased 9.3% in the expanded multi-outlet combined plus convenience store channels (MULO+ w/ Convenience), which includes candy, mint, gum, salty snacks and grocery items. Our U.S. candy, mint and gum (“CMG”) consumer takeaway increased 8.1%, despite a CMG market share decline. Our Salty consumer takeaway, excluding LesserEvil, increased 9.8% in the first quarter of 2026 and experienced a Salty, excluding LesserEvil, market share increase.</w:t>
      </w:r>
    </w:p>
    <w:p>
      <w:pPr>
        <w:spacing w:after="0" w:line="126" w:lineRule="exact"/>
        <w:rPr>
          <w:sz w:val="20"/>
          <w:szCs w:val="20"/>
          <w:color w:val="auto"/>
        </w:rPr>
      </w:pPr>
    </w:p>
    <w:p>
      <w:pPr>
        <w:ind w:left="40" w:right="40"/>
        <w:spacing w:after="0" w:line="261" w:lineRule="auto"/>
        <w:rPr>
          <w:sz w:val="20"/>
          <w:szCs w:val="20"/>
          <w:color w:val="auto"/>
        </w:rPr>
      </w:pPr>
      <w:r>
        <w:rPr>
          <w:rFonts w:ascii="Times New Roman" w:cs="Times New Roman" w:eastAsia="Times New Roman" w:hAnsi="Times New Roman"/>
          <w:sz w:val="18"/>
          <w:szCs w:val="18"/>
          <w:color w:val="auto"/>
        </w:rPr>
        <w:t>The consumer takeaway and market share information reflect measured channels of distribution accounting for approximately 90% of our U.S. confectionery and salty snack retail businesses. These channels of distribution primarily include food, drug, mass merchandisers and convenience store channels, partial dollar, club and military channels. These metrics are based on measured market scanned purchases as reported by Circana, the Company’s market insights and analytics provider, and provide a means to assess our retail takeaway and market position relative to the overall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262890</wp:posOffset>
            </wp:positionV>
            <wp:extent cx="19685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60"/>
        <w:spacing w:after="0"/>
        <w:tabs>
          <w:tab w:leader="none" w:pos="386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342265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280" w:top="125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Cost of Sales and Gross Margin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were $1,881.4 million in the first quarter 2026 compared to $1,861.1 million in the same period of 2025, an increase of $20.3 million, or</w:t>
      </w:r>
    </w:p>
    <w:p>
      <w:pPr>
        <w:spacing w:after="0" w:line="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1.1%. The increase was driven by $269.9 million of higher costs, predominantly due to unfavorable commodity and tariff costs. The increase was partially offset by declines of $249.6 million, primarily due to supply chain productivity and transformation program net savings and $24.9 million of favorable mark-to-market activity on our commodity derivative instruments intended to economically hedge future years’ commodity purchases (See </w:t>
      </w:r>
      <w:r>
        <w:rPr>
          <w:rFonts w:ascii="Times New Roman" w:cs="Times New Roman" w:eastAsia="Times New Roman" w:hAnsi="Times New Roman"/>
          <w:sz w:val="18"/>
          <w:szCs w:val="18"/>
          <w:u w:val="single" w:color="auto"/>
          <w:color w:val="0000FF"/>
        </w:rPr>
        <w:t>Part I, Item 3 -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Quantitative and Qualitative Disclosures About Market Risk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included in this Quarterly Report on Form 10-Q for more information).</w:t>
      </w:r>
    </w:p>
    <w:p>
      <w:pPr>
        <w:spacing w:after="0" w:line="13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Gross margin was 39.4% in the first quarter of 2026 compared to 33.7% in the same period of 2025, an increase of 570 basis points. The increase was driven by favorable net price realization partially offset by unfavorable supply chain and tariff costs and volume declines.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SM&amp;A Expenses</w:t>
      </w:r>
    </w:p>
    <w:p>
      <w:pPr>
        <w:spacing w:after="0" w:line="9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SM&amp;A expenses were $576.0 million in the first quarter of 2026 compared to $558.7 million in the same period of 2025, an increase of $17.3 million, or 3.1%. Total advertising and related consumer marketing expenses increased 5.8%, driven by investments in advertising and related consumer marketing expenses in the North America Salty Snacks and International segments. SM&amp;A expenses, excluding advertising and related consumer marketing, increased 1.8% in the first quarter of 2026, driven by higher capability and technology investments, partially offset by lower compensation and benefit costs and lower consulting fees, as well as net savings related to to our AAA Initiative versus the prior year.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Realignment Activities</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We periodically undertake business realignment activities designed to increase our efficiency and focus our business in support of our key growth strategies. Excluding the portion recorded within Cost of Sales and SM&amp;A expenses (as noted above), we recorded business realignment costs of $6.0 million during the first quarter of 2026 versus $16.4 million in the first quarter of 2025. The costs related to the AAA Initiative, which commenced in 2024, focused on leveraging new technology to improve supply chain and manufacturing-related spend, and optimize selling, general and administrative expenses. Costs associated with business realignment activities are classified in our Consolidated Statements of Income as described in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xml:space="preserve"> to the Unaudited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 and Operating Profit Margin</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Operating profit was $640.7 million in the first quarter of 2026 compared to $369.2 million in the same period of 2025, an increase of $271.5 million, or 73.5%. The increase was primarily due to higher gross profit as well as lower business realignment expenses, partially offset by increased SM&amp;A expenses, as noted above. Operating profit margin increased to 20.6% in 2026 from 13.2% in 2025, driven by the same factors noted above that resulted in higher gross margin for the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Net interest expense was $49.8 million in the first quarter of 2026 compared to $44.6 million in the same period of 2025, an increase of $5.2 million, or 11.6%. The increase was primarily due to the timing of the February 2025 debt issuance.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9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Other (income) expense, net was income of $1.8 million in the first quarter of 2026 versus expense of $0.9 million in the first quarter of 2025, a change of $2.7 million. The decrease in net expense was predominantly driven by a decrease of $2.4 million of non-service cost components of net periodic benefit cost relating to pension and other post-retirement benefit plans in the first quarter of 2026 versus the same period of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and Effective Tax Rate</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effective income tax rate was 26.6% for the first quarter of 2026 compared with 30.7% for the first quarter of 2025. Relative to the 21% statutory rate, the 2026 and 2025 effective tax rates were primarily impacted by state taxes and foreign tax differential.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251460</wp:posOffset>
            </wp:positionV>
            <wp:extent cx="19685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Share-diluted</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income was $435.1 million in the first quarter of 2026 compared to $224.2 million in the same period of 2025, an increase of $210.9 million, or 94.1%. EPS-diluted was $2.13 in the first quarter of 2026 compared to $1.10 in the first quarter of 2025, an increase of $1.03, or 93.6%. The increase in both net income and EPS-diluted was driven by higher gross profit, lower business realignment costs and lower other (income) expense, partially offset by higher SM&amp;A expenses, higher interest expense, and higher income taxes. Higher income taxes were driven by higher income before income taxes, partially offset by a lower effective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265430</wp:posOffset>
            </wp:positionV>
            <wp:extent cx="19685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6" w:name="page37"/>
    <w:bookmarkEnd w:id="36"/>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summary that follows provides a discussion of the results of operations of our three segments: North America Confectionery, North America Salty Snacks and International.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our Chief Operating Decision Maker, Kirk Tanner, President and Chief Executive Officer,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 Refer to </w:t>
      </w:r>
      <w:r>
        <w:rPr>
          <w:rFonts w:ascii="Times New Roman" w:cs="Times New Roman" w:eastAsia="Times New Roman" w:hAnsi="Times New Roman"/>
          <w:sz w:val="18"/>
          <w:szCs w:val="18"/>
          <w:u w:val="single" w:color="auto"/>
          <w:color w:val="0000FF"/>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13</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Segment Information in our audited consolidated financial statements for reconciliations of net sales for our reportable segments to consolidated total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net sales and of segment operating income to consolidated income before taxes.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segment results, including a reconciliation to our consolidated results,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jc w:val="right"/>
              <w:ind w:right="111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1"/>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2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260" w:type="dxa"/>
            <w:vAlign w:val="bottom"/>
          </w:tcPr>
          <w:p>
            <w:pPr>
              <w:spacing w:after="0"/>
              <w:rPr>
                <w:sz w:val="18"/>
                <w:szCs w:val="18"/>
                <w:color w:val="auto"/>
              </w:rPr>
            </w:pPr>
          </w:p>
        </w:tc>
        <w:tc>
          <w:tcPr>
            <w:tcW w:w="164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0" w:type="dxa"/>
            <w:vAlign w:val="bottom"/>
          </w:tcPr>
          <w:p>
            <w:pPr>
              <w:spacing w:after="0"/>
              <w:rPr>
                <w:sz w:val="1"/>
                <w:szCs w:val="1"/>
                <w:color w:val="auto"/>
              </w:rPr>
            </w:pPr>
          </w:p>
        </w:tc>
      </w:tr>
      <w:tr>
        <w:trPr>
          <w:trHeight w:val="161"/>
        </w:trPr>
        <w:tc>
          <w:tcPr>
            <w:tcW w:w="7360" w:type="dxa"/>
            <w:vAlign w:val="bottom"/>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2,300.1</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2,805.4</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696.4</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(1)</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mark-to-market losses on commodity derivatives (2)</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associated with business realignment activities</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right="260" w:hanging="332"/>
        <w:spacing w:after="0" w:line="263" w:lineRule="auto"/>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w:t>
      </w:r>
    </w:p>
    <w:p>
      <w:pPr>
        <w:spacing w:after="0" w:line="56" w:lineRule="exact"/>
        <w:rPr>
          <w:rFonts w:ascii="Times New Roman" w:cs="Times New Roman" w:eastAsia="Times New Roman" w:hAnsi="Times New Roman"/>
          <w:sz w:val="16"/>
          <w:szCs w:val="16"/>
          <w:color w:val="auto"/>
        </w:rPr>
      </w:pPr>
    </w:p>
    <w:p>
      <w:pPr>
        <w:ind w:left="340" w:right="280" w:hanging="332"/>
        <w:spacing w:after="0" w:line="298" w:lineRule="auto"/>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Net losses (gains) on mark-to-market valuation of commodity derivative positions recognized in unallocated derivative losses (gains). See </w:t>
      </w:r>
      <w:r>
        <w:rPr>
          <w:rFonts w:ascii="Times New Roman" w:cs="Times New Roman" w:eastAsia="Times New Roman" w:hAnsi="Times New Roman"/>
          <w:sz w:val="16"/>
          <w:szCs w:val="16"/>
          <w:u w:val="single" w:color="auto"/>
          <w:color w:val="0000FF"/>
        </w:rPr>
        <w:t>Note 13</w:t>
      </w:r>
      <w:r>
        <w:rPr>
          <w:rFonts w:ascii="Times New Roman" w:cs="Times New Roman" w:eastAsia="Times New Roman" w:hAnsi="Times New Roman"/>
          <w:sz w:val="16"/>
          <w:szCs w:val="16"/>
          <w:color w:val="auto"/>
        </w:rPr>
        <w:t xml:space="preserve"> to the Unaudited Consolidated Financial Statements.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 Confectionery</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North America Confectionery segment is responsible for our chocolate and non-chocolate confectionery market position in the United States and Canada. This includes developing and growing our business in chocolate and non-chocolate confectionery, gum and refreshment products, protein bars, spreads, snack bites and mixes, as well as pantry and food service lines. While a less significant component, this segment also includes our retail operations, including Hershey’s Chocolate World stores in Hershey, Pennsylvania; New York, New York; Las Vegas, Nevada; Niagara Falls (Ontario) and Singapore, as well as operations associated with licensing the use of certain trademarks and products to third parties around the world. North America Confectionery results, which accounted for 80.2% and 82.0% of our net sales for the three months ended March 29, 2026 and March 30, 2025, respectively,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40" w:type="dxa"/>
            <w:vAlign w:val="bottom"/>
            <w:gridSpan w:val="5"/>
          </w:tcPr>
          <w:p>
            <w:pPr>
              <w:ind w:left="10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0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3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100" w:type="dxa"/>
            <w:vAlign w:val="bottom"/>
          </w:tcPr>
          <w:p>
            <w:pPr>
              <w:spacing w:after="0"/>
              <w:rPr>
                <w:sz w:val="18"/>
                <w:szCs w:val="18"/>
                <w:color w:val="auto"/>
              </w:rPr>
            </w:pPr>
          </w:p>
        </w:tc>
        <w:tc>
          <w:tcPr>
            <w:tcW w:w="208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0" w:type="dxa"/>
            <w:vAlign w:val="bottom"/>
          </w:tcPr>
          <w:p>
            <w:pPr>
              <w:spacing w:after="0"/>
              <w:rPr>
                <w:sz w:val="1"/>
                <w:szCs w:val="1"/>
                <w:color w:val="auto"/>
              </w:rPr>
            </w:pPr>
          </w:p>
        </w:tc>
      </w:tr>
      <w:tr>
        <w:trPr>
          <w:trHeight w:val="161"/>
        </w:trPr>
        <w:tc>
          <w:tcPr>
            <w:tcW w:w="4800" w:type="dxa"/>
            <w:vAlign w:val="bottom"/>
            <w:vMerge w:val="continue"/>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2,489.9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2,300.1</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300" w:type="dxa"/>
            <w:vAlign w:val="bottom"/>
          </w:tcPr>
          <w:p>
            <w:pPr>
              <w:spacing w:after="0"/>
              <w:rPr>
                <w:sz w:val="19"/>
                <w:szCs w:val="19"/>
                <w:color w:val="auto"/>
              </w:rPr>
            </w:pPr>
          </w:p>
        </w:tc>
        <w:tc>
          <w:tcPr>
            <w:tcW w:w="17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792.4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696.4</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31.8 %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30.3 %</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NOTE: Percentage changes may not compute directly as shown due to rounding of amounts presented above.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First Quarter 2026 vs. First Quarter 2025</w:t>
      </w:r>
    </w:p>
    <w:p>
      <w:pPr>
        <w:spacing w:after="0" w:line="162"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Net sales of our North America Confectionery segment were $2,489.9 million in the first quarter of 2026 compared to $2,300.1 million in the same period of 2025, an increase of $189.8 million, or 8.3%. The increase was driven by favorable price realization of approximately 12%, primarily due to the pricing action announced in 2025. Additionally, there was a minimal benefit from foreign currency exchange rates. Volume declined approximately 4%, driven by price elasticity and one fewer shipping day, partially offset by the timing of shipments and strong innovation performance.</w:t>
      </w:r>
    </w:p>
    <w:p>
      <w:pPr>
        <w:sectPr>
          <w:pgSz w:w="11900" w:h="16838" w:orient="portrait"/>
          <w:cols w:equalWidth="0" w:num="1">
            <w:col w:w="11240"/>
          </w:cols>
          <w:pgMar w:left="320" w:top="1440" w:right="339" w:bottom="0" w:gutter="0" w:footer="0" w:header="0"/>
        </w:sectPr>
      </w:pPr>
    </w:p>
    <w:bookmarkStart w:id="37" w:name="page38"/>
    <w:bookmarkEnd w:id="37"/>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North America Confectionery segment income was $792.4 million in the first quarter of 2026 compared to $696.4 million in the same period of 2025, an increase of $96.0 million, or 13.8%. The increase was driven primarily by higher net sales, favorable mix, and net savings related to our AAA Initiative, partially offset by volume declines, and increased commodity and tariff costs.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 Salty Snacks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North America Salty Snacks segment is responsible for our grocery and snacks market positions, including our salty snacking products. North America Salty Snacks results, which accounted for 11.3% and 9.9% of our net sales for the three months ended March 29, 2026 and March 30, 2025, respectively,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40" w:type="dxa"/>
            <w:vAlign w:val="bottom"/>
            <w:gridSpan w:val="5"/>
          </w:tcPr>
          <w:p>
            <w:pPr>
              <w:ind w:left="10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0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3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100" w:type="dxa"/>
            <w:vAlign w:val="bottom"/>
          </w:tcPr>
          <w:p>
            <w:pPr>
              <w:spacing w:after="0"/>
              <w:rPr>
                <w:sz w:val="18"/>
                <w:szCs w:val="18"/>
                <w:color w:val="auto"/>
              </w:rPr>
            </w:pPr>
          </w:p>
        </w:tc>
        <w:tc>
          <w:tcPr>
            <w:tcW w:w="208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0" w:type="dxa"/>
            <w:vAlign w:val="bottom"/>
          </w:tcPr>
          <w:p>
            <w:pPr>
              <w:spacing w:after="0"/>
              <w:rPr>
                <w:sz w:val="1"/>
                <w:szCs w:val="1"/>
                <w:color w:val="auto"/>
              </w:rPr>
            </w:pPr>
          </w:p>
        </w:tc>
      </w:tr>
      <w:tr>
        <w:trPr>
          <w:trHeight w:val="161"/>
        </w:trPr>
        <w:tc>
          <w:tcPr>
            <w:tcW w:w="4800" w:type="dxa"/>
            <w:vAlign w:val="bottom"/>
            <w:vMerge w:val="continue"/>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350.1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300" w:type="dxa"/>
            <w:vAlign w:val="bottom"/>
          </w:tcPr>
          <w:p>
            <w:pPr>
              <w:spacing w:after="0"/>
              <w:rPr>
                <w:sz w:val="19"/>
                <w:szCs w:val="19"/>
                <w:color w:val="auto"/>
              </w:rPr>
            </w:pPr>
          </w:p>
        </w:tc>
        <w:tc>
          <w:tcPr>
            <w:tcW w:w="17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15.1 %</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NOTE: Percentage changes may not compute directly as shown due to rounding of amounts presented above.</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First Quarter 2026 vs. First Quarter 2025</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Net sales of our North America Salty Snacks segment were $350.1 million in the first quarter of 2026 compared to $277.8 million in the same period of 2025, an increase of $72.3 million, or 26.0%. The increase was predominantly due to the acquisition of LesserEvil in November 2025, which provided a benefit of approximately 20%. Further, volume increased approximately 5%, primarily driven by </w:t>
      </w:r>
      <w:r>
        <w:rPr>
          <w:rFonts w:ascii="Times New Roman" w:cs="Times New Roman" w:eastAsia="Times New Roman" w:hAnsi="Times New Roman"/>
          <w:sz w:val="18"/>
          <w:szCs w:val="18"/>
          <w:i w:val="1"/>
          <w:iCs w:val="1"/>
          <w:color w:val="auto"/>
        </w:rPr>
        <w:t>Dot’s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Reese’s</w:t>
      </w:r>
      <w:r>
        <w:rPr>
          <w:rFonts w:ascii="Times New Roman" w:cs="Times New Roman" w:eastAsia="Times New Roman" w:hAnsi="Times New Roman"/>
          <w:sz w:val="18"/>
          <w:szCs w:val="18"/>
          <w:color w:val="auto"/>
        </w:rPr>
        <w:t xml:space="preserve"> Filled Pretzels. Price realization was flat in the first three months of 2026 compared to the same period of 2025.</w:t>
      </w:r>
    </w:p>
    <w:p>
      <w:pPr>
        <w:spacing w:after="0" w:line="4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North America Salty Snacks segment income was $34.3 million in the first quarter of 2026 compared to $41.9 million in the same period of 2025, a decrease of $7.6 million, or 18.1%. The decrease was primarily due to higher supply chain costs, including costs related to a voluntary temporary product withdrawal, and increased SM&amp;A expenses.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1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International segment includes all other countries where we currently manufacture, import, market, sell or distribute chocolate and non-chocolate confectionery and other products. We currently have operations and manufacture product in Mexico, Brazil, India and Malaysia, primarily for consumers in these regions, and also distribute and sell confectionery products in export markets of Latin America, as well as Europe, Asia-Pacific (“APAC”), the Middle East and Africa (“MEA”) and other regions. International results, which accounted for 8.5% and 8.1% of our net sales for the three months ended March 29, 2026 and March 30, 2025, respectively,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40" w:type="dxa"/>
            <w:vAlign w:val="bottom"/>
            <w:gridSpan w:val="5"/>
          </w:tcPr>
          <w:p>
            <w:pPr>
              <w:ind w:left="10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0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3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100" w:type="dxa"/>
            <w:vAlign w:val="bottom"/>
          </w:tcPr>
          <w:p>
            <w:pPr>
              <w:spacing w:after="0"/>
              <w:rPr>
                <w:sz w:val="18"/>
                <w:szCs w:val="18"/>
                <w:color w:val="auto"/>
              </w:rPr>
            </w:pPr>
          </w:p>
        </w:tc>
        <w:tc>
          <w:tcPr>
            <w:tcW w:w="208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Percent Change</w:t>
            </w:r>
          </w:p>
        </w:tc>
        <w:tc>
          <w:tcPr>
            <w:tcW w:w="0" w:type="dxa"/>
            <w:vAlign w:val="bottom"/>
          </w:tcPr>
          <w:p>
            <w:pPr>
              <w:spacing w:after="0"/>
              <w:rPr>
                <w:sz w:val="1"/>
                <w:szCs w:val="1"/>
                <w:color w:val="auto"/>
              </w:rPr>
            </w:pPr>
          </w:p>
        </w:tc>
      </w:tr>
      <w:tr>
        <w:trPr>
          <w:trHeight w:val="161"/>
        </w:trPr>
        <w:tc>
          <w:tcPr>
            <w:tcW w:w="4800" w:type="dxa"/>
            <w:vAlign w:val="bottom"/>
            <w:vMerge w:val="continue"/>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264.2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227.5</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300" w:type="dxa"/>
            <w:vAlign w:val="bottom"/>
          </w:tcPr>
          <w:p>
            <w:pPr>
              <w:spacing w:after="0"/>
              <w:rPr>
                <w:sz w:val="19"/>
                <w:szCs w:val="19"/>
                <w:color w:val="auto"/>
              </w:rPr>
            </w:pPr>
          </w:p>
        </w:tc>
        <w:tc>
          <w:tcPr>
            <w:tcW w:w="17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12.6 %</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NOTE: Percentage changes may not compute directly as shown due to rounding of amounts presented above.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First Quarter 2026 vs. First Quarter 2025</w:t>
      </w:r>
    </w:p>
    <w:p>
      <w:pPr>
        <w:spacing w:after="0" w:line="108"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Net sales of our International segment were $264.2 million in the first quarter of 2026 compared to $227.5 million in the same period of 2025, an increase of $36.7 million, or 16.1%. The increase was due to favorable price realization of approximately 12%, resulting from strategic pricing actions across key markets, as well as a favorable impact from foreign currency exchange rates of approximately 6.8%. The increase was partially offset by volume declines of approximately 2%, primarily driven by price elasticity across markets.</w:t>
      </w:r>
    </w:p>
    <w:p>
      <w:pPr>
        <w:spacing w:after="0" w:line="5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Our International segment generated income of $15.3 million in the first quarter of 2026 compared to $28.7 million in income in the first quarter of 2025, a decrease of $13.4 million, or 46.8%, driven by higher commodity and manufacturing costs and advertising investment, partially offset by favorable price realization, supply chain productivity, and net savings related to our AAA Initiative.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Corporate Expense</w:t>
      </w:r>
    </w:p>
    <w:p>
      <w:pPr>
        <w:spacing w:after="0" w:line="7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w:t>
      </w:r>
    </w:p>
    <w:p>
      <w:pPr>
        <w:spacing w:after="0" w:line="5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first quarter of 2026, unallocated corporate expense totaled $157.7 million, as compared to $160.4 million in the first quarter of 2025, a decrease of $2.7 million, or 1.7%. The decrease was primarily driven by lower compensation and benefits costs, as well as consulting fees, partially offset by continued investments in technology.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spacing w:after="0" w:line="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March 29, 2026, our cash and cash equivalents totaled $877.0 million, a decrease of $48.8 million compared to the 2025 year-end balance. Additional detail regarding the net uses of cash are outlined in the following discussion. Additionally, at March 29, 2026, we had outstanding short- and long-term debt totaling $5.4 billion, of which $504.1 million was classified as the current portion of long-term debt. Of the $504.1 million, $500 million of 2.300% Notes are due upon maturity on August 15, 2026. We believe we can satisfy these debt obligations with cash generated from our operations, issuing new debt, and/or by borrowing on our unsecured credit facility.</w:t>
      </w:r>
    </w:p>
    <w:p>
      <w:pPr>
        <w:sectPr>
          <w:pgSz w:w="11900" w:h="16838" w:orient="portrait"/>
          <w:cols w:equalWidth="0" w:num="1">
            <w:col w:w="11240"/>
          </w:cols>
          <w:pgMar w:left="320" w:top="121" w:right="339" w:bottom="0" w:gutter="0" w:footer="0" w:header="0"/>
        </w:sectPr>
      </w:pPr>
    </w:p>
    <w:bookmarkStart w:id="38" w:name="page39"/>
    <w:bookmarkEnd w:id="38"/>
    <w:p>
      <w:pPr>
        <w:spacing w:after="0" w:line="255" w:lineRule="auto"/>
        <w:rPr>
          <w:sz w:val="20"/>
          <w:szCs w:val="20"/>
          <w:color w:val="auto"/>
        </w:rPr>
      </w:pPr>
      <w:r>
        <w:rPr>
          <w:rFonts w:ascii="Times New Roman" w:cs="Times New Roman" w:eastAsia="Times New Roman" w:hAnsi="Times New Roman"/>
          <w:sz w:val="18"/>
          <w:szCs w:val="18"/>
          <w:color w:val="auto"/>
        </w:rPr>
        <w:t>Approximately 50% of the balance of our cash and cash equivalents at March 29, 2026 was held by subsidiaries domiciled outside of the United States. A majority of our cash and cash equivalents balance is distributable to the United States without material tax implications, such as withholding tax. We intend to continue to reinvest the remainder of this balance outside of the United States for which there would be a material tax implication to distributing for the foreseeable future and, therefore, have not recognized additional tax expense on these earnings. We believe that our existing sources of liquidity are adequate to meet anticipated funding needs at comparable risk-based interest rates for the foreseeable future. Acquisition spending and/or share repurchases could potentially increase our debt. Operating cash flow and access to capital markets are expected to satisfy our various short- and long-term cash flow requirements, including acquisitions and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525780</wp:posOffset>
            </wp:positionV>
            <wp:extent cx="19685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Cash Flow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derived from our Consolidated Statements of Cash Flows: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gridSpan w:val="4"/>
          </w:tcPr>
          <w:p>
            <w:pPr>
              <w:jc w:val="right"/>
              <w:ind w:right="135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00" w:type="dxa"/>
            <w:vAlign w:val="bottom"/>
          </w:tcPr>
          <w:p>
            <w:pPr>
              <w:spacing w:after="0"/>
              <w:rPr>
                <w:sz w:val="18"/>
                <w:szCs w:val="18"/>
                <w:color w:val="auto"/>
              </w:rPr>
            </w:pP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320" w:type="dxa"/>
            <w:vAlign w:val="bottom"/>
          </w:tcPr>
          <w:p>
            <w:pPr>
              <w:spacing w:after="0"/>
              <w:rPr>
                <w:sz w:val="18"/>
                <w:szCs w:val="18"/>
                <w:color w:val="auto"/>
              </w:rPr>
            </w:pPr>
          </w:p>
        </w:tc>
        <w:tc>
          <w:tcPr>
            <w:tcW w:w="180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225"/>
        </w:trPr>
        <w:tc>
          <w:tcPr>
            <w:tcW w:w="6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r>
      <w:tr>
        <w:trPr>
          <w:trHeight w:val="22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r>
      <w:tr>
        <w:trPr>
          <w:trHeight w:val="229"/>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r>
      <w:tr>
        <w:trPr>
          <w:trHeight w:val="230"/>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r>
      <w:tr>
        <w:trPr>
          <w:trHeight w:val="229"/>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784.5</w:t>
            </w:r>
          </w:p>
        </w:tc>
      </w:tr>
      <w:tr>
        <w:trPr>
          <w:trHeight w:val="20"/>
        </w:trPr>
        <w:tc>
          <w:tcPr>
            <w:tcW w:w="6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generated cash of $468.8 million from operating activities in the first three months of 2026, an increase of $72.1 million compared to $396.7 million in the same period of 2025. This increase in net cash provided by operating activities was mainly driven by the following factors:</w:t>
      </w:r>
    </w:p>
    <w:p>
      <w:pPr>
        <w:spacing w:after="0" w:line="108" w:lineRule="exact"/>
        <w:rPr>
          <w:sz w:val="20"/>
          <w:szCs w:val="20"/>
          <w:color w:val="auto"/>
        </w:rPr>
      </w:pPr>
    </w:p>
    <w:p>
      <w:pPr>
        <w:ind w:left="340" w:right="640" w:hanging="332"/>
        <w:spacing w:after="0" w:line="282"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assets and liabilities consumed cash of $157.8 million in 2026, compared to $369.9 million in 2025. This $212.1 million fluctuation was primarily driven by the timing of certain prepaid expenses and other current assets.</w:t>
      </w:r>
    </w:p>
    <w:p>
      <w:pPr>
        <w:spacing w:after="0" w:line="107" w:lineRule="exact"/>
        <w:rPr>
          <w:rFonts w:ascii="Times New Roman" w:cs="Times New Roman" w:eastAsia="Times New Roman" w:hAnsi="Times New Roman"/>
          <w:sz w:val="18"/>
          <w:szCs w:val="18"/>
          <w:color w:val="auto"/>
        </w:rPr>
      </w:pPr>
    </w:p>
    <w:p>
      <w:pPr>
        <w:ind w:left="340" w:right="480" w:hanging="332"/>
        <w:spacing w:after="0" w:line="312" w:lineRule="auto"/>
        <w:tabs>
          <w:tab w:leader="none" w:pos="3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adjusted for non-cash charges to operations (including depreciation, amortization, stock-based compensation, deferred income taxes, unrealized gains and losses on derivative contracts and other charges) resulted in $107.3 million of higher cash flow in 2026 relative to 2025.</w:t>
      </w:r>
    </w:p>
    <w:p>
      <w:pPr>
        <w:spacing w:after="0" w:line="85" w:lineRule="exact"/>
        <w:rPr>
          <w:rFonts w:ascii="Times New Roman" w:cs="Times New Roman" w:eastAsia="Times New Roman" w:hAnsi="Times New Roman"/>
          <w:sz w:val="17"/>
          <w:szCs w:val="17"/>
          <w:color w:val="auto"/>
        </w:rPr>
      </w:pPr>
    </w:p>
    <w:p>
      <w:pPr>
        <w:ind w:left="340" w:right="620" w:hanging="332"/>
        <w:spacing w:after="0" w:line="282"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variance in operating cash flows related to income taxes reflects timing differences between actual tax expense and quarterly estimated tax payments. We paid cash of $24.4 million for income taxes during 2026, compared to $38.9 million in the same period of 2025.</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cash provided by operating activities was partially offset by the following net cash outflows:</w:t>
      </w:r>
    </w:p>
    <w:p>
      <w:pPr>
        <w:spacing w:after="0" w:line="171" w:lineRule="exact"/>
        <w:rPr>
          <w:sz w:val="20"/>
          <w:szCs w:val="20"/>
          <w:color w:val="auto"/>
        </w:rPr>
      </w:pPr>
    </w:p>
    <w:p>
      <w:pPr>
        <w:jc w:val="both"/>
        <w:ind w:left="980" w:right="120" w:hanging="324"/>
        <w:spacing w:after="0" w:line="261" w:lineRule="auto"/>
        <w:tabs>
          <w:tab w:leader="none" w:pos="97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aggregate, select net working capital items, specifically, trade accounts receivable, inventory, accounts payable and accrued liabilities, consumed cash of $230.6 million in 2026, compared to generating cash of $55.4 million in 2025. This $286.0 million fluctuation was mainly driven by an increase in trade accounts receivable and a decrease in accounts payable and accrued liabilities, due to the timing of vendor and supplier payments, partially offset by lower inventory levels.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used cash of $117.1 million for investing activities in the first three months of 2026, a decrease of $29.9 million compared to $147.0 million in the same period of 2025. This decrease in net cash used in investing activities was mainly driven by the following factors:</w:t>
      </w:r>
    </w:p>
    <w:p>
      <w:pPr>
        <w:spacing w:after="0" w:line="106" w:lineRule="exact"/>
        <w:rPr>
          <w:sz w:val="20"/>
          <w:szCs w:val="20"/>
          <w:color w:val="auto"/>
        </w:rPr>
      </w:pPr>
    </w:p>
    <w:p>
      <w:pPr>
        <w:ind w:left="340" w:right="200" w:hanging="332"/>
        <w:spacing w:after="0" w:line="258" w:lineRule="auto"/>
        <w:tabs>
          <w:tab w:leader="none" w:pos="33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Capital spending</w:t>
      </w:r>
      <w:r>
        <w:rPr>
          <w:rFonts w:ascii="Times New Roman" w:cs="Times New Roman" w:eastAsia="Times New Roman" w:hAnsi="Times New Roman"/>
          <w:sz w:val="18"/>
          <w:szCs w:val="18"/>
          <w:color w:val="auto"/>
        </w:rPr>
        <w:t>. Capital expenditures, including capitalized software, capacity expansion, innovation and cost savings, were $114.6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three months of 2026 compared to $145.5 million in the same period of 2025. The decrease in our 2026 capital expenditures is largely driven by the wind down of our key strategic initiatives, as we expect 2026 capital expenditures, including capitalized software, to be in the range of approximately $425 million to $475 million, reflecting a trend towards historical levels. We intend to use our existing cash and internally generated funds to meet our 2026 capital requirements.</w:t>
      </w:r>
    </w:p>
    <w:p>
      <w:pPr>
        <w:spacing w:after="0" w:line="129" w:lineRule="exact"/>
        <w:rPr>
          <w:rFonts w:ascii="Times New Roman" w:cs="Times New Roman" w:eastAsia="Times New Roman" w:hAnsi="Times New Roman"/>
          <w:sz w:val="18"/>
          <w:szCs w:val="18"/>
          <w:i w:val="1"/>
          <w:iCs w:val="1"/>
          <w:color w:val="auto"/>
        </w:rPr>
      </w:pPr>
    </w:p>
    <w:p>
      <w:pPr>
        <w:ind w:left="340" w:right="200" w:hanging="332"/>
        <w:spacing w:after="0" w:line="267"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Investments in partnerships qualifying for tax credits</w:t>
      </w:r>
      <w:r>
        <w:rPr>
          <w:rFonts w:ascii="Times New Roman" w:cs="Times New Roman" w:eastAsia="Times New Roman" w:hAnsi="Times New Roman"/>
          <w:sz w:val="18"/>
          <w:szCs w:val="18"/>
          <w:color w:val="auto"/>
        </w:rPr>
        <w:t>. We make investments in partnership entities that in turn make equity investments in projects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to receive federal historic and renewable energy tax credits. We received payments of approximately $3.6 million in the first three months of 2026, which is consistent with the same period of 2025.</w:t>
      </w:r>
    </w:p>
    <w:p>
      <w:pPr>
        <w:spacing w:after="0" w:line="11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investing activities</w:t>
      </w:r>
      <w:r>
        <w:rPr>
          <w:rFonts w:ascii="Times New Roman" w:cs="Times New Roman" w:eastAsia="Times New Roman" w:hAnsi="Times New Roman"/>
          <w:sz w:val="18"/>
          <w:szCs w:val="18"/>
          <w:color w:val="auto"/>
        </w:rPr>
        <w:t>. In the first three months of 2026 and 2025, our other investing activities were minimal.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292735</wp:posOffset>
            </wp:positionV>
            <wp:extent cx="19685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used cash of $402.8 million for financing activities in the first three months of 2026, a decrease of $939.9 million compared to cash generated of $537.1 million in the same period of 2025. This decrease in net cash generated in financing activities was mainly driven by the following factors:</w:t>
      </w:r>
    </w:p>
    <w:p>
      <w:pPr>
        <w:spacing w:after="0" w:line="106" w:lineRule="exact"/>
        <w:rPr>
          <w:sz w:val="20"/>
          <w:szCs w:val="20"/>
          <w:color w:val="auto"/>
        </w:rPr>
      </w:pPr>
    </w:p>
    <w:p>
      <w:pPr>
        <w:ind w:left="340" w:right="360" w:hanging="332"/>
        <w:spacing w:after="0" w:line="261" w:lineRule="auto"/>
        <w:tabs>
          <w:tab w:leader="none" w:pos="33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Short-term borrowings, net. </w:t>
      </w:r>
      <w:r>
        <w:rPr>
          <w:rFonts w:ascii="Times New Roman" w:cs="Times New Roman" w:eastAsia="Times New Roman" w:hAnsi="Times New Roman"/>
          <w:sz w:val="18"/>
          <w:szCs w:val="18"/>
          <w:color w:val="auto"/>
        </w:rPr>
        <w:t>In addition to utilizing cash on hand, we use short-term borrowings (commercial paper and bank borrowings) to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seasonal working capital requirements and ongoing business needs. During the first three months of 2026, we used cash of $48.0 million to reduce short-term foreign bank borrowings. During the first three months of 2025, we used cash of $1.2 billion to reduce short-term commercial paper borrowings and short-term foreign bank borrowings.</w:t>
      </w:r>
    </w:p>
    <w:p>
      <w:pPr>
        <w:spacing w:after="0" w:line="125" w:lineRule="exact"/>
        <w:rPr>
          <w:rFonts w:ascii="Times New Roman" w:cs="Times New Roman" w:eastAsia="Times New Roman" w:hAnsi="Times New Roman"/>
          <w:sz w:val="18"/>
          <w:szCs w:val="18"/>
          <w:i w:val="1"/>
          <w:iCs w:val="1"/>
          <w:color w:val="auto"/>
        </w:rPr>
      </w:pPr>
    </w:p>
    <w:p>
      <w:pPr>
        <w:ind w:left="340" w:right="140" w:hanging="332"/>
        <w:spacing w:after="0" w:line="261"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debt borrowings and repayments</w:t>
      </w:r>
      <w:r>
        <w:rPr>
          <w:rFonts w:ascii="Times New Roman" w:cs="Times New Roman" w:eastAsia="Times New Roman" w:hAnsi="Times New Roman"/>
          <w:sz w:val="18"/>
          <w:szCs w:val="18"/>
          <w:color w:val="auto"/>
        </w:rPr>
        <w:t>. During the first three months of 2026, long-term debt borrowings and repayments were minimal.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three months of 2025, we issued $500 million of 4.550% Notes due in February 2028, $500 million of 4.750% Notes due in February 2030, $500 million of 4.950% Notes due in February 2032 and $500 million of 5.100% Notes due in February 2035 (together, the “2025 Notes”). Proceeds from the issuance of the 2025 Notes, net of discounts and issuance costs, totaled $2.0 billion. We had minimal payment activity.</w:t>
      </w:r>
    </w:p>
    <w:p>
      <w:pPr>
        <w:spacing w:after="0" w:line="125" w:lineRule="exact"/>
        <w:rPr>
          <w:rFonts w:ascii="Times New Roman" w:cs="Times New Roman" w:eastAsia="Times New Roman" w:hAnsi="Times New Roman"/>
          <w:sz w:val="18"/>
          <w:szCs w:val="18"/>
          <w:color w:val="auto"/>
        </w:rPr>
      </w:pPr>
    </w:p>
    <w:p>
      <w:pPr>
        <w:jc w:val="both"/>
        <w:ind w:left="340" w:right="160" w:hanging="332"/>
        <w:spacing w:after="0" w:line="267"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payments</w:t>
      </w:r>
      <w:r>
        <w:rPr>
          <w:rFonts w:ascii="Times New Roman" w:cs="Times New Roman" w:eastAsia="Times New Roman" w:hAnsi="Times New Roman"/>
          <w:sz w:val="18"/>
          <w:szCs w:val="18"/>
          <w:color w:val="auto"/>
        </w:rPr>
        <w:t>. Total dividend payments to holders of our Common Stock and Class B Common Stock were $288.0 million during the first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of 2026, an increase of $16.4 million compared to $271.6 million in the same period of 2025. Details regarding our 2026 cash dividends paid to stockholders are as follows: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223"/>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amounts</w:t>
            </w:r>
          </w:p>
        </w:tc>
        <w:tc>
          <w:tcPr>
            <w:tcW w:w="340" w:type="dxa"/>
            <w:vAlign w:val="bottom"/>
          </w:tcPr>
          <w:p>
            <w:pPr>
              <w:spacing w:after="0"/>
              <w:rPr>
                <w:sz w:val="19"/>
                <w:szCs w:val="19"/>
                <w:color w:val="auto"/>
              </w:rPr>
            </w:pPr>
          </w:p>
        </w:tc>
        <w:tc>
          <w:tcPr>
            <w:tcW w:w="20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March 29, 2026</w:t>
            </w:r>
          </w:p>
        </w:tc>
      </w:tr>
      <w:tr>
        <w:trPr>
          <w:trHeight w:val="223"/>
        </w:trPr>
        <w:tc>
          <w:tcPr>
            <w:tcW w:w="8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per share – Common stock</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r>
      <w:tr>
        <w:trPr>
          <w:trHeight w:val="229"/>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 paid per share – Class B common stock</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r>
      <w:tr>
        <w:trPr>
          <w:trHeight w:val="230"/>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dividends paid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r>
    </w:tbl>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Declaration date</w:t>
            </w: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4, 2026</w:t>
            </w: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Record date</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17,</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date</w:t>
            </w:r>
          </w:p>
        </w:tc>
        <w:tc>
          <w:tcPr>
            <w:tcW w:w="4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16,</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2026</w:t>
            </w:r>
          </w:p>
        </w:tc>
      </w:tr>
    </w:tbl>
    <w:p>
      <w:pPr>
        <w:spacing w:after="0" w:line="218" w:lineRule="exact"/>
        <w:rPr>
          <w:sz w:val="20"/>
          <w:szCs w:val="20"/>
          <w:color w:val="auto"/>
        </w:rPr>
      </w:pPr>
    </w:p>
    <w:p>
      <w:pPr>
        <w:ind w:left="340" w:right="160" w:hanging="332"/>
        <w:spacing w:after="0" w:line="258" w:lineRule="auto"/>
        <w:tabs>
          <w:tab w:leader="none" w:pos="33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Share repurchases</w:t>
      </w:r>
      <w:r>
        <w:rPr>
          <w:rFonts w:ascii="Times New Roman" w:cs="Times New Roman" w:eastAsia="Times New Roman" w:hAnsi="Times New Roman"/>
          <w:sz w:val="18"/>
          <w:szCs w:val="18"/>
          <w:color w:val="auto"/>
        </w:rPr>
        <w:t>. We repurchase shares of Common Stock to offset the dilutive impact of treasury shares issued under our equity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The value of these share repurchases in a given period varies based on the volume of stock options exercised and our market price. In addition, we periodically repurchase shares of Common Stock pursuant to Board-authorized programs intended to drive additional stockholder value. We used cash for total share repurchases in the open market to replace Treasury Stock issued for stock options and incentive compensation of $69.3 million during the first three months of 2026. We did not repurchase any shares during the first three months of 2025.</w:t>
      </w:r>
    </w:p>
    <w:p>
      <w:pPr>
        <w:spacing w:after="0" w:line="129" w:lineRule="exact"/>
        <w:rPr>
          <w:rFonts w:ascii="Times New Roman" w:cs="Times New Roman" w:eastAsia="Times New Roman" w:hAnsi="Times New Roman"/>
          <w:sz w:val="18"/>
          <w:szCs w:val="18"/>
          <w:i w:val="1"/>
          <w:iCs w:val="1"/>
          <w:color w:val="auto"/>
        </w:rPr>
      </w:pPr>
    </w:p>
    <w:p>
      <w:pPr>
        <w:ind w:left="340" w:hanging="332"/>
        <w:spacing w:after="0" w:line="261" w:lineRule="auto"/>
        <w:tabs>
          <w:tab w:leader="none" w:pos="33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Proceeds from exercised stock options and employee tax withholding. </w:t>
      </w:r>
      <w:r>
        <w:rPr>
          <w:rFonts w:ascii="Times New Roman" w:cs="Times New Roman" w:eastAsia="Times New Roman" w:hAnsi="Times New Roman"/>
          <w:sz w:val="18"/>
          <w:szCs w:val="18"/>
          <w:color w:val="auto"/>
        </w:rPr>
        <w:t>During the first three months of 2026, we received $15.0 million from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exercises of stock options and paid $11.0 million of employee taxes withheld from share-based awards. During the first three months of 2025, we received $2.7 million from employee exercises of stock options and paid $12.6 million of employee taxes withheld from share-based awards. Variances are driven primarily by the number of shares exercised and the share price at the date of grant.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on recently adopted and issued accounting standards is included in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to the Unaudited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08"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For information regarding the Company’s critical accounting estimates, refer to Part II, Item 7, “Management’s Discussion and Analysis of Financial Condition and Results of Operations” of our 2025 Annual Report on Form 10-K. There have been no material changes to the Company’s critical accounting estimates since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260350</wp:posOffset>
            </wp:positionV>
            <wp:extent cx="19685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Quarterly Report on Form 10-Q. Many of these forward-looking statements can be identified by the use of words such as “anticipate,” “assume,” “believe,” “continue,” “estimate,” “expect,” “forecast,” “future,” “intend,” “plan,” “potential,” “predict,” “project,” “strategy,” “target” and similar terms, and future or conditional tense verbs like “could,” “may,” “might,” “should,” “will” and “would,” among others.</w:t>
      </w:r>
    </w:p>
    <w:p>
      <w:pPr>
        <w:spacing w:after="0" w:line="21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factors that could cause our actual results to differ materially from the results projected in our forward-looking statements include, but are not limited to the following:</w:t>
      </w:r>
    </w:p>
    <w:p>
      <w:pPr>
        <w:spacing w:after="0" w:line="189" w:lineRule="exact"/>
        <w:rPr>
          <w:sz w:val="20"/>
          <w:szCs w:val="20"/>
          <w:color w:val="auto"/>
        </w:rPr>
      </w:pPr>
    </w:p>
    <w:p>
      <w:pPr>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Company’s reputation or brand image might be impacted as a result of issues, concerns or regulatory changes relating to the quality and safety of our products, ingredients or packaging, human and workplace rights, and other environmental, social or governance matters, which in turn could result in litigation or otherwise negatively impact our operating results;</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manufacturing operations or supply chain could impair our ability to produce or deliver finished products, resulting in a negative impact on our operating results;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be able to hire, engage and retain the talented global human capital we need to drive our growth strategies;</w:t>
      </w:r>
    </w:p>
    <w:p>
      <w:pPr>
        <w:spacing w:after="0" w:line="252"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climate change and other environmental impacts, and increased focus and evolving views of our customers, stockholders and other stakeholders on climate change issues, could negatively affect our business and operations;</w:t>
      </w:r>
    </w:p>
    <w:p>
      <w:pPr>
        <w:spacing w:after="0" w:line="188"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raw material and energy costs along with the availability of adequate supplies of raw materials could continue to affect future financial results;</w:t>
      </w:r>
    </w:p>
    <w:p>
      <w:pPr>
        <w:spacing w:after="0" w:line="188"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 may not be sufficient to offset cost increases and maintain profitability or may result in sales volume declines associated with pricing elasticity;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new and existing products could decline;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marketplace competition could hurt our business;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may be adversely impacted by the failure to successfully execute or integrate acquisitions, divestitures and joint ventures;</w:t>
      </w:r>
    </w:p>
    <w:p>
      <w:pPr>
        <w:spacing w:after="0" w:line="252"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may not achieve projected growth objectives, which could adversely impact our overall business and results of operations;</w:t>
      </w:r>
    </w:p>
    <w:p>
      <w:pPr>
        <w:spacing w:after="0" w:line="188"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fully realize the expected cost savings and/or operating efficiencies associated with our strategic initiatives or restructuring programs, which may have an adverse impact on our business;</w:t>
      </w:r>
    </w:p>
    <w:p>
      <w:pPr>
        <w:spacing w:after="0" w:line="18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laws, regulations and policies, including taxes and tariffs, could increase our costs and liabilities or impact demand for our products;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and/or financial market conditions, including impacts on our business arising from the ongoing conflict in the Middle East, could negatively impact our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405765</wp:posOffset>
            </wp:positionV>
            <wp:extent cx="19685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ind w:left="660" w:right="6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failures or security breaches of our information technology infrastructure could have a negative impact on our operations and financial results;</w:t>
      </w:r>
    </w:p>
    <w:p>
      <w:pPr>
        <w:spacing w:after="0" w:line="188"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Complications with the design or implementation of our enterprise resource planning system could adversely impact our business and operations; and</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as discussed in our 2025 Annual Report on Form 10-K and this Quarterly Report on Form 10-Q, including Part II, Item 1A, ”Risk Factors.”</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or revise any forward-looking statements to reflect actual results, changes in expectations or events or circumstances after the date this Quarterly Report on Form 10-Q is filed.</w:t>
      </w:r>
    </w:p>
    <w:p>
      <w:pPr>
        <w:spacing w:after="0" w:line="198" w:lineRule="exact"/>
        <w:rPr>
          <w:sz w:val="20"/>
          <w:szCs w:val="20"/>
          <w:color w:val="auto"/>
        </w:rPr>
      </w:pPr>
    </w:p>
    <w:p>
      <w:pPr>
        <w:ind w:right="4180"/>
        <w:spacing w:after="0" w:line="440"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Interest Rate Risk</w:t>
      </w:r>
    </w:p>
    <w:p>
      <w:pPr>
        <w:spacing w:after="0" w:line="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total amount of short-term debt, net of cash, amounted to net cash of $708 million and $707 million, at March 29, 2026 and December 31, 2025, respectively. A hypothetical 100 basis point increase in interest rates applied to this variable-rate short-term debt as of March 29, 2026 would have changed interest expense by approximately $1.8 million for the first three months of 2026 and $3.4 million for 2025.</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March 29, 2026 and December 31, 2025 by approximately $233 million and $236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are exposed to currency fluctuations related to manufacturing or selling products in currencies other than the U.S. dollar. We may enter into foreign currency forward exchange contracts to reduce fluctuations in our long or short currency positions relating primarily to purchase commitments or forecasted purchases for equipment, raw materials and finished goods denominated in foreign currencies.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fair value of foreign currency forward exchange contracts represents the difference between the contracted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 The potential decline in fair value of foreign currency forward exchange contracts resulting from a hypothetical near-term adverse change in market rates of 10% was $31.6 million as of March 29, 2026 and $38.7 million as of December 31, 2025, generally offset by a reduction in foreign exchange associated with our transactional activities.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Commodities—Price Risk Management and Derivative Contracts</w:t>
      </w:r>
    </w:p>
    <w:p>
      <w:pPr>
        <w:spacing w:after="0" w:line="17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use futures and options contracts and other commodity derivative instruments in combination with forward purchasing of cocoa products, sugar, corn products, certain dairy products, wheat products, natural gas and diesel fuel primarily to mitigate price volatility and provide visibility to future costs within our supply chain. Significant changes impacting our commodity price risk management since our 2025 Annual Report on Form 10-K are described below.</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Cocoa Products</w:t>
      </w:r>
    </w:p>
    <w:p>
      <w:pPr>
        <w:spacing w:after="0" w:line="17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first three months of 2026, the average cocoa futures contract price was $1.86 per pound, with a trading range of $1.29 to $2.86 per pound, based on the Intercontinental Exchange futures contract. This average cocoa futures contract price represents a decline of approximately 49% compared to the 2025 annual average of $3.64 per pound.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260350</wp:posOffset>
            </wp:positionV>
            <wp:extent cx="19685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43" w:name="page44"/>
    <w:bookmarkEnd w:id="43"/>
    <w:p>
      <w:pPr>
        <w:spacing w:after="0" w:line="4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cocoa supply-demand outlook has improved substantially in the first three months of 2026. After three years of deficit, the 2024-2025 season finished with a supply surplus. In addition, the outlook for the 2025-2026 season is very positive, with a large surplus predicted by most analysts. Output in all major regions is forecast to grow, including Côte d’Ivoire and Ghana, while demand has now contracted for 11 consecutive quarters according to published quarterly reports. Activity on the two major futures exchanges has also improved during the quarter, with trading volumes approaching more normal levels following considerable declines during the previous two years.</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costs for cocoa products will not necessarily reflect market price fluctuations because of our forward purchasing and hedging practices (including amount and duration thereof), premiums and discounts reflective of varying delivery times, and supply and demand for our specific varieties and grades of cocoa liquor, cocoa butter and cocoa powder. We generally hedge commodity price risks for 3- to 24-month periods. As a result, the average market prices are not necessarily indicative of our average costs.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Sensitivity Analysis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open commodity derivative contracts had a notional value of $925.2 million as of March 29, 2026 and $667.4 million as of December 31, 2025. At the end of the first quarter of 2026, the potential change in fair value of commodity derivative instruments, assuming a 10% decrease in the underlying commodity price, would have decreased our net unrealized losses by $32.5 million, generally offset by a reduction in the cost of the underlying commodity purchases.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about our market risks, see Item 7A under Part II of our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291465</wp:posOffset>
            </wp:positionV>
            <wp:extent cx="19685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4" w:name="page45"/>
    <w:bookmarkEnd w:id="44"/>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March 29, 2026. Based on this evaluation, our Chief Executive Officer and Chief Financial Officer concluded that our disclosure controls and procedures were effective as of March 29,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Company’s internal control over financial reporting during the quarter ended March 29, 2026, that have materially affected, or are reasonably likely to materially affect,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362585</wp:posOffset>
            </wp:positionV>
            <wp:extent cx="19685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on legal proceedings is included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to the Unaudited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When evaluating an investment in our Common Stock, investors should consider carefully, among other things, the risk factors previously disclosed in Part I, Item 1A, “Risk Factors,” of our 2025 Annual Report on Form 10-K (the "2025 Form 10-K") and the information contained in this Quarterly Report on Form 10-Q and our other reports and registration statements filed with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08"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The following table shows the purchases of shares of Common Stock made by or on behalf of Hershey, or any “affiliated purchaser” (as defined in Rule 10b-18(a)(3) under the Securities Exchange Act of 1934, as amended) of Hershey, for each fiscal month in the three months ended March 29, 2026.</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vMerge w:val="restart"/>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rPr>
              <w:t>Approximate</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ind w:right="137"/>
              <w:spacing w:after="0" w:line="162" w:lineRule="exact"/>
              <w:rPr>
                <w:sz w:val="20"/>
                <w:szCs w:val="20"/>
                <w:color w:val="auto"/>
              </w:rPr>
            </w:pPr>
            <w:r>
              <w:rPr>
                <w:rFonts w:ascii="Times New Roman" w:cs="Times New Roman" w:eastAsia="Times New Roman" w:hAnsi="Times New Roman"/>
                <w:sz w:val="16"/>
                <w:szCs w:val="16"/>
                <w:b w:val="1"/>
                <w:bCs w:val="1"/>
                <w:color w:val="auto"/>
                <w:w w:val="99"/>
              </w:rPr>
              <w:t>Dollar Value of</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Average Price</w:t>
            </w:r>
          </w:p>
        </w:tc>
        <w:tc>
          <w:tcPr>
            <w:tcW w:w="1680" w:type="dxa"/>
            <w:vAlign w:val="bottom"/>
          </w:tcPr>
          <w:p>
            <w:pPr>
              <w:jc w:val="center"/>
              <w:ind w:left="239"/>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ind w:right="117"/>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680" w:type="dxa"/>
            <w:vAlign w:val="bottom"/>
          </w:tcPr>
          <w:p>
            <w:pPr>
              <w:jc w:val="center"/>
              <w:ind w:left="199"/>
              <w:spacing w:after="0" w:line="162" w:lineRule="exact"/>
              <w:rPr>
                <w:sz w:val="20"/>
                <w:szCs w:val="20"/>
                <w:color w:val="auto"/>
              </w:rPr>
            </w:pPr>
            <w:r>
              <w:rPr>
                <w:rFonts w:ascii="Times New Roman" w:cs="Times New Roman" w:eastAsia="Times New Roman" w:hAnsi="Times New Roman"/>
                <w:sz w:val="16"/>
                <w:szCs w:val="16"/>
                <w:b w:val="1"/>
                <w:bCs w:val="1"/>
                <w:color w:val="auto"/>
              </w:rPr>
              <w:t>as Part of Publicly</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ind w:right="137"/>
              <w:spacing w:after="0" w:line="162" w:lineRule="exact"/>
              <w:rPr>
                <w:sz w:val="20"/>
                <w:szCs w:val="20"/>
                <w:color w:val="auto"/>
              </w:rPr>
            </w:pPr>
            <w:r>
              <w:rPr>
                <w:rFonts w:ascii="Times New Roman" w:cs="Times New Roman" w:eastAsia="Times New Roman" w:hAnsi="Times New Roman"/>
                <w:sz w:val="16"/>
                <w:szCs w:val="16"/>
                <w:b w:val="1"/>
                <w:bCs w:val="1"/>
                <w:color w:val="auto"/>
                <w:w w:val="98"/>
              </w:rPr>
              <w:t>Yet Be Purchased</w:t>
            </w:r>
          </w:p>
        </w:tc>
        <w:tc>
          <w:tcPr>
            <w:tcW w:w="0" w:type="dxa"/>
            <w:vAlign w:val="bottom"/>
          </w:tcPr>
          <w:p>
            <w:pPr>
              <w:spacing w:after="0"/>
              <w:rPr>
                <w:sz w:val="1"/>
                <w:szCs w:val="1"/>
                <w:color w:val="auto"/>
              </w:rPr>
            </w:pPr>
          </w:p>
        </w:tc>
      </w:tr>
      <w:tr>
        <w:trPr>
          <w:trHeight w:val="162"/>
        </w:trPr>
        <w:tc>
          <w:tcPr>
            <w:tcW w:w="3520" w:type="dxa"/>
            <w:vAlign w:val="bottom"/>
            <w:gridSpan w:val="2"/>
            <w:vMerge w:val="restart"/>
          </w:tcPr>
          <w:p>
            <w:pPr>
              <w:ind w:left="138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6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 Shares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Paid</w:t>
            </w:r>
          </w:p>
        </w:tc>
        <w:tc>
          <w:tcPr>
            <w:tcW w:w="1680" w:type="dxa"/>
            <w:vAlign w:val="bottom"/>
          </w:tcPr>
          <w:p>
            <w:pPr>
              <w:jc w:val="center"/>
              <w:ind w:left="199"/>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ind w:right="137"/>
              <w:spacing w:after="0" w:line="162"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14"/>
        </w:trPr>
        <w:tc>
          <w:tcPr>
            <w:tcW w:w="3520" w:type="dxa"/>
            <w:vAlign w:val="bottom"/>
            <w:gridSpan w:val="2"/>
            <w:vMerge w:val="continue"/>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68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or Programs (2)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rPr>
              <w:t>Programs (2)</w:t>
            </w:r>
          </w:p>
        </w:tc>
        <w:tc>
          <w:tcPr>
            <w:tcW w:w="0" w:type="dxa"/>
            <w:vAlign w:val="bottom"/>
          </w:tcPr>
          <w:p>
            <w:pPr>
              <w:spacing w:after="0"/>
              <w:rPr>
                <w:sz w:val="1"/>
                <w:szCs w:val="1"/>
                <w:color w:val="auto"/>
              </w:rPr>
            </w:pPr>
          </w:p>
        </w:tc>
      </w:tr>
      <w:tr>
        <w:trPr>
          <w:trHeight w:val="192"/>
        </w:trPr>
        <w:tc>
          <w:tcPr>
            <w:tcW w:w="3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0" w:type="dxa"/>
            <w:vAlign w:val="bottom"/>
          </w:tcPr>
          <w:p>
            <w:pPr>
              <w:spacing w:after="0"/>
              <w:rPr>
                <w:sz w:val="1"/>
                <w:szCs w:val="1"/>
                <w:color w:val="auto"/>
              </w:rPr>
            </w:pPr>
          </w:p>
        </w:tc>
      </w:tr>
      <w:tr>
        <w:trPr>
          <w:trHeight w:val="236"/>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through January 25</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spacing w:after="0"/>
              <w:rPr>
                <w:sz w:val="20"/>
                <w:szCs w:val="20"/>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470,073</w:t>
            </w:r>
          </w:p>
        </w:tc>
        <w:tc>
          <w:tcPr>
            <w:tcW w:w="0" w:type="dxa"/>
            <w:vAlign w:val="bottom"/>
          </w:tcPr>
          <w:p>
            <w:pPr>
              <w:spacing w:after="0"/>
              <w:rPr>
                <w:sz w:val="1"/>
                <w:szCs w:val="1"/>
                <w:color w:val="auto"/>
              </w:rPr>
            </w:pPr>
          </w:p>
        </w:tc>
      </w:tr>
      <w:tr>
        <w:trPr>
          <w:trHeight w:val="22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26 through February 22</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230.90</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470,073</w:t>
            </w: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23 through March 29</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470,073</w:t>
            </w:r>
          </w:p>
        </w:tc>
        <w:tc>
          <w:tcPr>
            <w:tcW w:w="0" w:type="dxa"/>
            <w:vAlign w:val="bottom"/>
          </w:tcPr>
          <w:p>
            <w:pPr>
              <w:spacing w:after="0"/>
              <w:rPr>
                <w:sz w:val="1"/>
                <w:szCs w:val="1"/>
                <w:color w:val="auto"/>
              </w:rPr>
            </w:pPr>
          </w:p>
        </w:tc>
      </w:tr>
      <w:tr>
        <w:trPr>
          <w:trHeight w:val="22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firstLine="8"/>
        <w:spacing w:after="0" w:line="266"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29, 2026, 300,000 shares of Common Stock were purchased in open market transactions in connection with our standing authorization to buy back shares sufficient to offset those issued under incentive compensation plans, which authorization does not have a dollar or share limit and is not included in our share repurchase authorizations described in the following paragraph.</w:t>
      </w:r>
    </w:p>
    <w:p>
      <w:pPr>
        <w:spacing w:after="0" w:line="121" w:lineRule="exact"/>
        <w:rPr>
          <w:rFonts w:ascii="Times New Roman" w:cs="Times New Roman" w:eastAsia="Times New Roman" w:hAnsi="Times New Roman"/>
          <w:sz w:val="18"/>
          <w:szCs w:val="18"/>
          <w:color w:val="auto"/>
        </w:rPr>
      </w:pPr>
    </w:p>
    <w:p>
      <w:pPr>
        <w:ind w:right="40" w:firstLine="8"/>
        <w:spacing w:after="0" w:line="258"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2023, our Board of Directors approved a $500 million share repurchase authorization. As a result of the share repurchase authorization, approximately $470 million remains available for repurchases under our December 2023 share repurchase authorization.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591820</wp:posOffset>
            </wp:positionV>
            <wp:extent cx="19685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6" w:name="page47"/>
    <w:bookmarkEnd w:id="46"/>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Executive Officer Trading</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 portion of our directors’ and officers’ compensation is in the form of equity awards and, from time to time, they may engage in open-market transactions with respect to their Company securities for diversification or other personal reasons. All such transactions in Company securities by directors and officers must comply with the Company’s Insider Trading Policy, which requires that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the Company’s securities in a manner that avoids concerns about initiating transactions while in possession of material nonpublic information.</w:t>
      </w:r>
    </w:p>
    <w:p>
      <w:pPr>
        <w:spacing w:after="0" w:line="5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following table describes the contracts, instructions or written plans for the purchase or sale of securities adopted by our directors or officers (as defined in Rule 16a-1(f) under the Exchange Act) during the three months ended March 29, 2026, that are intended to satisfy the affirmative defense conditions of Rule 10b5-1(c). No other Rule 10b5-1 trading arrangements or “non-Rule 10b5–1 trading arrangements” (as defined by S-K Item 408(c)) were entered into or terminated by our directors or officers during such period.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Date of Adoption of</w:t>
            </w:r>
          </w:p>
        </w:tc>
        <w:tc>
          <w:tcPr>
            <w:tcW w:w="1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Duration of 10b5-1</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Number of</w:t>
            </w:r>
          </w:p>
        </w:tc>
        <w:tc>
          <w:tcPr>
            <w:tcW w:w="0" w:type="dxa"/>
            <w:vAlign w:val="bottom"/>
          </w:tcPr>
          <w:p>
            <w:pPr>
              <w:spacing w:after="0"/>
              <w:rPr>
                <w:sz w:val="1"/>
                <w:szCs w:val="1"/>
                <w:color w:val="auto"/>
              </w:rPr>
            </w:pPr>
          </w:p>
        </w:tc>
      </w:tr>
      <w:tr>
        <w:trPr>
          <w:trHeight w:val="176"/>
        </w:trPr>
        <w:tc>
          <w:tcPr>
            <w:tcW w:w="542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740" w:type="dxa"/>
            <w:vAlign w:val="bottom"/>
            <w:gridSpan w:val="2"/>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Securities to be Sold or</w:t>
            </w:r>
          </w:p>
        </w:tc>
        <w:tc>
          <w:tcPr>
            <w:tcW w:w="0" w:type="dxa"/>
            <w:vAlign w:val="bottom"/>
          </w:tcPr>
          <w:p>
            <w:pPr>
              <w:spacing w:after="0"/>
              <w:rPr>
                <w:sz w:val="1"/>
                <w:szCs w:val="1"/>
                <w:color w:val="auto"/>
              </w:rPr>
            </w:pPr>
          </w:p>
        </w:tc>
      </w:tr>
      <w:tr>
        <w:trPr>
          <w:trHeight w:val="243"/>
        </w:trPr>
        <w:tc>
          <w:tcPr>
            <w:tcW w:w="5420" w:type="dxa"/>
            <w:vAlign w:val="bottom"/>
            <w:gridSpan w:val="2"/>
            <w:vMerge w:val="continue"/>
          </w:tcPr>
          <w:p>
            <w:pPr>
              <w:spacing w:after="0"/>
              <w:rPr>
                <w:sz w:val="21"/>
                <w:szCs w:val="21"/>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10b5-1 Plan</w:t>
            </w:r>
          </w:p>
        </w:tc>
        <w:tc>
          <w:tcPr>
            <w:tcW w:w="174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0"/>
              </w:rPr>
              <w:t>Plan</w:t>
            </w:r>
            <w:r>
              <w:rPr>
                <w:rFonts w:ascii="Times New Roman" w:cs="Times New Roman" w:eastAsia="Times New Roman" w:hAnsi="Times New Roman"/>
                <w:sz w:val="23"/>
                <w:szCs w:val="23"/>
                <w:b w:val="1"/>
                <w:bCs w:val="1"/>
                <w:color w:val="auto"/>
                <w:w w:val="90"/>
                <w:vertAlign w:val="superscript"/>
              </w:rPr>
              <w:t>(1)</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0" w:type="dxa"/>
            <w:vAlign w:val="bottom"/>
          </w:tcPr>
          <w:p>
            <w:pPr>
              <w:spacing w:after="0"/>
              <w:rPr>
                <w:sz w:val="1"/>
                <w:szCs w:val="1"/>
                <w:color w:val="auto"/>
              </w:rPr>
            </w:pPr>
          </w:p>
        </w:tc>
      </w:tr>
      <w:tr>
        <w:trPr>
          <w:trHeight w:val="169"/>
        </w:trPr>
        <w:tc>
          <w:tcPr>
            <w:tcW w:w="53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Deepak Bhatia</w:t>
            </w: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2/25/2026</w:t>
            </w: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1/29/2027</w:t>
            </w:r>
          </w:p>
        </w:tc>
        <w:tc>
          <w:tcPr>
            <w:tcW w:w="100" w:type="dxa"/>
            <w:vAlign w:val="bottom"/>
            <w:tcBorders>
              <w:top w:val="single" w:sz="8" w:color="CCEEFF"/>
            </w:tcBorders>
            <w:shd w:val="clear" w:color="auto" w:fill="CCEEFF"/>
          </w:tcPr>
          <w:p>
            <w:pPr>
              <w:spacing w:after="0"/>
              <w:rPr>
                <w:sz w:val="14"/>
                <w:szCs w:val="14"/>
                <w:color w:val="auto"/>
              </w:rPr>
            </w:pPr>
          </w:p>
        </w:tc>
        <w:tc>
          <w:tcPr>
            <w:tcW w:w="234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 5,000 shares</w:t>
            </w:r>
          </w:p>
        </w:tc>
        <w:tc>
          <w:tcPr>
            <w:tcW w:w="0" w:type="dxa"/>
            <w:vAlign w:val="bottom"/>
          </w:tcPr>
          <w:p>
            <w:pPr>
              <w:spacing w:after="0"/>
              <w:rPr>
                <w:sz w:val="1"/>
                <w:szCs w:val="1"/>
                <w:color w:val="auto"/>
              </w:rPr>
            </w:pPr>
          </w:p>
        </w:tc>
      </w:tr>
      <w:tr>
        <w:trPr>
          <w:trHeight w:val="148"/>
        </w:trPr>
        <w:tc>
          <w:tcPr>
            <w:tcW w:w="5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Technology Officer</w:t>
            </w:r>
          </w:p>
        </w:tc>
        <w:tc>
          <w:tcPr>
            <w:tcW w:w="16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3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5420" w:type="dxa"/>
            <w:vAlign w:val="bottom"/>
            <w:gridSpan w:val="2"/>
            <w:vMerge w:val="continue"/>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James Turoff</w:t>
            </w: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Sell 2,500 shares</w:t>
            </w:r>
          </w:p>
        </w:tc>
        <w:tc>
          <w:tcPr>
            <w:tcW w:w="0" w:type="dxa"/>
            <w:vAlign w:val="bottom"/>
          </w:tcPr>
          <w:p>
            <w:pPr>
              <w:spacing w:after="0"/>
              <w:rPr>
                <w:sz w:val="1"/>
                <w:szCs w:val="1"/>
                <w:color w:val="auto"/>
              </w:rPr>
            </w:pPr>
          </w:p>
        </w:tc>
      </w:tr>
      <w:tr>
        <w:trPr>
          <w:trHeight w:val="81"/>
        </w:trPr>
        <w:tc>
          <w:tcPr>
            <w:tcW w:w="5420" w:type="dxa"/>
            <w:vAlign w:val="bottom"/>
            <w:gridSpan w:val="2"/>
            <w:vMerge w:val="continue"/>
          </w:tcPr>
          <w:p>
            <w:pPr>
              <w:spacing w:after="0"/>
              <w:rPr>
                <w:sz w:val="7"/>
                <w:szCs w:val="7"/>
                <w:color w:val="auto"/>
              </w:rPr>
            </w:pPr>
          </w:p>
        </w:tc>
        <w:tc>
          <w:tcPr>
            <w:tcW w:w="164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2/25/2026</w:t>
            </w:r>
          </w:p>
        </w:tc>
        <w:tc>
          <w:tcPr>
            <w:tcW w:w="100" w:type="dxa"/>
            <w:vAlign w:val="bottom"/>
          </w:tcPr>
          <w:p>
            <w:pPr>
              <w:spacing w:after="0"/>
              <w:rPr>
                <w:sz w:val="7"/>
                <w:szCs w:val="7"/>
                <w:color w:val="auto"/>
              </w:rPr>
            </w:pPr>
          </w:p>
        </w:tc>
        <w:tc>
          <w:tcPr>
            <w:tcW w:w="164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12/31/2026</w:t>
            </w:r>
          </w:p>
        </w:tc>
        <w:tc>
          <w:tcPr>
            <w:tcW w:w="100" w:type="dxa"/>
            <w:vAlign w:val="bottom"/>
          </w:tcPr>
          <w:p>
            <w:pPr>
              <w:spacing w:after="0"/>
              <w:rPr>
                <w:sz w:val="7"/>
                <w:szCs w:val="7"/>
                <w:color w:val="auto"/>
              </w:rPr>
            </w:pPr>
          </w:p>
        </w:tc>
        <w:tc>
          <w:tcPr>
            <w:tcW w:w="234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8"/>
                <w:szCs w:val="18"/>
                <w:color w:val="auto"/>
              </w:rPr>
              <w:t>Exercise &amp; sell 2,013 stock</w:t>
            </w:r>
          </w:p>
        </w:tc>
        <w:tc>
          <w:tcPr>
            <w:tcW w:w="0" w:type="dxa"/>
            <w:vAlign w:val="bottom"/>
          </w:tcPr>
          <w:p>
            <w:pPr>
              <w:spacing w:after="0"/>
              <w:rPr>
                <w:sz w:val="1"/>
                <w:szCs w:val="1"/>
                <w:color w:val="auto"/>
              </w:rPr>
            </w:pPr>
          </w:p>
        </w:tc>
      </w:tr>
      <w:tr>
        <w:trPr>
          <w:trHeight w:val="103"/>
        </w:trPr>
        <w:tc>
          <w:tcPr>
            <w:tcW w:w="5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c>
          <w:tcPr>
            <w:tcW w:w="1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5420" w:type="dxa"/>
            <w:vAlign w:val="bottom"/>
            <w:gridSpan w:val="2"/>
            <w:vMerge w:val="continue"/>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options</w:t>
            </w:r>
          </w:p>
        </w:tc>
        <w:tc>
          <w:tcPr>
            <w:tcW w:w="0" w:type="dxa"/>
            <w:vAlign w:val="bottom"/>
          </w:tcPr>
          <w:p>
            <w:pPr>
              <w:spacing w:after="0"/>
              <w:rPr>
                <w:sz w:val="1"/>
                <w:szCs w:val="1"/>
                <w:color w:val="auto"/>
              </w:rPr>
            </w:pPr>
          </w:p>
        </w:tc>
      </w:tr>
      <w:tr>
        <w:trPr>
          <w:trHeight w:val="103"/>
        </w:trPr>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54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Vero Villasenor</w:t>
            </w: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2/27/2026</w:t>
            </w:r>
          </w:p>
        </w:tc>
        <w:tc>
          <w:tcPr>
            <w:tcW w:w="10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12/31/2026</w:t>
            </w:r>
          </w:p>
        </w:tc>
        <w:tc>
          <w:tcPr>
            <w:tcW w:w="100" w:type="dxa"/>
            <w:vAlign w:val="bottom"/>
            <w:shd w:val="clear" w:color="auto" w:fill="CCEEFF"/>
          </w:tcPr>
          <w:p>
            <w:pPr>
              <w:spacing w:after="0"/>
              <w:rPr>
                <w:sz w:val="15"/>
                <w:szCs w:val="15"/>
                <w:color w:val="auto"/>
              </w:rPr>
            </w:pPr>
          </w:p>
        </w:tc>
        <w:tc>
          <w:tcPr>
            <w:tcW w:w="23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Sell 689 shares</w:t>
            </w:r>
          </w:p>
        </w:tc>
        <w:tc>
          <w:tcPr>
            <w:tcW w:w="0" w:type="dxa"/>
            <w:vAlign w:val="bottom"/>
          </w:tcPr>
          <w:p>
            <w:pPr>
              <w:spacing w:after="0"/>
              <w:rPr>
                <w:sz w:val="1"/>
                <w:szCs w:val="1"/>
                <w:color w:val="auto"/>
              </w:rPr>
            </w:pPr>
          </w:p>
        </w:tc>
      </w:tr>
      <w:tr>
        <w:trPr>
          <w:trHeight w:val="148"/>
        </w:trPr>
        <w:tc>
          <w:tcPr>
            <w:tcW w:w="5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Brand Officer</w:t>
            </w:r>
          </w:p>
        </w:tc>
        <w:tc>
          <w:tcPr>
            <w:tcW w:w="16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3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5420" w:type="dxa"/>
            <w:vAlign w:val="bottom"/>
            <w:gridSpan w:val="2"/>
            <w:vMerge w:val="continue"/>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80" w:firstLine="8"/>
        <w:spacing w:after="0" w:line="282"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duration is until the date listed in this column or such earlier date upon the completion of all trades under the plan (or the expiration of the orders relating to such trades without execution) or the occurrence of such other termination events as specified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602615</wp:posOffset>
            </wp:positionV>
            <wp:extent cx="19685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Quarterly Report on Form 10-Q:</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000" w:type="dxa"/>
            <w:vAlign w:val="bottom"/>
            <w:gridSpan w:val="7"/>
          </w:tcPr>
          <w:p>
            <w:pPr>
              <w:ind w:left="16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72"/>
        </w:trPr>
        <w:tc>
          <w:tcPr>
            <w:tcW w:w="700" w:type="dxa"/>
            <w:vAlign w:val="bottom"/>
            <w:tcBorders>
              <w:top w:val="single" w:sz="8" w:color="auto"/>
            </w:tcBorders>
            <w:gridSpan w:val="3"/>
            <w:shd w:val="clear" w:color="auto" w:fill="CCEEFF"/>
          </w:tcPr>
          <w:p>
            <w:pPr>
              <w:jc w:val="center"/>
              <w:ind w:left="419"/>
              <w:spacing w:after="0" w:line="172" w:lineRule="exact"/>
              <w:rPr>
                <w:rFonts w:ascii="Times New Roman" w:cs="Times New Roman" w:eastAsia="Times New Roman" w:hAnsi="Times New Roman"/>
                <w:sz w:val="16"/>
                <w:szCs w:val="16"/>
                <w:color w:val="0000FF"/>
                <w:w w:val="99"/>
              </w:rPr>
            </w:pPr>
            <w:hyperlink r:id="rId131">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1</w:t>
              </w:r>
            </w:hyperlink>
          </w:p>
        </w:tc>
        <w:tc>
          <w:tcPr>
            <w:tcW w:w="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9920" w:type="dxa"/>
            <w:vAlign w:val="bottom"/>
            <w:tcBorders>
              <w:top w:val="single" w:sz="8" w:color="auto"/>
            </w:tcBorders>
            <w:gridSpan w:val="10"/>
            <w:shd w:val="clear" w:color="auto" w:fill="CCEEFF"/>
          </w:tcPr>
          <w:p>
            <w:pPr>
              <w:spacing w:after="0" w:line="172"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Restated Certificate of Incorporation, as amended by the Company’s Stockholders on May 6, 2025, is incorporated by reference from Exhibit 3.1 to the</w:t>
              </w:r>
            </w:hyperlink>
          </w:p>
        </w:tc>
      </w:tr>
      <w:tr>
        <w:trPr>
          <w:trHeight w:val="142"/>
        </w:trPr>
        <w:tc>
          <w:tcPr>
            <w:tcW w:w="4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800" w:type="dxa"/>
            <w:vAlign w:val="bottom"/>
            <w:tcBorders>
              <w:top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Company's Quarterly Report on Form 10-Q for the quarter ended June 29, 2025.</w:t>
              </w:r>
            </w:hyperlink>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400" w:type="dxa"/>
            <w:vAlign w:val="bottom"/>
            <w:tcBorders>
              <w:top w:val="single" w:sz="8" w:color="0000FF"/>
            </w:tcBorders>
            <w:shd w:val="clear" w:color="auto" w:fill="CCEEFF"/>
          </w:tcPr>
          <w:p>
            <w:pPr>
              <w:spacing w:after="0" w:line="20" w:lineRule="exact"/>
              <w:rPr>
                <w:sz w:val="1"/>
                <w:szCs w:val="1"/>
                <w:color w:val="auto"/>
              </w:rPr>
            </w:pPr>
          </w:p>
        </w:tc>
        <w:tc>
          <w:tcPr>
            <w:tcW w:w="2280" w:type="dxa"/>
            <w:vAlign w:val="bottom"/>
            <w:tcBorders>
              <w:top w:val="single" w:sz="8" w:color="0000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0" w:type="dxa"/>
            <w:vAlign w:val="bottom"/>
            <w:gridSpan w:val="3"/>
          </w:tcPr>
          <w:p>
            <w:pPr>
              <w:jc w:val="center"/>
              <w:ind w:left="419"/>
              <w:spacing w:after="0" w:line="175" w:lineRule="exact"/>
              <w:rPr>
                <w:rFonts w:ascii="Times New Roman" w:cs="Times New Roman" w:eastAsia="Times New Roman" w:hAnsi="Times New Roman"/>
                <w:sz w:val="16"/>
                <w:szCs w:val="16"/>
                <w:color w:val="0000FF"/>
                <w:w w:val="99"/>
              </w:rPr>
            </w:pPr>
            <w:hyperlink r:id="rId132">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2</w:t>
              </w:r>
            </w:hyperlink>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10"/>
          </w:tcPr>
          <w:p>
            <w:pPr>
              <w:spacing w:after="0" w:line="175"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The Company's By-laws, as amended and restated as of December 5, 2025, are incorporated by reference from Exhibit 3.1 to the Company's Current</w:t>
              </w:r>
            </w:hyperlink>
          </w:p>
        </w:tc>
      </w:tr>
      <w:tr>
        <w:trPr>
          <w:trHeight w:val="142"/>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Report on Form 8-K filed December 5, 2025.</w:t>
              </w:r>
            </w:hyperlink>
          </w:p>
        </w:tc>
        <w:tc>
          <w:tcPr>
            <w:tcW w:w="2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0" w:type="dxa"/>
            <w:vAlign w:val="bottom"/>
            <w:tcBorders>
              <w:top w:val="single" w:sz="8" w:color="0000FF"/>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8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20" w:type="dxa"/>
            <w:vAlign w:val="bottom"/>
            <w:gridSpan w:val="1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Kirk Tanner, Chief Executive Officer, pursuant to Section 302 of the Sarbanes-Oxley Act of 2002.</w:t>
            </w:r>
            <w:r>
              <w:rPr>
                <w:rFonts w:ascii="Times New Roman" w:cs="Times New Roman" w:eastAsia="Times New Roman" w:hAnsi="Times New Roman"/>
                <w:sz w:val="16"/>
                <w:szCs w:val="16"/>
                <w:color w:val="000000"/>
              </w:rPr>
              <w:t>*</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400" w:type="dxa"/>
            <w:vAlign w:val="bottom"/>
            <w:tcBorders>
              <w:top w:val="single" w:sz="8" w:color="0000FF"/>
            </w:tcBorders>
            <w:shd w:val="clear" w:color="auto" w:fill="CCEEFF"/>
          </w:tcPr>
          <w:p>
            <w:pPr>
              <w:spacing w:after="0" w:line="20" w:lineRule="exact"/>
              <w:rPr>
                <w:sz w:val="1"/>
                <w:szCs w:val="1"/>
                <w:color w:val="auto"/>
              </w:rPr>
            </w:pPr>
          </w:p>
        </w:tc>
        <w:tc>
          <w:tcPr>
            <w:tcW w:w="2280" w:type="dxa"/>
            <w:vAlign w:val="bottom"/>
            <w:tcBorders>
              <w:top w:val="single" w:sz="8" w:color="0000FF"/>
            </w:tcBorders>
            <w:shd w:val="clear" w:color="auto" w:fill="CCEEFF"/>
          </w:tcPr>
          <w:p>
            <w:pPr>
              <w:spacing w:after="0" w:line="20" w:lineRule="exact"/>
              <w:rPr>
                <w:sz w:val="1"/>
                <w:szCs w:val="1"/>
                <w:color w:val="auto"/>
              </w:rPr>
            </w:pPr>
          </w:p>
        </w:tc>
        <w:tc>
          <w:tcPr>
            <w:tcW w:w="21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8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10"/>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Steven E. Voskuil, Chief Financial Officer, pursuant to Section 302 of the Sarbanes-Oxley Act of 2002.</w:t>
            </w:r>
            <w:r>
              <w:rPr>
                <w:rFonts w:ascii="Times New Roman" w:cs="Times New Roman" w:eastAsia="Times New Roman" w:hAnsi="Times New Roman"/>
                <w:sz w:val="16"/>
                <w:szCs w:val="16"/>
                <w:color w:val="000000"/>
              </w:rPr>
              <w:t>*</w:t>
            </w:r>
          </w:p>
        </w:tc>
      </w:tr>
      <w:tr>
        <w:trPr>
          <w:trHeight w:val="21"/>
        </w:trPr>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0" w:type="dxa"/>
            <w:vAlign w:val="bottom"/>
            <w:tcBorders>
              <w:top w:val="single" w:sz="8" w:color="0000FF"/>
            </w:tcBorders>
          </w:tcPr>
          <w:p>
            <w:pPr>
              <w:spacing w:after="0" w:line="20" w:lineRule="exact"/>
              <w:rPr>
                <w:sz w:val="1"/>
                <w:szCs w:val="1"/>
                <w:color w:val="auto"/>
              </w:rPr>
            </w:pPr>
          </w:p>
        </w:tc>
        <w:tc>
          <w:tcPr>
            <w:tcW w:w="2280" w:type="dxa"/>
            <w:vAlign w:val="bottom"/>
            <w:tcBorders>
              <w:top w:val="single" w:sz="8" w:color="0000FF"/>
            </w:tcBorders>
          </w:tcPr>
          <w:p>
            <w:pPr>
              <w:spacing w:after="0" w:line="20" w:lineRule="exact"/>
              <w:rPr>
                <w:sz w:val="1"/>
                <w:szCs w:val="1"/>
                <w:color w:val="auto"/>
              </w:rPr>
            </w:pPr>
          </w:p>
        </w:tc>
        <w:tc>
          <w:tcPr>
            <w:tcW w:w="21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8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20" w:type="dxa"/>
            <w:vAlign w:val="bottom"/>
            <w:gridSpan w:val="1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Kirk Tanner, Chief Executive Officer, and Steven E. Voskuil, Chief Financial Officer, pursuant to Section 906 of the Sarbanes-Oxley Act</w:t>
            </w:r>
          </w:p>
        </w:tc>
      </w:tr>
      <w:tr>
        <w:trPr>
          <w:trHeight w:val="142"/>
        </w:trPr>
        <w:tc>
          <w:tcPr>
            <w:tcW w:w="4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880" w:type="dxa"/>
            <w:vAlign w:val="bottom"/>
            <w:tcBorders>
              <w:top w:val="single" w:sz="8" w:color="0000FF"/>
            </w:tcBorders>
            <w:gridSpan w:val="8"/>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of 2002.</w:t>
            </w:r>
            <w:r>
              <w:rPr>
                <w:rFonts w:ascii="Times New Roman" w:cs="Times New Roman" w:eastAsia="Times New Roman" w:hAnsi="Times New Roman"/>
                <w:sz w:val="16"/>
                <w:szCs w:val="16"/>
                <w:color w:val="000000"/>
              </w:rPr>
              <w:t>**</w:t>
            </w:r>
          </w:p>
        </w:tc>
        <w:tc>
          <w:tcPr>
            <w:tcW w:w="20" w:type="dxa"/>
            <w:vAlign w:val="bottom"/>
            <w:tcBorders>
              <w:top w:val="single" w:sz="8" w:color="CCEEFF"/>
            </w:tcBorders>
            <w:shd w:val="clear" w:color="auto" w:fill="CCEEFF"/>
          </w:tcPr>
          <w:p>
            <w:pPr>
              <w:spacing w:after="0"/>
              <w:rPr>
                <w:sz w:val="12"/>
                <w:szCs w:val="12"/>
                <w:color w:val="auto"/>
              </w:rPr>
            </w:pP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1300" w:type="dxa"/>
            <w:vAlign w:val="bottom"/>
            <w:gridSpan w:val="6"/>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20" w:type="dxa"/>
            <w:vAlign w:val="bottom"/>
          </w:tcPr>
          <w:p>
            <w:pPr>
              <w:spacing w:after="0"/>
              <w:rPr>
                <w:sz w:val="14"/>
                <w:szCs w:val="14"/>
                <w:color w:val="auto"/>
              </w:rPr>
            </w:pPr>
          </w:p>
        </w:tc>
        <w:tc>
          <w:tcPr>
            <w:tcW w:w="9920" w:type="dxa"/>
            <w:vAlign w:val="bottom"/>
            <w:gridSpan w:val="10"/>
          </w:tcPr>
          <w:p>
            <w:pPr>
              <w:spacing w:after="0" w:line="162"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w:t>
            </w:r>
          </w:p>
        </w:tc>
      </w:tr>
      <w:tr>
        <w:trPr>
          <w:trHeight w:val="213"/>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232"/>
        </w:trPr>
        <w:tc>
          <w:tcPr>
            <w:tcW w:w="130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shd w:val="clear" w:color="auto" w:fill="CCEEFF"/>
          </w:tcPr>
          <w:p>
            <w:pPr>
              <w:spacing w:after="0"/>
              <w:rPr>
                <w:sz w:val="20"/>
                <w:szCs w:val="20"/>
                <w:color w:val="auto"/>
              </w:rPr>
            </w:pPr>
          </w:p>
        </w:tc>
        <w:tc>
          <w:tcPr>
            <w:tcW w:w="99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r>
      <w:tr>
        <w:trPr>
          <w:trHeight w:val="220"/>
        </w:trPr>
        <w:tc>
          <w:tcPr>
            <w:tcW w:w="13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101.CAL</w:t>
            </w:r>
          </w:p>
        </w:tc>
        <w:tc>
          <w:tcPr>
            <w:tcW w:w="20" w:type="dxa"/>
            <w:vAlign w:val="bottom"/>
          </w:tcPr>
          <w:p>
            <w:pPr>
              <w:spacing w:after="0"/>
              <w:rPr>
                <w:sz w:val="19"/>
                <w:szCs w:val="19"/>
                <w:color w:val="auto"/>
              </w:rPr>
            </w:pPr>
          </w:p>
        </w:tc>
        <w:tc>
          <w:tcPr>
            <w:tcW w:w="99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26"/>
        </w:trPr>
        <w:tc>
          <w:tcPr>
            <w:tcW w:w="130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101.LAB</w:t>
            </w:r>
          </w:p>
        </w:tc>
        <w:tc>
          <w:tcPr>
            <w:tcW w:w="20" w:type="dxa"/>
            <w:vAlign w:val="bottom"/>
            <w:shd w:val="clear" w:color="auto" w:fill="CCEEFF"/>
          </w:tcPr>
          <w:p>
            <w:pPr>
              <w:spacing w:after="0"/>
              <w:rPr>
                <w:sz w:val="19"/>
                <w:szCs w:val="19"/>
                <w:color w:val="auto"/>
              </w:rPr>
            </w:pPr>
          </w:p>
        </w:tc>
        <w:tc>
          <w:tcPr>
            <w:tcW w:w="99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13"/>
        </w:trPr>
        <w:tc>
          <w:tcPr>
            <w:tcW w:w="130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18"/>
                <w:szCs w:val="18"/>
                <w:color w:val="auto"/>
              </w:rPr>
            </w:pPr>
          </w:p>
        </w:tc>
        <w:tc>
          <w:tcPr>
            <w:tcW w:w="99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r>
      <w:tr>
        <w:trPr>
          <w:trHeight w:val="219"/>
        </w:trPr>
        <w:tc>
          <w:tcPr>
            <w:tcW w:w="1300" w:type="dxa"/>
            <w:vAlign w:val="bottom"/>
            <w:gridSpan w:val="6"/>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shd w:val="clear" w:color="auto" w:fill="CCEEFF"/>
          </w:tcPr>
          <w:p>
            <w:pPr>
              <w:spacing w:after="0"/>
              <w:rPr>
                <w:sz w:val="19"/>
                <w:szCs w:val="19"/>
                <w:color w:val="auto"/>
              </w:rPr>
            </w:pPr>
          </w:p>
        </w:tc>
        <w:tc>
          <w:tcPr>
            <w:tcW w:w="99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r>
    </w:tbl>
    <w:p>
      <w:pPr>
        <w:ind w:left="1300" w:right="380" w:hanging="826"/>
        <w:spacing w:after="0" w:line="245" w:lineRule="auto"/>
        <w:tabs>
          <w:tab w:leader="none" w:pos="13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from the Company's Quarterly Report on Form 10-Q for the quarterly period ended March 29, 2026, formatted in Inline XBRL and contained in Exhibit 101.</w:t>
      </w:r>
    </w:p>
    <w:p>
      <w:pPr>
        <w:spacing w:after="0" w:line="272" w:lineRule="exact"/>
        <w:rPr>
          <w:sz w:val="20"/>
          <w:szCs w:val="20"/>
          <w:color w:val="auto"/>
        </w:rPr>
      </w:pPr>
    </w:p>
    <w:p>
      <w:pPr>
        <w:ind w:left="1300" w:hanging="745"/>
        <w:spacing w:after="0"/>
        <w:tabs>
          <w:tab w:leader="none" w:pos="13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ind w:left="1300" w:hanging="786"/>
        <w:spacing w:after="0"/>
        <w:tabs>
          <w:tab w:leader="none" w:pos="13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1169035</wp:posOffset>
            </wp:positionV>
            <wp:extent cx="19685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thereunto duly authorized.</w:t>
      </w:r>
    </w:p>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229"/>
        </w:trPr>
        <w:tc>
          <w:tcPr>
            <w:tcW w:w="2640" w:type="dxa"/>
            <w:vAlign w:val="bottom"/>
          </w:tcPr>
          <w:p>
            <w:pPr>
              <w:spacing w:after="0"/>
              <w:rPr>
                <w:sz w:val="19"/>
                <w:szCs w:val="19"/>
                <w:color w:val="auto"/>
              </w:rPr>
            </w:pPr>
          </w:p>
        </w:tc>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THE HERSHEY COMPANY</w:t>
            </w:r>
          </w:p>
        </w:tc>
      </w:tr>
      <w:tr>
        <w:trPr>
          <w:trHeight w:val="238"/>
        </w:trPr>
        <w:tc>
          <w:tcPr>
            <w:tcW w:w="2640" w:type="dxa"/>
            <w:vAlign w:val="bottom"/>
          </w:tcPr>
          <w:p>
            <w:pPr>
              <w:spacing w:after="0"/>
              <w:rPr>
                <w:sz w:val="20"/>
                <w:szCs w:val="20"/>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(Registrant)</w:t>
            </w:r>
          </w:p>
        </w:tc>
      </w:tr>
      <w:tr>
        <w:trPr>
          <w:trHeight w:val="49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5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/s/ Steven E. Voskuil</w:t>
            </w:r>
          </w:p>
        </w:tc>
      </w:tr>
      <w:tr>
        <w:trPr>
          <w:trHeight w:val="218"/>
        </w:trPr>
        <w:tc>
          <w:tcPr>
            <w:tcW w:w="2640" w:type="dxa"/>
            <w:vAlign w:val="bottom"/>
          </w:tcPr>
          <w:p>
            <w:pPr>
              <w:spacing w:after="0"/>
              <w:rPr>
                <w:sz w:val="18"/>
                <w:szCs w:val="18"/>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Steven E. Voskuil</w:t>
            </w:r>
          </w:p>
        </w:tc>
      </w:tr>
      <w:tr>
        <w:trPr>
          <w:trHeight w:val="229"/>
        </w:trPr>
        <w:tc>
          <w:tcPr>
            <w:tcW w:w="264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34"/>
        </w:trPr>
        <w:tc>
          <w:tcPr>
            <w:tcW w:w="2640" w:type="dxa"/>
            <w:vAlign w:val="bottom"/>
          </w:tcPr>
          <w:p>
            <w:pPr>
              <w:spacing w:after="0"/>
              <w:rPr>
                <w:sz w:val="20"/>
                <w:szCs w:val="20"/>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5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/s/ Jennifer L. McCalman</w:t>
            </w:r>
          </w:p>
        </w:tc>
      </w:tr>
      <w:tr>
        <w:trPr>
          <w:trHeight w:val="218"/>
        </w:trPr>
        <w:tc>
          <w:tcPr>
            <w:tcW w:w="2640" w:type="dxa"/>
            <w:vAlign w:val="bottom"/>
          </w:tcPr>
          <w:p>
            <w:pPr>
              <w:spacing w:after="0"/>
              <w:rPr>
                <w:sz w:val="18"/>
                <w:szCs w:val="18"/>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Jennifer L. McCalman</w:t>
            </w:r>
          </w:p>
        </w:tc>
      </w:tr>
      <w:tr>
        <w:trPr>
          <w:trHeight w:val="230"/>
        </w:trPr>
        <w:tc>
          <w:tcPr>
            <w:tcW w:w="2640" w:type="dxa"/>
            <w:vAlign w:val="bottom"/>
          </w:tcPr>
          <w:p>
            <w:pPr>
              <w:spacing w:after="0"/>
              <w:rPr>
                <w:sz w:val="19"/>
                <w:szCs w:val="19"/>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Vice President, Chief Accounting Officer</w:t>
            </w:r>
          </w:p>
        </w:tc>
      </w:tr>
      <w:tr>
        <w:trPr>
          <w:trHeight w:val="234"/>
        </w:trPr>
        <w:tc>
          <w:tcPr>
            <w:tcW w:w="2640" w:type="dxa"/>
            <w:vAlign w:val="bottom"/>
          </w:tcPr>
          <w:p>
            <w:pPr>
              <w:spacing w:after="0"/>
              <w:rPr>
                <w:sz w:val="20"/>
                <w:szCs w:val="20"/>
                <w:color w:val="auto"/>
              </w:rPr>
            </w:pPr>
          </w:p>
        </w:tc>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488315</wp:posOffset>
            </wp:positionV>
            <wp:extent cx="19685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3820" w:val="left"/>
        </w:tabs>
        <w:rPr>
          <w:sz w:val="20"/>
          <w:szCs w:val="20"/>
          <w:color w:val="auto"/>
        </w:rPr>
      </w:pPr>
      <w:r>
        <w:rPr>
          <w:rFonts w:ascii="Times New Roman" w:cs="Times New Roman" w:eastAsia="Times New Roman" w:hAnsi="Times New Roman"/>
          <w:sz w:val="16"/>
          <w:szCs w:val="16"/>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The Hershey Company | Q1 2026 Form 10-Q | Page 46</w:t>
      </w:r>
    </w:p>
    <w:p>
      <w:pPr>
        <w:sectPr>
          <w:pgSz w:w="11900" w:h="16838" w:orient="portrait"/>
          <w:cols w:equalWidth="0" w:num="1">
            <w:col w:w="11220"/>
          </w:cols>
          <w:pgMar w:left="320" w:top="1251" w:right="35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Kirk Tanner, certify that:</w:t>
      </w:r>
    </w:p>
    <w:p>
      <w:pPr>
        <w:spacing w:after="0" w:line="104"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Hershey Company;</w:t>
      </w:r>
    </w:p>
    <w:p>
      <w:pPr>
        <w:spacing w:after="0" w:line="90" w:lineRule="exact"/>
        <w:rPr>
          <w:rFonts w:ascii="Times New Roman" w:cs="Times New Roman" w:eastAsia="Times New Roman" w:hAnsi="Times New Roman"/>
          <w:sz w:val="18"/>
          <w:szCs w:val="18"/>
          <w:color w:val="auto"/>
        </w:rPr>
      </w:pPr>
    </w:p>
    <w:p>
      <w:pPr>
        <w:ind w:left="420" w:right="340" w:hanging="412"/>
        <w:spacing w:after="0" w:line="266" w:lineRule="auto"/>
        <w:tabs>
          <w:tab w:leader="none" w:pos="33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20" w:right="380" w:hanging="412"/>
        <w:spacing w:after="0" w:line="282" w:lineRule="auto"/>
        <w:tabs>
          <w:tab w:leader="none" w:pos="33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420" w:right="320" w:hanging="412"/>
        <w:spacing w:after="0" w:line="266" w:lineRule="auto"/>
        <w:tabs>
          <w:tab w:leader="none" w:pos="32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860" w:right="160" w:hanging="406"/>
        <w:spacing w:after="0" w:line="266" w:lineRule="auto"/>
        <w:tabs>
          <w:tab w:leader="none" w:pos="83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860" w:right="440" w:hanging="406"/>
        <w:spacing w:after="0" w:line="266" w:lineRule="auto"/>
        <w:tabs>
          <w:tab w:leader="none" w:pos="84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860" w:right="620" w:hanging="406"/>
        <w:spacing w:after="0" w:line="312" w:lineRule="auto"/>
        <w:tabs>
          <w:tab w:leader="none" w:pos="835"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860" w:right="140" w:hanging="406"/>
        <w:spacing w:after="0" w:line="266" w:lineRule="auto"/>
        <w:tabs>
          <w:tab w:leader="none" w:pos="84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20" w:right="120" w:hanging="412"/>
        <w:spacing w:after="0" w:line="282" w:lineRule="auto"/>
        <w:tabs>
          <w:tab w:leader="none" w:pos="32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860" w:right="60" w:hanging="406"/>
        <w:spacing w:after="0" w:line="282" w:lineRule="auto"/>
        <w:tabs>
          <w:tab w:leader="none" w:pos="82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60" w:right="20" w:hanging="406"/>
        <w:spacing w:after="0" w:line="282" w:lineRule="auto"/>
        <w:tabs>
          <w:tab w:leader="none" w:pos="83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/s/ KIRK TANNER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83820</wp:posOffset>
            </wp:positionV>
            <wp:extent cx="34632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2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b w:val="1"/>
          <w:bCs w:val="1"/>
          <w:color w:val="auto"/>
        </w:rPr>
        <w:t>Kirk Tanner</w:t>
      </w:r>
    </w:p>
    <w:p>
      <w:pPr>
        <w:spacing w:after="0" w:line="29"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5"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b w:val="1"/>
          <w:bCs w:val="1"/>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641985</wp:posOffset>
            </wp:positionV>
            <wp:extent cx="19685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The Hershey Company | Q1 2026 Form 10-Q | Exhibit 31.1</w:t>
      </w:r>
    </w:p>
    <w:p>
      <w:pPr>
        <w:sectPr>
          <w:pgSz w:w="11900" w:h="16838" w:orient="portrait"/>
          <w:cols w:equalWidth="0" w:num="1">
            <w:col w:w="11200"/>
          </w:cols>
          <w:pgMar w:left="360" w:top="765"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E. Voskuil, certify that:</w:t>
      </w:r>
    </w:p>
    <w:p>
      <w:pPr>
        <w:spacing w:after="0" w:line="104"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Hershey Company;</w:t>
      </w:r>
    </w:p>
    <w:p>
      <w:pPr>
        <w:spacing w:after="0" w:line="90" w:lineRule="exact"/>
        <w:rPr>
          <w:rFonts w:ascii="Times New Roman" w:cs="Times New Roman" w:eastAsia="Times New Roman" w:hAnsi="Times New Roman"/>
          <w:sz w:val="18"/>
          <w:szCs w:val="18"/>
          <w:color w:val="auto"/>
        </w:rPr>
      </w:pPr>
    </w:p>
    <w:p>
      <w:pPr>
        <w:ind w:left="420" w:right="340" w:hanging="412"/>
        <w:spacing w:after="0" w:line="266" w:lineRule="auto"/>
        <w:tabs>
          <w:tab w:leader="none" w:pos="33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20" w:right="380" w:hanging="412"/>
        <w:spacing w:after="0" w:line="282" w:lineRule="auto"/>
        <w:tabs>
          <w:tab w:leader="none" w:pos="33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420" w:right="320" w:hanging="412"/>
        <w:spacing w:after="0" w:line="266" w:lineRule="auto"/>
        <w:tabs>
          <w:tab w:leader="none" w:pos="32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860" w:right="160" w:hanging="406"/>
        <w:spacing w:after="0" w:line="266" w:lineRule="auto"/>
        <w:tabs>
          <w:tab w:leader="none" w:pos="83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860" w:right="440" w:hanging="406"/>
        <w:spacing w:after="0" w:line="266" w:lineRule="auto"/>
        <w:tabs>
          <w:tab w:leader="none" w:pos="84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860" w:right="620" w:hanging="406"/>
        <w:spacing w:after="0" w:line="312" w:lineRule="auto"/>
        <w:tabs>
          <w:tab w:leader="none" w:pos="835"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860" w:right="140" w:hanging="406"/>
        <w:spacing w:after="0" w:line="266" w:lineRule="auto"/>
        <w:tabs>
          <w:tab w:leader="none" w:pos="84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20" w:right="120" w:hanging="412"/>
        <w:spacing w:after="0" w:line="282" w:lineRule="auto"/>
        <w:tabs>
          <w:tab w:leader="none" w:pos="32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860" w:right="60" w:hanging="406"/>
        <w:spacing w:after="0" w:line="282" w:lineRule="auto"/>
        <w:tabs>
          <w:tab w:leader="none" w:pos="82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860" w:right="20" w:hanging="406"/>
        <w:spacing w:after="0" w:line="282" w:lineRule="auto"/>
        <w:tabs>
          <w:tab w:leader="none" w:pos="83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0"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92075</wp:posOffset>
            </wp:positionV>
            <wp:extent cx="34632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141"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Steven E. Voskuil</w:t>
      </w:r>
    </w:p>
    <w:p>
      <w:pPr>
        <w:spacing w:after="0" w:line="29"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5"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b w:val="1"/>
          <w:bCs w:val="1"/>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641985</wp:posOffset>
            </wp:positionV>
            <wp:extent cx="19685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The Hershey Company | Q1 2026 Form 10-Q | Exhibit 31.2</w:t>
      </w:r>
    </w:p>
    <w:p>
      <w:pPr>
        <w:sectPr>
          <w:pgSz w:w="11900" w:h="16838" w:orient="portrait"/>
          <w:cols w:equalWidth="0" w:num="1">
            <w:col w:w="11200"/>
          </w:cols>
          <w:pgMar w:left="360" w:top="765"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officers of The Hershey Company (the “Company”) hereby certify, to the best of their knowledge, that the Company’s Quarterly Report on Form 10-Q for the quarterly period ended September 27, 2026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8" w:lineRule="exact"/>
        <w:rPr>
          <w:sz w:val="20"/>
          <w:szCs w:val="20"/>
          <w:color w:val="auto"/>
        </w:rPr>
      </w:pPr>
    </w:p>
    <w:tbl>
      <w:tblPr>
        <w:tblLayout w:type="fixed"/>
        <w:tblInd w:w="540" w:type="dxa"/>
        <w:tblCellMar>
          <w:top w:w="0" w:type="dxa"/>
          <w:left w:w="0" w:type="dxa"/>
          <w:bottom w:w="0" w:type="dxa"/>
          <w:right w:w="0" w:type="dxa"/>
        </w:tblCellMar>
      </w:tblPr>
      <w:tr>
        <w:trPr>
          <w:trHeight w:val="261"/>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KIRK TANNER</w:t>
            </w:r>
          </w:p>
        </w:tc>
      </w:tr>
      <w:tr>
        <w:trPr>
          <w:trHeight w:val="196"/>
        </w:trPr>
        <w:tc>
          <w:tcPr>
            <w:tcW w:w="29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Kirk Tanner</w:t>
            </w:r>
          </w:p>
        </w:tc>
      </w:tr>
      <w:tr>
        <w:trPr>
          <w:trHeight w:val="162"/>
        </w:trPr>
        <w:tc>
          <w:tcPr>
            <w:tcW w:w="2920" w:type="dxa"/>
            <w:vAlign w:val="bottom"/>
          </w:tcPr>
          <w:p>
            <w:pPr>
              <w:spacing w:after="0"/>
              <w:rPr>
                <w:sz w:val="14"/>
                <w:szCs w:val="14"/>
                <w:color w:val="auto"/>
              </w:rPr>
            </w:pPr>
          </w:p>
        </w:tc>
        <w:tc>
          <w:tcPr>
            <w:tcW w:w="3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Chief Executive Officer</w:t>
            </w:r>
          </w:p>
        </w:tc>
      </w:tr>
      <w:tr>
        <w:trPr>
          <w:trHeight w:val="212"/>
        </w:trPr>
        <w:tc>
          <w:tcPr>
            <w:tcW w:w="29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tc>
      </w:tr>
    </w:tbl>
    <w:p>
      <w:pPr>
        <w:spacing w:after="0" w:line="228" w:lineRule="exact"/>
        <w:rPr>
          <w:sz w:val="20"/>
          <w:szCs w:val="20"/>
          <w:color w:val="auto"/>
        </w:rPr>
      </w:pPr>
    </w:p>
    <w:tbl>
      <w:tblPr>
        <w:tblLayout w:type="fixed"/>
        <w:tblInd w:w="540" w:type="dxa"/>
        <w:tblCellMar>
          <w:top w:w="0" w:type="dxa"/>
          <w:left w:w="0" w:type="dxa"/>
          <w:bottom w:w="0" w:type="dxa"/>
          <w:right w:w="0" w:type="dxa"/>
        </w:tblCellMar>
      </w:tblPr>
      <w:tr>
        <w:trPr>
          <w:trHeight w:val="261"/>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E. VOSKUIL</w:t>
            </w:r>
          </w:p>
        </w:tc>
      </w:tr>
      <w:tr>
        <w:trPr>
          <w:trHeight w:val="196"/>
        </w:trPr>
        <w:tc>
          <w:tcPr>
            <w:tcW w:w="29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Steven E. Voskuil</w:t>
            </w:r>
          </w:p>
        </w:tc>
      </w:tr>
      <w:tr>
        <w:trPr>
          <w:trHeight w:val="162"/>
        </w:trPr>
        <w:tc>
          <w:tcPr>
            <w:tcW w:w="2920" w:type="dxa"/>
            <w:vAlign w:val="bottom"/>
          </w:tcPr>
          <w:p>
            <w:pPr>
              <w:spacing w:after="0"/>
              <w:rPr>
                <w:sz w:val="14"/>
                <w:szCs w:val="14"/>
                <w:color w:val="auto"/>
              </w:rPr>
            </w:pPr>
          </w:p>
        </w:tc>
        <w:tc>
          <w:tcPr>
            <w:tcW w:w="3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Chief Financial Officer</w:t>
            </w:r>
          </w:p>
        </w:tc>
      </w:tr>
      <w:tr>
        <w:trPr>
          <w:trHeight w:val="212"/>
        </w:trPr>
        <w:tc>
          <w:tcPr>
            <w:tcW w:w="29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tc>
      </w:tr>
    </w:tbl>
    <w:p>
      <w:pPr>
        <w:spacing w:after="0" w:line="24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1049020</wp:posOffset>
            </wp:positionV>
            <wp:extent cx="19685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Hershey Company | Q1 2026 Form 10-Q | Exhibit 32.1</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lowerLetter"/>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04"/>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3" Type="http://schemas.openxmlformats.org/officeDocument/2006/relationships/image" Target="media/image124.jpeg"/><Relationship Id="rId134" Type="http://schemas.openxmlformats.org/officeDocument/2006/relationships/image" Target="media/image125.png"/><Relationship Id="rId135" Type="http://schemas.openxmlformats.org/officeDocument/2006/relationships/image" Target="media/image126.jpeg"/><Relationship Id="rId136" Type="http://schemas.openxmlformats.org/officeDocument/2006/relationships/image" Target="media/image127.png"/><Relationship Id="rId137" Type="http://schemas.openxmlformats.org/officeDocument/2006/relationships/image" Target="media/image128.jpeg"/><Relationship Id="rId138" Type="http://schemas.openxmlformats.org/officeDocument/2006/relationships/image" Target="media/image129.png"/><Relationship Id="rId139" Type="http://schemas.openxmlformats.org/officeDocument/2006/relationships/image" Target="media/image130.jpeg"/><Relationship Id="rId140" Type="http://schemas.openxmlformats.org/officeDocument/2006/relationships/image" Target="media/image131.jpeg"/><Relationship Id="rId131" Type="http://schemas.openxmlformats.org/officeDocument/2006/relationships/hyperlink" Target="https://www.sec.gov/Archives/edgar/data/47111/000004711125000112/hsy_20250730exhibit31.htm" TargetMode="External"/><Relationship Id="rId132" Type="http://schemas.openxmlformats.org/officeDocument/2006/relationships/hyperlink" Target="https://www.sec.gov/Archives/edgar/data/47111/000162828025055617/ex31-amendedrestatedbyxlaw.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2026-04-30T10:58:54Z</dcterms:created>
  <dcterms:modified xsi:type="dcterms:W3CDTF">2026-04-30T10:58:54Z</dcterms:modified>
</cp:coreProperties>
</file>