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38"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4,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6920" w:type="dxa"/>
            <w:vAlign w:val="bottom"/>
            <w:gridSpan w:val="5"/>
          </w:tcPr>
          <w:p>
            <w:pPr>
              <w:jc w:val="center"/>
              <w:ind w:right="14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75"/>
        </w:trPr>
        <w:tc>
          <w:tcPr>
            <w:tcW w:w="3580" w:type="dxa"/>
            <w:vAlign w:val="bottom"/>
          </w:tcPr>
          <w:p>
            <w:pPr>
              <w:spacing w:after="0"/>
              <w:rPr>
                <w:sz w:val="15"/>
                <w:szCs w:val="15"/>
                <w:color w:val="auto"/>
              </w:rPr>
            </w:pPr>
          </w:p>
        </w:tc>
        <w:tc>
          <w:tcPr>
            <w:tcW w:w="3240" w:type="dxa"/>
            <w:vAlign w:val="bottom"/>
            <w:gridSpan w:val="3"/>
          </w:tcPr>
          <w:p>
            <w:pPr>
              <w:jc w:val="center"/>
              <w:ind w:left="750"/>
              <w:spacing w:after="0" w:line="176"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5"/>
        </w:trPr>
        <w:tc>
          <w:tcPr>
            <w:tcW w:w="358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Arial" w:cs="Arial" w:eastAsia="Arial" w:hAnsi="Arial"/>
                <w:sz w:val="18"/>
                <w:szCs w:val="18"/>
                <w:color w:val="auto"/>
                <w:w w:val="89"/>
              </w:rPr>
              <w:t>(Registrant's telephone number, including area code)</w:t>
            </w:r>
          </w:p>
        </w:tc>
      </w:tr>
      <w:tr>
        <w:trPr>
          <w:trHeight w:val="225"/>
        </w:trPr>
        <w:tc>
          <w:tcPr>
            <w:tcW w:w="692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19"/>
                <w:szCs w:val="19"/>
                <w:color w:val="auto"/>
              </w:rPr>
            </w:pPr>
          </w:p>
        </w:tc>
      </w:tr>
      <w:tr>
        <w:trPr>
          <w:trHeight w:val="234"/>
        </w:trPr>
        <w:tc>
          <w:tcPr>
            <w:tcW w:w="3580" w:type="dxa"/>
            <w:vAlign w:val="bottom"/>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58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09"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12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32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9" w:lineRule="exact"/>
        <w:rPr>
          <w:sz w:val="24"/>
          <w:szCs w:val="24"/>
          <w:color w:val="auto"/>
        </w:rPr>
      </w:pPr>
    </w:p>
    <w:p>
      <w:pPr>
        <w:ind w:left="160"/>
        <w:spacing w:after="0" w:line="207" w:lineRule="exact"/>
        <w:tabs>
          <w:tab w:leader="none" w:pos="1980" w:val="left"/>
          <w:tab w:leader="none" w:pos="2280" w:val="left"/>
          <w:tab w:leader="none" w:pos="3680" w:val="left"/>
          <w:tab w:leader="none" w:pos="87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9" w:lineRule="exact"/>
        <w:rPr>
          <w:sz w:val="24"/>
          <w:szCs w:val="24"/>
          <w:color w:val="auto"/>
        </w:r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value—145,425,767 shares, as of July 23, 2021.</w:t>
      </w:r>
    </w:p>
    <w:p>
      <w:pPr>
        <w:ind w:left="660"/>
        <w:spacing w:after="0"/>
        <w:rPr>
          <w:sz w:val="20"/>
          <w:szCs w:val="20"/>
          <w:color w:val="auto"/>
        </w:rPr>
      </w:pPr>
      <w:r>
        <w:rPr>
          <w:rFonts w:ascii="Arial" w:cs="Arial" w:eastAsia="Arial" w:hAnsi="Arial"/>
          <w:sz w:val="18"/>
          <w:szCs w:val="18"/>
          <w:color w:val="auto"/>
        </w:rPr>
        <w:t>Class B Common Stock, one dollar par value—60,613,777 shares, as of July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July 4,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9540" w:type="dxa"/>
            <w:vAlign w:val="bottom"/>
            <w:gridSpan w:val="39"/>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1660" w:type="dxa"/>
            <w:vAlign w:val="bottom"/>
            <w:gridSpan w:val="3"/>
            <w:shd w:val="clear" w:color="auto" w:fill="CCEEFF"/>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7"/>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6940" w:type="dxa"/>
            <w:vAlign w:val="bottom"/>
            <w:tcBorders>
              <w:top w:val="single" w:sz="8" w:color="CCEEFF"/>
            </w:tcBorders>
            <w:gridSpan w:val="22"/>
          </w:tcPr>
          <w:p>
            <w:pPr>
              <w:spacing w:after="0"/>
              <w:rPr>
                <w:sz w:val="15"/>
                <w:szCs w:val="15"/>
                <w:color w:val="auto"/>
              </w:rPr>
            </w:pPr>
          </w:p>
        </w:tc>
        <w:tc>
          <w:tcPr>
            <w:tcW w:w="158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0000FF"/>
            </w:tcBorders>
            <w:gridSpan w:val="34"/>
            <w:shd w:val="clear" w:color="auto" w:fill="CCEEFF"/>
          </w:tcPr>
          <w:p>
            <w:pPr>
              <w:spacing w:after="0" w:line="175" w:lineRule="exact"/>
              <w:rPr>
                <w:rFonts w:ascii="Arial" w:cs="Arial" w:eastAsia="Arial" w:hAnsi="Arial"/>
                <w:sz w:val="16"/>
                <w:szCs w:val="16"/>
                <w:color w:val="0000FF"/>
                <w:w w:val="91"/>
              </w:rPr>
            </w:pPr>
            <w:hyperlink w:anchor="page3">
              <w:r>
                <w:rPr>
                  <w:rFonts w:ascii="Arial" w:cs="Arial" w:eastAsia="Arial" w:hAnsi="Arial"/>
                  <w:sz w:val="16"/>
                  <w:szCs w:val="16"/>
                  <w:color w:val="0000FF"/>
                  <w:w w:val="91"/>
                </w:rPr>
                <w:t>Consolidated Statements of Income for the Three and Six Months Ended July 4, 2021 and June 28, 2020</w:t>
              </w:r>
            </w:hyperlink>
          </w:p>
        </w:tc>
        <w:tc>
          <w:tcPr>
            <w:tcW w:w="256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gridSpan w:val="38"/>
          </w:tcPr>
          <w:p>
            <w:pPr>
              <w:ind w:left="80"/>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for the Three and Six Months Ended July 4, 2021 and June 28, 2020</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Consolidated Balance Sheets as of July 4, 2021 and December 31, 2020</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Consolidated Statements of Cash Flows for the Six Months Ended July 4, 2021 and June 28, 2020</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580" w:type="dxa"/>
            <w:vAlign w:val="bottom"/>
            <w:tcBorders>
              <w:bottom w:val="single" w:sz="8" w:color="0000FF"/>
            </w:tcBorders>
            <w:gridSpan w:val="35"/>
            <w:shd w:val="clear" w:color="auto" w:fill="CCEEFF"/>
          </w:tcPr>
          <w:p>
            <w:pPr>
              <w:spacing w:after="0" w:line="175" w:lineRule="exact"/>
              <w:rPr>
                <w:rFonts w:ascii="Arial" w:cs="Arial" w:eastAsia="Arial" w:hAnsi="Arial"/>
                <w:sz w:val="16"/>
                <w:szCs w:val="16"/>
                <w:color w:val="0000FF"/>
                <w:w w:val="91"/>
              </w:rPr>
            </w:pPr>
            <w:hyperlink w:anchor="page6">
              <w:r>
                <w:rPr>
                  <w:rFonts w:ascii="Arial" w:cs="Arial" w:eastAsia="Arial" w:hAnsi="Arial"/>
                  <w:sz w:val="16"/>
                  <w:szCs w:val="16"/>
                  <w:color w:val="0000FF"/>
                  <w:w w:val="91"/>
                </w:rPr>
                <w:t>Consolidated Statement of Stockholders' Equity for the Three and Six Months Ended July 4, 2021 and June 28, 2020</w:t>
              </w:r>
            </w:hyperlink>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6</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gridSpan w:val="38"/>
          </w:tcPr>
          <w:p>
            <w:pPr>
              <w:ind w:left="80"/>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1660" w:type="dxa"/>
            <w:vAlign w:val="bottom"/>
            <w:gridSpan w:val="3"/>
          </w:tcPr>
          <w:p>
            <w:pPr>
              <w:jc w:val="right"/>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 1 - Summary of Significant Accounting Policies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Note 2 - Business Acquisition and Divestitures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Note 3 - Goodwill and Intangible Assets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10</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Note 4 - Short and Long-Term Debt</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10</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Note 5 - Derivative Instruments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12</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6 - Fair Value Measurements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7 - Leases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8 - Investments in Unconsolidated Affiliates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9 - Business Realignment Activities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10 - Income Taxes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21</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11 - Pension and Other Post-Retirement Benefit Plans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24">
              <w:r>
                <w:rPr>
                  <w:rFonts w:ascii="Arial" w:cs="Arial" w:eastAsia="Arial" w:hAnsi="Arial"/>
                  <w:sz w:val="16"/>
                  <w:szCs w:val="16"/>
                  <w:color w:val="0000FF"/>
                </w:rPr>
                <w:t>Note 12 - Stock Compensation Plans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13 - Segment Information</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Note 14 - Treasury Stock Activity</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15 - Noncontrolling Interest</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16 - Contingencies</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17 - Earnings Per Share</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gridSpan w:val="37"/>
          </w:tcPr>
          <w:p>
            <w:pPr>
              <w:ind w:left="3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Note 18 - Other (Income) Expense, Net</w:t>
              </w:r>
            </w:hyperlink>
          </w:p>
        </w:tc>
        <w:tc>
          <w:tcPr>
            <w:tcW w:w="1660" w:type="dxa"/>
            <w:vAlign w:val="bottom"/>
            <w:gridSpan w:val="3"/>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4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Note 19 - Supplemental Balance Sheet Information</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54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660" w:type="dxa"/>
            <w:vAlign w:val="bottom"/>
            <w:gridSpan w:val="3"/>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2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31"/>
          </w:tcPr>
          <w:p>
            <w:pPr>
              <w:spacing w:after="0" w:line="175" w:lineRule="exact"/>
              <w:rPr>
                <w:sz w:val="20"/>
                <w:szCs w:val="20"/>
                <w:color w:val="auto"/>
              </w:rPr>
            </w:pPr>
            <w:r>
              <w:rPr>
                <w:rFonts w:ascii="Arial" w:cs="Arial" w:eastAsia="Arial" w:hAnsi="Arial"/>
                <w:sz w:val="16"/>
                <w:szCs w:val="16"/>
                <w:color w:val="0000FF"/>
              </w:rPr>
              <w:t>Item 4. Controls and Procedures</w:t>
            </w:r>
          </w:p>
        </w:tc>
        <w:tc>
          <w:tcPr>
            <w:tcW w:w="5000" w:type="dxa"/>
            <w:vAlign w:val="bottom"/>
            <w:tcBorders>
              <w:top w:val="single" w:sz="8" w:color="CCEEFF"/>
            </w:tcBorders>
            <w:gridSpan w:val="7"/>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48">
              <w:r>
                <w:rPr>
                  <w:rFonts w:ascii="Arial" w:cs="Arial" w:eastAsia="Arial" w:hAnsi="Arial"/>
                  <w:sz w:val="16"/>
                  <w:szCs w:val="16"/>
                  <w:color w:val="0000FF"/>
                  <w:w w:val="78"/>
                </w:rPr>
                <w:t>48</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540" w:type="dxa"/>
            <w:vAlign w:val="bottom"/>
            <w:gridSpan w:val="39"/>
            <w:shd w:val="clear" w:color="auto" w:fill="CCEEFF"/>
          </w:tcPr>
          <w:p>
            <w:pPr>
              <w:spacing w:after="0" w:line="175" w:lineRule="exact"/>
              <w:rPr>
                <w:sz w:val="20"/>
                <w:szCs w:val="20"/>
                <w:color w:val="auto"/>
              </w:rPr>
            </w:pPr>
            <w:r>
              <w:rPr>
                <w:rFonts w:ascii="Arial" w:cs="Arial" w:eastAsia="Arial" w:hAnsi="Arial"/>
                <w:sz w:val="16"/>
                <w:szCs w:val="16"/>
                <w:color w:val="0000FF"/>
              </w:rPr>
              <w:t>PART II. OTHER INFORMATION</w:t>
            </w:r>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14"/>
          </w:tcPr>
          <w:p>
            <w:pPr>
              <w:ind w:left="120"/>
              <w:spacing w:after="0" w:line="175" w:lineRule="exact"/>
              <w:rPr>
                <w:sz w:val="20"/>
                <w:szCs w:val="20"/>
                <w:color w:val="auto"/>
              </w:rPr>
            </w:pPr>
            <w:r>
              <w:rPr>
                <w:rFonts w:ascii="Arial" w:cs="Arial" w:eastAsia="Arial" w:hAnsi="Arial"/>
                <w:sz w:val="16"/>
                <w:szCs w:val="16"/>
                <w:color w:val="0000FF"/>
              </w:rPr>
              <w:t>Item 1. Legal Proceedings</w:t>
            </w:r>
          </w:p>
        </w:tc>
        <w:tc>
          <w:tcPr>
            <w:tcW w:w="7220" w:type="dxa"/>
            <w:vAlign w:val="bottom"/>
            <w:tcBorders>
              <w:top w:val="single" w:sz="8" w:color="CCEEFF"/>
            </w:tcBorders>
            <w:gridSpan w:val="25"/>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6"/>
            <w:shd w:val="clear" w:color="auto" w:fill="CCEEFF"/>
          </w:tcPr>
          <w:p>
            <w:pPr>
              <w:spacing w:after="0" w:line="175" w:lineRule="exact"/>
              <w:rPr>
                <w:sz w:val="20"/>
                <w:szCs w:val="20"/>
                <w:color w:val="auto"/>
              </w:rPr>
            </w:pPr>
            <w:r>
              <w:rPr>
                <w:rFonts w:ascii="Arial" w:cs="Arial" w:eastAsia="Arial" w:hAnsi="Arial"/>
                <w:sz w:val="16"/>
                <w:szCs w:val="16"/>
                <w:color w:val="0000FF"/>
                <w:w w:val="92"/>
              </w:rPr>
              <w:t>Item 1A. Risk Factors</w:t>
            </w:r>
          </w:p>
        </w:tc>
        <w:tc>
          <w:tcPr>
            <w:tcW w:w="7980" w:type="dxa"/>
            <w:vAlign w:val="bottom"/>
            <w:tcBorders>
              <w:bottom w:val="single" w:sz="8" w:color="CCEEFF"/>
            </w:tcBorders>
            <w:gridSpan w:val="3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54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2. Unregistered Sales of Equity Securities and Use of Proceeds</w:t>
            </w:r>
          </w:p>
        </w:tc>
        <w:tc>
          <w:tcPr>
            <w:tcW w:w="1660" w:type="dxa"/>
            <w:vAlign w:val="bottom"/>
            <w:gridSpan w:val="3"/>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8"/>
            <w:shd w:val="clear" w:color="auto" w:fill="CCEEFF"/>
          </w:tcPr>
          <w:p>
            <w:pPr>
              <w:spacing w:after="0" w:line="175" w:lineRule="exact"/>
              <w:rPr>
                <w:sz w:val="20"/>
                <w:szCs w:val="20"/>
                <w:color w:val="auto"/>
              </w:rPr>
            </w:pPr>
            <w:r>
              <w:rPr>
                <w:rFonts w:ascii="Arial" w:cs="Arial" w:eastAsia="Arial" w:hAnsi="Arial"/>
                <w:sz w:val="16"/>
                <w:szCs w:val="16"/>
                <w:color w:val="0000FF"/>
                <w:w w:val="92"/>
              </w:rPr>
              <w:t>Item 3. Defaults Upon Senior Securities</w:t>
            </w:r>
          </w:p>
        </w:tc>
        <w:tc>
          <w:tcPr>
            <w:tcW w:w="6820" w:type="dxa"/>
            <w:vAlign w:val="bottom"/>
            <w:tcBorders>
              <w:bottom w:val="single" w:sz="8" w:color="CCEEFF"/>
            </w:tcBorders>
            <w:gridSpan w:val="20"/>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54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4. Mine Safety Disclosures</w:t>
            </w:r>
          </w:p>
        </w:tc>
        <w:tc>
          <w:tcPr>
            <w:tcW w:w="1660" w:type="dxa"/>
            <w:vAlign w:val="bottom"/>
            <w:gridSpan w:val="3"/>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2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Item 5. Other Information</w:t>
            </w:r>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7"/>
          </w:tcPr>
          <w:p>
            <w:pPr>
              <w:spacing w:after="0" w:line="175" w:lineRule="exact"/>
              <w:rPr>
                <w:sz w:val="20"/>
                <w:szCs w:val="20"/>
                <w:color w:val="auto"/>
              </w:rPr>
            </w:pPr>
            <w:r>
              <w:rPr>
                <w:rFonts w:ascii="Arial" w:cs="Arial" w:eastAsia="Arial" w:hAnsi="Arial"/>
                <w:sz w:val="16"/>
                <w:szCs w:val="16"/>
                <w:color w:val="0000FF"/>
              </w:rPr>
              <w:t>Item 6. Exhibits</w:t>
            </w:r>
          </w:p>
        </w:tc>
        <w:tc>
          <w:tcPr>
            <w:tcW w:w="7740" w:type="dxa"/>
            <w:vAlign w:val="bottom"/>
            <w:tcBorders>
              <w:top w:val="single" w:sz="8" w:color="CCEEFF"/>
            </w:tcBorders>
            <w:gridSpan w:val="31"/>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540" w:type="dxa"/>
            <w:vAlign w:val="bottom"/>
            <w:gridSpan w:val="39"/>
            <w:shd w:val="clear" w:color="auto" w:fill="CCEEFF"/>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Signatures</w:t>
              </w:r>
            </w:hyperlink>
          </w:p>
        </w:tc>
        <w:tc>
          <w:tcPr>
            <w:tcW w:w="166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July 4, 2021</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June 28, 2020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July 4, 2021</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5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1,989,422</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4,285,370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3,744,646</w:t>
            </w:r>
          </w:p>
        </w:tc>
      </w:tr>
      <w:tr>
        <w:trPr>
          <w:trHeight w:val="229"/>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1,063,977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2,310,974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2,085,472</w:t>
            </w:r>
          </w:p>
        </w:tc>
      </w:tr>
      <w:tr>
        <w:trPr>
          <w:trHeight w:val="22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925,445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1,659,174</w:t>
            </w: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467,629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408,949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962,294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884,333</w:t>
            </w: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 impairment charges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29"/>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Business realignment costs (benefits)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766,173</w:t>
            </w: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31,065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74,334</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418,416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932,610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669,089</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117,186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132,264</w:t>
            </w: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301,230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268,042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698,101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536,825</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gain attributable to noncontrolling interest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2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301,230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697,029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540,038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share—basic:</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5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share—diluted: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5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Dividends paid per share: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0.731</w:t>
            </w:r>
          </w:p>
        </w:tc>
        <w:tc>
          <w:tcPr>
            <w:tcW w:w="1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0.702</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1.404</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For the Six Months Ended</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July 4, 2021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w w:val="94"/>
              </w:rPr>
              <w:t>June 28, 2020</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jc w:val="right"/>
              <w:ind w:right="568"/>
              <w:spacing w:after="0"/>
              <w:rPr>
                <w:sz w:val="20"/>
                <w:szCs w:val="20"/>
                <w:color w:val="auto"/>
              </w:rPr>
            </w:pPr>
            <w:r>
              <w:rPr>
                <w:rFonts w:ascii="Arial" w:cs="Arial" w:eastAsia="Arial" w:hAnsi="Arial"/>
                <w:sz w:val="14"/>
                <w:szCs w:val="14"/>
                <w:b w:val="1"/>
                <w:bCs w:val="1"/>
                <w:color w:val="auto"/>
              </w:rPr>
              <w:t>July 4, 2021</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June 28, 2020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Tax</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Tax</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Tax</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After-Tax  Pre-Tax</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00"/>
              <w:spacing w:after="0" w:line="130" w:lineRule="exact"/>
              <w:rPr>
                <w:sz w:val="20"/>
                <w:szCs w:val="20"/>
                <w:color w:val="auto"/>
              </w:rPr>
            </w:pPr>
            <w:r>
              <w:rPr>
                <w:rFonts w:ascii="Arial" w:cs="Arial" w:eastAsia="Arial" w:hAnsi="Arial"/>
                <w:sz w:val="14"/>
                <w:szCs w:val="14"/>
                <w:b w:val="1"/>
                <w:bCs w:val="1"/>
                <w:color w:val="auto"/>
                <w:w w:val="90"/>
              </w:rPr>
              <w:t>Tax</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After-Tax</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4760" w:type="dxa"/>
            <w:vAlign w:val="bottom"/>
            <w:gridSpan w:val="15"/>
          </w:tcPr>
          <w:p>
            <w:pPr>
              <w:jc w:val="right"/>
              <w:spacing w:after="0" w:line="135" w:lineRule="exact"/>
              <w:rPr>
                <w:sz w:val="20"/>
                <w:szCs w:val="20"/>
                <w:color w:val="auto"/>
              </w:rPr>
            </w:pPr>
            <w:r>
              <w:rPr>
                <w:rFonts w:ascii="Arial" w:cs="Arial" w:eastAsia="Arial" w:hAnsi="Arial"/>
                <w:sz w:val="14"/>
                <w:szCs w:val="14"/>
                <w:b w:val="1"/>
                <w:bCs w:val="1"/>
                <w:color w:val="auto"/>
              </w:rPr>
              <w:t>Pre-Tax  (Expense)  After-Tax  Pre-Tax  (Expense)  After-Tax  Pre-Tax</w:t>
            </w:r>
          </w:p>
        </w:tc>
        <w:tc>
          <w:tcPr>
            <w:tcW w:w="8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9"/>
              </w:rPr>
              <w:t>(Expense)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(Expense)</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2"/>
              </w:rPr>
              <w:t>Benefit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16"/>
        </w:trPr>
        <w:tc>
          <w:tcPr>
            <w:tcW w:w="284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Net income including noncontrolling</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$ 301,230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$ 268,042</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$ 698,101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$ 536,825</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Other comprehensive income (loss), net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tax:</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20"/>
              <w:spacing w:after="0" w:line="135" w:lineRule="exact"/>
              <w:rPr>
                <w:sz w:val="20"/>
                <w:szCs w:val="20"/>
                <w:color w:val="auto"/>
              </w:rPr>
            </w:pPr>
            <w:r>
              <w:rPr>
                <w:rFonts w:ascii="Arial" w:cs="Arial" w:eastAsia="Arial" w:hAnsi="Arial"/>
                <w:sz w:val="14"/>
                <w:szCs w:val="14"/>
                <w:color w:val="auto"/>
                <w:w w:val="98"/>
              </w:rPr>
              <w:t>Foreign currency translation gains (losses)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88"/>
              </w:rPr>
              <w:t>$ 12,996</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12,996</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$ 3,052</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3,052</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$ 14,194</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14,194</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 (48,292)</w:t>
            </w: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(48,292)</w:t>
            </w:r>
          </w:p>
        </w:tc>
        <w:tc>
          <w:tcPr>
            <w:tcW w:w="0" w:type="dxa"/>
            <w:vAlign w:val="bottom"/>
          </w:tcPr>
          <w:p>
            <w:pPr>
              <w:spacing w:after="0"/>
              <w:rPr>
                <w:sz w:val="1"/>
                <w:szCs w:val="1"/>
                <w:color w:val="auto"/>
              </w:rPr>
            </w:pPr>
          </w:p>
        </w:tc>
      </w:tr>
      <w:tr>
        <w:trPr>
          <w:trHeight w:val="186"/>
        </w:trPr>
        <w:tc>
          <w:tcPr>
            <w:tcW w:w="2840" w:type="dxa"/>
            <w:vAlign w:val="bottom"/>
          </w:tcPr>
          <w:p>
            <w:pPr>
              <w:ind w:left="220"/>
              <w:spacing w:after="0"/>
              <w:rPr>
                <w:sz w:val="20"/>
                <w:szCs w:val="20"/>
                <w:color w:val="auto"/>
              </w:rPr>
            </w:pPr>
            <w:r>
              <w:rPr>
                <w:rFonts w:ascii="Arial" w:cs="Arial" w:eastAsia="Arial" w:hAnsi="Arial"/>
                <w:sz w:val="14"/>
                <w:szCs w:val="14"/>
                <w:color w:val="auto"/>
              </w:rPr>
              <w:t>during period</w:t>
            </w:r>
          </w:p>
        </w:tc>
        <w:tc>
          <w:tcPr>
            <w:tcW w:w="5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7"/>
              </w:rPr>
              <w:t>Reclassification to earnings due to the sale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businesses</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Pension and post-retirement benefit plans: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actuarial gain and service cost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15,777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(16,685)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w:t>
            </w:r>
          </w:p>
        </w:tc>
        <w:tc>
          <w:tcPr>
            <w:tcW w:w="0" w:type="dxa"/>
            <w:vAlign w:val="bottom"/>
          </w:tcPr>
          <w:p>
            <w:pPr>
              <w:spacing w:after="0"/>
              <w:rPr>
                <w:sz w:val="1"/>
                <w:szCs w:val="1"/>
                <w:color w:val="auto"/>
              </w:rPr>
            </w:pPr>
          </w:p>
        </w:tc>
      </w:tr>
      <w:tr>
        <w:trPr>
          <w:trHeight w:val="186"/>
        </w:trPr>
        <w:tc>
          <w:tcPr>
            <w:tcW w:w="2840" w:type="dxa"/>
            <w:vAlign w:val="bottom"/>
          </w:tcPr>
          <w:p>
            <w:pPr>
              <w:ind w:left="220"/>
              <w:spacing w:after="0"/>
              <w:rPr>
                <w:sz w:val="20"/>
                <w:szCs w:val="20"/>
                <w:color w:val="auto"/>
              </w:rPr>
            </w:pPr>
            <w:r>
              <w:rPr>
                <w:rFonts w:ascii="Arial" w:cs="Arial" w:eastAsia="Arial" w:hAnsi="Arial"/>
                <w:sz w:val="14"/>
                <w:szCs w:val="14"/>
                <w:color w:val="auto"/>
              </w:rPr>
              <w:t>Reclassification to earnings</w:t>
            </w:r>
          </w:p>
        </w:tc>
        <w:tc>
          <w:tcPr>
            <w:tcW w:w="560" w:type="dxa"/>
            <w:vAlign w:val="bottom"/>
          </w:tcPr>
          <w:p>
            <w:pPr>
              <w:jc w:val="right"/>
              <w:spacing w:after="0"/>
              <w:rPr>
                <w:sz w:val="20"/>
                <w:szCs w:val="20"/>
                <w:color w:val="auto"/>
              </w:rPr>
            </w:pPr>
            <w:r>
              <w:rPr>
                <w:rFonts w:ascii="Arial" w:cs="Arial" w:eastAsia="Arial" w:hAnsi="Arial"/>
                <w:sz w:val="14"/>
                <w:szCs w:val="14"/>
                <w:color w:val="auto"/>
              </w:rPr>
              <w:t>8,936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(2,201)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6,735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8,542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(2,183)</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6,359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15,789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(4,068)</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11,721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13,297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10,566</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20"/>
              <w:spacing w:after="0" w:line="135" w:lineRule="exact"/>
              <w:rPr>
                <w:sz w:val="20"/>
                <w:szCs w:val="20"/>
                <w:color w:val="auto"/>
              </w:rPr>
            </w:pPr>
            <w:r>
              <w:rPr>
                <w:rFonts w:ascii="Arial" w:cs="Arial" w:eastAsia="Arial" w:hAnsi="Arial"/>
                <w:sz w:val="14"/>
                <w:szCs w:val="14"/>
                <w:color w:val="auto"/>
              </w:rPr>
              <w:t>(Losses) gains on cash flow hedging</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(6,344)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(6,790)</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1,513</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(7,979)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(8,138)</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6,056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5,788</w:t>
            </w:r>
          </w:p>
        </w:tc>
        <w:tc>
          <w:tcPr>
            <w:tcW w:w="0" w:type="dxa"/>
            <w:vAlign w:val="bottom"/>
          </w:tcPr>
          <w:p>
            <w:pPr>
              <w:spacing w:after="0"/>
              <w:rPr>
                <w:sz w:val="1"/>
                <w:szCs w:val="1"/>
                <w:color w:val="auto"/>
              </w:rPr>
            </w:pPr>
          </w:p>
        </w:tc>
      </w:tr>
      <w:tr>
        <w:trPr>
          <w:trHeight w:val="186"/>
        </w:trPr>
        <w:tc>
          <w:tcPr>
            <w:tcW w:w="2840" w:type="dxa"/>
            <w:vAlign w:val="bottom"/>
          </w:tcPr>
          <w:p>
            <w:pPr>
              <w:ind w:left="220"/>
              <w:spacing w:after="0"/>
              <w:rPr>
                <w:sz w:val="20"/>
                <w:szCs w:val="20"/>
                <w:color w:val="auto"/>
              </w:rPr>
            </w:pPr>
            <w:r>
              <w:rPr>
                <w:rFonts w:ascii="Arial" w:cs="Arial" w:eastAsia="Arial" w:hAnsi="Arial"/>
                <w:sz w:val="14"/>
                <w:szCs w:val="14"/>
                <w:color w:val="auto"/>
              </w:rPr>
              <w:t>derivatives</w:t>
            </w: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5,681</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5,839</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8,436</w:t>
            </w: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other comprehensive income (loss),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88"/>
              </w:rPr>
              <w:t>$ 39,750</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(6,888)</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32,862</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 (3,211)</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1,792</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(1,419)</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$ 56,737</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(9,537)</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47,200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 (42,327)</w:t>
            </w: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(975)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(43,302)</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net of tax</w:t>
            </w:r>
          </w:p>
        </w:tc>
        <w:tc>
          <w:tcPr>
            <w:tcW w:w="5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Total comprehensive income including</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$ 334,092</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$ 266,623</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gridSpan w:val="2"/>
            <w:vMerge w:val="restart"/>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$ 745,301</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$ 493,523</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gridSpan w:val="2"/>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140"/>
              <w:spacing w:after="0" w:line="115" w:lineRule="exact"/>
              <w:rPr>
                <w:sz w:val="20"/>
                <w:szCs w:val="20"/>
                <w:color w:val="auto"/>
              </w:rPr>
            </w:pPr>
            <w:r>
              <w:rPr>
                <w:rFonts w:ascii="Arial" w:cs="Arial" w:eastAsia="Arial" w:hAnsi="Arial"/>
                <w:sz w:val="13"/>
                <w:szCs w:val="13"/>
                <w:color w:val="auto"/>
              </w:rPr>
              <w:t>Comprehensive (loss) income attributable to</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6,326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8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Comprehensive income attributable to The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$ 334,100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$ 267,449</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$ 738,975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$ 496,811</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Hershey Company</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291465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50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660" w:type="dxa"/>
            <w:vAlign w:val="bottom"/>
            <w:gridSpan w:val="2"/>
          </w:tcPr>
          <w:p>
            <w:pPr>
              <w:jc w:val="center"/>
              <w:ind w:left="4170"/>
              <w:spacing w:after="0"/>
              <w:rPr>
                <w:sz w:val="20"/>
                <w:szCs w:val="20"/>
                <w:color w:val="auto"/>
              </w:rPr>
            </w:pPr>
            <w:r>
              <w:rPr>
                <w:rFonts w:ascii="Arial" w:cs="Arial" w:eastAsia="Arial" w:hAnsi="Arial"/>
                <w:sz w:val="18"/>
                <w:szCs w:val="18"/>
                <w:b w:val="1"/>
                <w:bCs w:val="1"/>
                <w:color w:val="auto"/>
              </w:rPr>
              <w:t>THE HERSHEY COMPANY</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40" w:type="dxa"/>
            <w:vAlign w:val="bottom"/>
            <w:gridSpan w:val="3"/>
          </w:tcPr>
          <w:p>
            <w:pPr>
              <w:jc w:val="center"/>
              <w:ind w:left="3690"/>
              <w:spacing w:after="0"/>
              <w:rPr>
                <w:sz w:val="20"/>
                <w:szCs w:val="20"/>
                <w:color w:val="auto"/>
              </w:rPr>
            </w:pPr>
            <w:r>
              <w:rPr>
                <w:rFonts w:ascii="Arial" w:cs="Arial" w:eastAsia="Arial" w:hAnsi="Arial"/>
                <w:sz w:val="18"/>
                <w:szCs w:val="18"/>
                <w:b w:val="1"/>
                <w:bCs w:val="1"/>
                <w:color w:val="auto"/>
                <w:w w:val="99"/>
              </w:rPr>
              <w:t>CONSOLIDATED BALANCE SHEETS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gridSpan w:val="3"/>
          </w:tcPr>
          <w:p>
            <w:pPr>
              <w:jc w:val="center"/>
              <w:ind w:left="3690"/>
              <w:spacing w:after="0"/>
              <w:rPr>
                <w:sz w:val="20"/>
                <w:szCs w:val="20"/>
                <w:color w:val="auto"/>
              </w:rPr>
            </w:pPr>
            <w:r>
              <w:rPr>
                <w:rFonts w:ascii="Arial" w:cs="Arial" w:eastAsia="Arial" w:hAnsi="Arial"/>
                <w:sz w:val="18"/>
                <w:szCs w:val="18"/>
                <w:b w:val="1"/>
                <w:bCs w:val="1"/>
                <w:color w:val="auto"/>
                <w:w w:val="88"/>
              </w:rPr>
              <w:t>(in thousands, except share data)</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4, 2021</w:t>
            </w:r>
          </w:p>
        </w:tc>
        <w:tc>
          <w:tcPr>
            <w:tcW w:w="320" w:type="dxa"/>
            <w:vAlign w:val="bottom"/>
          </w:tcPr>
          <w:p>
            <w:pPr>
              <w:spacing w:after="0"/>
              <w:rPr>
                <w:sz w:val="23"/>
                <w:szCs w:val="23"/>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1,143,987</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Accounts receivable—trade, net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532,401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615,233</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254,478</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2,219,181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2,977,905</w:t>
            </w:r>
          </w:p>
        </w:tc>
        <w:tc>
          <w:tcPr>
            <w:tcW w:w="0" w:type="dxa"/>
            <w:vAlign w:val="bottom"/>
          </w:tcPr>
          <w:p>
            <w:pPr>
              <w:spacing w:after="0"/>
              <w:rPr>
                <w:sz w:val="1"/>
                <w:szCs w:val="1"/>
                <w:color w:val="auto"/>
              </w:rPr>
            </w:pPr>
          </w:p>
        </w:tc>
      </w:tr>
      <w:tr>
        <w:trPr>
          <w:trHeight w:val="229"/>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 net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2,341,825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2,285,255</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intangibles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1,509,435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1,295,214</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non-current 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Deferred 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8,883,863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615,641</w:t>
            </w:r>
          </w:p>
        </w:tc>
        <w:tc>
          <w:tcPr>
            <w:tcW w:w="12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580,058</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781,766</w:t>
            </w: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Accrued income taxes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52,035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1,587,002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1,891,745</w:t>
            </w:r>
          </w:p>
        </w:tc>
        <w:tc>
          <w:tcPr>
            <w:tcW w:w="0" w:type="dxa"/>
            <w:vAlign w:val="bottom"/>
          </w:tcPr>
          <w:p>
            <w:pPr>
              <w:spacing w:after="0"/>
              <w:rPr>
                <w:sz w:val="1"/>
                <w:szCs w:val="1"/>
                <w:color w:val="auto"/>
              </w:rPr>
            </w:pPr>
          </w:p>
        </w:tc>
      </w:tr>
      <w:tr>
        <w:trPr>
          <w:trHeight w:val="229"/>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4,095,200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683,434</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income taxes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256,167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229,028</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6,609,970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6,893,962</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The Hershey Company stockholders’ equity</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shares issued: none in 2021 and 2020</w:t>
            </w: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w w:val="93"/>
              </w:rPr>
              <w:t>Common stock, shares issued: 160,939,248 at July 4, 2021 and December 31, 2020</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160,939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175"/>
        </w:trPr>
        <w:tc>
          <w:tcPr>
            <w:tcW w:w="66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Class B common stock, shares issued: 60,613,777 at July 4, 2021 and December 31,</w:t>
            </w:r>
          </w:p>
        </w:tc>
        <w:tc>
          <w:tcPr>
            <w:tcW w:w="4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1,218,708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1,191,200</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1,928,673</w:t>
            </w:r>
          </w:p>
        </w:tc>
        <w:tc>
          <w:tcPr>
            <w:tcW w:w="0" w:type="dxa"/>
            <w:vAlign w:val="bottom"/>
          </w:tcPr>
          <w:p>
            <w:pPr>
              <w:spacing w:after="0"/>
              <w:rPr>
                <w:sz w:val="1"/>
                <w:szCs w:val="1"/>
                <w:color w:val="auto"/>
              </w:rPr>
            </w:pPr>
          </w:p>
        </w:tc>
      </w:tr>
      <w:tr>
        <w:trPr>
          <w:trHeight w:val="175"/>
        </w:trPr>
        <w:tc>
          <w:tcPr>
            <w:tcW w:w="66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Treasury—common stock shares, at cost: 15,528,828 at July 4, 2021 and</w:t>
            </w:r>
          </w:p>
        </w:tc>
        <w:tc>
          <w:tcPr>
            <w:tcW w:w="4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(1,180,881)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(768,992)</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40"/>
              <w:spacing w:after="0"/>
              <w:rPr>
                <w:sz w:val="20"/>
                <w:szCs w:val="20"/>
                <w:color w:val="auto"/>
              </w:rPr>
            </w:pPr>
            <w:r>
              <w:rPr>
                <w:rFonts w:ascii="Arial" w:cs="Arial" w:eastAsia="Arial" w:hAnsi="Arial"/>
                <w:sz w:val="18"/>
                <w:szCs w:val="18"/>
                <w:color w:val="auto"/>
              </w:rPr>
              <w:t>13,325,898 at December 31, 2020</w:t>
            </w:r>
          </w:p>
        </w:tc>
        <w:tc>
          <w:tcPr>
            <w:tcW w:w="4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(338,082)</w:t>
            </w:r>
          </w:p>
        </w:tc>
        <w:tc>
          <w:tcPr>
            <w:tcW w:w="0" w:type="dxa"/>
            <w:vAlign w:val="bottom"/>
          </w:tcPr>
          <w:p>
            <w:pPr>
              <w:spacing w:after="0"/>
              <w:rPr>
                <w:sz w:val="1"/>
                <w:szCs w:val="1"/>
                <w:color w:val="auto"/>
              </w:rPr>
            </w:pPr>
          </w:p>
        </w:tc>
      </w:tr>
      <w:tr>
        <w:trPr>
          <w:trHeight w:val="223"/>
        </w:trPr>
        <w:tc>
          <w:tcPr>
            <w:tcW w:w="6560" w:type="dxa"/>
            <w:vAlign w:val="bottom"/>
          </w:tcPr>
          <w:p>
            <w:pPr>
              <w:ind w:left="480"/>
              <w:spacing w:after="0"/>
              <w:rPr>
                <w:sz w:val="20"/>
                <w:szCs w:val="20"/>
                <w:color w:val="auto"/>
              </w:rPr>
            </w:pPr>
            <w:r>
              <w:rPr>
                <w:rFonts w:ascii="Arial" w:cs="Arial" w:eastAsia="Arial" w:hAnsi="Arial"/>
                <w:sz w:val="18"/>
                <w:szCs w:val="18"/>
                <w:color w:val="auto"/>
              </w:rPr>
              <w:t>Total—The Hershey Company stockholders’ equity</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2,265,049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2,234,352</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Noncontrolling interest in subsidiary</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2,273,893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2,237,883</w:t>
            </w: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8,883,863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4, 2021</w:t>
            </w:r>
          </w:p>
        </w:tc>
        <w:tc>
          <w:tcPr>
            <w:tcW w:w="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28, 2020</w:t>
            </w:r>
          </w:p>
        </w:tc>
      </w:tr>
      <w:tr>
        <w:trPr>
          <w:trHeight w:val="19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Net income including noncontrolling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698,101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536,825</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142,524</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25,490</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Write-down of equity investments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18,550</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27,311</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Changes in assets and liabilities, net of business acquisitions and divestitures: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receivable—trade,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(194,396)</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15,730</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(19,304)</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Accrued income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65,169</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Contributions to pension and other benefit plans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(9,338)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(8,333)</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(19,765)</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1,017,652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614,047</w:t>
            </w:r>
          </w:p>
        </w:tc>
      </w:tr>
      <w:tr>
        <w:trPr>
          <w:trHeight w:val="19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Capital additions (including software)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(185,784)</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(26,392)</w:t>
            </w: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Business acquisitions, net of cash and cash equivalents acquired</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(418,191)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(209,802)</w:t>
            </w:r>
          </w:p>
        </w:tc>
      </w:tr>
      <w:tr>
        <w:trPr>
          <w:trHeight w:val="19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Net increase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166,017</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Long-term borrowings, net of debt issuance costs</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989,876</w:t>
            </w: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Repayment of long-term debt and finance leases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(436,957)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(352,104)</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Cash dividends paid</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(314,279)</w:t>
            </w: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(434,346)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(211,196)</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Exercise of 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17,544</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295,858</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(17,351)</w:t>
            </w: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 including cash classified as held for sale</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(729,220)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682,752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Decrease (increase) in cash and cash equivalents classified as held for sale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(717,786)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672,069</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493,262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1,165,331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68,345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74,944</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71,633</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Three Months Ended July 4, 2021 and June 28, 2020</w:t>
      </w:r>
    </w:p>
    <w:p>
      <w:pPr>
        <w:ind w:left="5120"/>
        <w:spacing w:after="0" w:line="204" w:lineRule="auto"/>
        <w:rPr>
          <w:sz w:val="20"/>
          <w:szCs w:val="20"/>
          <w:color w:val="auto"/>
        </w:rPr>
      </w:pPr>
      <w:r>
        <w:rPr>
          <w:rFonts w:ascii="Arial" w:cs="Arial" w:eastAsia="Arial" w:hAnsi="Arial"/>
          <w:sz w:val="18"/>
          <w:szCs w:val="18"/>
          <w:b w:val="1"/>
          <w:bCs w:val="1"/>
          <w:color w:val="auto"/>
        </w:rPr>
        <w:t>(in thousands)</w:t>
      </w:r>
    </w:p>
    <w:p>
      <w:pPr>
        <w:ind w:left="516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4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April 4, 2021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Common Stock, $0.804 per share</w:t>
      </w:r>
    </w:p>
    <w:p>
      <w:pPr>
        <w:spacing w:after="0" w:line="28" w:lineRule="exact"/>
        <w:rPr>
          <w:sz w:val="20"/>
          <w:szCs w:val="20"/>
          <w:color w:val="auto"/>
        </w:rPr>
      </w:pPr>
    </w:p>
    <w:p>
      <w:pPr>
        <w:ind w:left="20" w:right="420" w:firstLine="203"/>
        <w:spacing w:after="0" w:line="281" w:lineRule="auto"/>
        <w:rPr>
          <w:sz w:val="20"/>
          <w:szCs w:val="20"/>
          <w:color w:val="auto"/>
        </w:rPr>
      </w:pPr>
      <w:r>
        <w:rPr>
          <w:rFonts w:ascii="Arial" w:cs="Arial" w:eastAsia="Arial" w:hAnsi="Arial"/>
          <w:sz w:val="14"/>
          <w:szCs w:val="14"/>
          <w:color w:val="auto"/>
        </w:rPr>
        <w:t>Class B Common Stock, $0.731 per share Stock-based compensation</w:t>
      </w:r>
    </w:p>
    <w:p>
      <w:pPr>
        <w:spacing w:after="0" w:line="1"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left="20" w:right="1320"/>
        <w:spacing w:after="0" w:line="420" w:lineRule="auto"/>
        <w:rPr>
          <w:sz w:val="20"/>
          <w:szCs w:val="20"/>
          <w:color w:val="auto"/>
        </w:rPr>
      </w:pPr>
      <w:r>
        <w:rPr>
          <w:rFonts w:ascii="Arial" w:cs="Arial" w:eastAsia="Arial" w:hAnsi="Arial"/>
          <w:sz w:val="13"/>
          <w:szCs w:val="13"/>
          <w:color w:val="auto"/>
        </w:rPr>
        <w:t xml:space="preserve">Repurchase of common stock </w:t>
      </w:r>
      <w:r>
        <w:rPr>
          <w:rFonts w:ascii="Arial" w:cs="Arial" w:eastAsia="Arial" w:hAnsi="Arial"/>
          <w:sz w:val="13"/>
          <w:szCs w:val="13"/>
          <w:b w:val="1"/>
          <w:bCs w:val="1"/>
          <w:color w:val="auto"/>
        </w:rPr>
        <w:t>Balance, July 4,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$ 1,195,748</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$ 2,162,464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(994,765)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(329,006)</w:t>
            </w:r>
          </w:p>
        </w:tc>
        <w:tc>
          <w:tcPr>
            <w:tcW w:w="12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8,852</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2,264,846</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301,230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301,230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32,862</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(117,581)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(117,581)</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(44,308)</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13,710</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(193,987)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(193,987)</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$ 1,218,708</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$ 2,301,805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(1,180,881)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(296,136)</w:t>
            </w:r>
          </w:p>
        </w:tc>
        <w:tc>
          <w:tcPr>
            <w:tcW w:w="12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8,844</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2,273,893</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-1336675</wp:posOffset>
            </wp:positionV>
            <wp:extent cx="71151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-1087755</wp:posOffset>
            </wp:positionV>
            <wp:extent cx="711517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-848360</wp:posOffset>
            </wp:positionV>
            <wp:extent cx="711517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-607695</wp:posOffset>
            </wp:positionV>
            <wp:extent cx="711517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-282575</wp:posOffset>
            </wp:positionV>
            <wp:extent cx="711517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3040" w:space="100"/>
            <w:col w:w="8060"/>
          </w:cols>
          <w:pgMar w:left="340" w:top="1230" w:right="35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29, 2020</w:t>
            </w:r>
          </w:p>
        </w:tc>
        <w:tc>
          <w:tcPr>
            <w:tcW w:w="7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$ 160,939</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$ 1,153,130</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$ 1,404,453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(742,164)</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(365,741)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1,674,541</w:t>
            </w:r>
          </w:p>
        </w:tc>
        <w:tc>
          <w:tcPr>
            <w:tcW w:w="0" w:type="dxa"/>
            <w:vAlign w:val="bottom"/>
          </w:tcPr>
          <w:p>
            <w:pPr>
              <w:spacing w:after="0"/>
              <w:rPr>
                <w:sz w:val="1"/>
                <w:szCs w:val="1"/>
                <w:color w:val="auto"/>
              </w:rPr>
            </w:pPr>
          </w:p>
        </w:tc>
      </w:tr>
      <w:tr>
        <w:trPr>
          <w:trHeight w:val="186"/>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268,901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268,042</w:t>
            </w:r>
          </w:p>
        </w:tc>
        <w:tc>
          <w:tcPr>
            <w:tcW w:w="0" w:type="dxa"/>
            <w:vAlign w:val="bottom"/>
          </w:tcPr>
          <w:p>
            <w:pPr>
              <w:spacing w:after="0"/>
              <w:rPr>
                <w:sz w:val="1"/>
                <w:szCs w:val="1"/>
                <w:color w:val="auto"/>
              </w:rPr>
            </w:pPr>
          </w:p>
        </w:tc>
      </w:tr>
      <w:tr>
        <w:trPr>
          <w:trHeight w:val="192"/>
        </w:trPr>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rPr>
              <w:t>Dividends</w:t>
            </w:r>
          </w:p>
        </w:tc>
        <w:tc>
          <w:tcPr>
            <w:tcW w:w="980" w:type="dxa"/>
            <w:vAlign w:val="bottom"/>
          </w:tcPr>
          <w:p>
            <w:pPr>
              <w:ind w:left="120"/>
              <w:spacing w:after="0" w:line="135" w:lineRule="exact"/>
              <w:rPr>
                <w:sz w:val="20"/>
                <w:szCs w:val="20"/>
                <w:color w:val="auto"/>
              </w:rPr>
            </w:pPr>
            <w:r>
              <w:rPr>
                <w:rFonts w:ascii="Arial" w:cs="Arial" w:eastAsia="Arial" w:hAnsi="Arial"/>
                <w:sz w:val="14"/>
                <w:szCs w:val="14"/>
                <w:color w:val="auto"/>
              </w:rPr>
              <w:t>(including</w:t>
            </w:r>
          </w:p>
        </w:tc>
        <w:tc>
          <w:tcPr>
            <w:tcW w:w="86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dividend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gridSpan w:val="4"/>
            <w:shd w:val="clear" w:color="auto" w:fill="CCEEFF"/>
          </w:tcPr>
          <w:p>
            <w:pPr>
              <w:ind w:left="220"/>
              <w:spacing w:after="0"/>
              <w:rPr>
                <w:sz w:val="20"/>
                <w:szCs w:val="20"/>
                <w:color w:val="auto"/>
              </w:rPr>
            </w:pPr>
            <w:r>
              <w:rPr>
                <w:rFonts w:ascii="Arial" w:cs="Arial" w:eastAsia="Arial" w:hAnsi="Arial"/>
                <w:sz w:val="14"/>
                <w:szCs w:val="14"/>
                <w:color w:val="auto"/>
              </w:rPr>
              <w:t>Common Stock, $0.773 per share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(114,260)</w:t>
            </w:r>
          </w:p>
        </w:tc>
        <w:tc>
          <w:tcPr>
            <w:tcW w:w="0" w:type="dxa"/>
            <w:vAlign w:val="bottom"/>
          </w:tcPr>
          <w:p>
            <w:pPr>
              <w:spacing w:after="0"/>
              <w:rPr>
                <w:sz w:val="1"/>
                <w:szCs w:val="1"/>
                <w:color w:val="auto"/>
              </w:rPr>
            </w:pPr>
          </w:p>
        </w:tc>
      </w:tr>
      <w:tr>
        <w:trPr>
          <w:trHeight w:val="135"/>
        </w:trPr>
        <w:tc>
          <w:tcPr>
            <w:tcW w:w="2720" w:type="dxa"/>
            <w:vAlign w:val="bottom"/>
            <w:gridSpan w:val="4"/>
          </w:tcPr>
          <w:p>
            <w:pPr>
              <w:ind w:left="220"/>
              <w:spacing w:after="0" w:line="135" w:lineRule="exact"/>
              <w:rPr>
                <w:sz w:val="20"/>
                <w:szCs w:val="20"/>
                <w:color w:val="auto"/>
              </w:rPr>
            </w:pPr>
            <w:r>
              <w:rPr>
                <w:rFonts w:ascii="Arial" w:cs="Arial" w:eastAsia="Arial" w:hAnsi="Arial"/>
                <w:sz w:val="14"/>
                <w:szCs w:val="14"/>
                <w:color w:val="auto"/>
              </w:rPr>
              <w:t>Class B Common Stock, $0.702 per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(42,551)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(42,551)</w:t>
            </w:r>
          </w:p>
        </w:tc>
        <w:tc>
          <w:tcPr>
            <w:tcW w:w="0" w:type="dxa"/>
            <w:vAlign w:val="bottom"/>
          </w:tcPr>
          <w:p>
            <w:pPr>
              <w:spacing w:after="0"/>
              <w:rPr>
                <w:sz w:val="1"/>
                <w:szCs w:val="1"/>
                <w:color w:val="auto"/>
              </w:rPr>
            </w:pPr>
          </w:p>
        </w:tc>
      </w:tr>
      <w:tr>
        <w:trPr>
          <w:trHeight w:val="186"/>
        </w:trPr>
        <w:tc>
          <w:tcPr>
            <w:tcW w:w="880" w:type="dxa"/>
            <w:vAlign w:val="bottom"/>
          </w:tcPr>
          <w:p>
            <w:pPr>
              <w:ind w:left="220"/>
              <w:spacing w:after="0"/>
              <w:rPr>
                <w:sz w:val="20"/>
                <w:szCs w:val="20"/>
                <w:color w:val="auto"/>
              </w:rPr>
            </w:pPr>
            <w:r>
              <w:rPr>
                <w:rFonts w:ascii="Arial" w:cs="Arial" w:eastAsia="Arial" w:hAnsi="Arial"/>
                <w:sz w:val="14"/>
                <w:szCs w:val="14"/>
                <w:color w:val="auto"/>
              </w:rPr>
              <w:t>share</w:t>
            </w: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12,612</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12,612</w:t>
            </w:r>
          </w:p>
        </w:tc>
        <w:tc>
          <w:tcPr>
            <w:tcW w:w="0" w:type="dxa"/>
            <w:vAlign w:val="bottom"/>
          </w:tcPr>
          <w:p>
            <w:pPr>
              <w:spacing w:after="0"/>
              <w:rPr>
                <w:sz w:val="1"/>
                <w:szCs w:val="1"/>
                <w:color w:val="auto"/>
              </w:rPr>
            </w:pPr>
          </w:p>
        </w:tc>
      </w:tr>
      <w:tr>
        <w:trPr>
          <w:trHeight w:val="135"/>
        </w:trPr>
        <w:tc>
          <w:tcPr>
            <w:tcW w:w="2720" w:type="dxa"/>
            <w:vAlign w:val="bottom"/>
            <w:gridSpan w:val="4"/>
          </w:tcPr>
          <w:p>
            <w:pPr>
              <w:ind w:left="20"/>
              <w:spacing w:after="0" w:line="135" w:lineRule="exact"/>
              <w:rPr>
                <w:sz w:val="20"/>
                <w:szCs w:val="20"/>
                <w:color w:val="auto"/>
              </w:rPr>
            </w:pPr>
            <w:r>
              <w:rPr>
                <w:rFonts w:ascii="Arial" w:cs="Arial" w:eastAsia="Arial" w:hAnsi="Arial"/>
                <w:sz w:val="14"/>
                <w:szCs w:val="14"/>
                <w:color w:val="auto"/>
              </w:rPr>
              <w:t>Exercise of stock options and incentive-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(3,864)</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5,008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86"/>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based transactions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8"/>
              </w:rPr>
              <w:t>Repurchase of common stock</w:t>
            </w:r>
          </w:p>
        </w:tc>
        <w:tc>
          <w:tcPr>
            <w:tcW w:w="7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(42,020)</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(42,020)</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28, 2020</w:t>
            </w:r>
          </w:p>
        </w:tc>
        <w:tc>
          <w:tcPr>
            <w:tcW w:w="74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44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$ 1,161,878</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$ 1,516,543</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(779,176)</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(367,193)</w:t>
            </w:r>
          </w:p>
        </w:tc>
        <w:tc>
          <w:tcPr>
            <w:tcW w:w="12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1,756,089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1671955</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30" w:right="35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THE HERSHEY COMPANY</w:t>
      </w:r>
    </w:p>
    <w:p>
      <w:pPr>
        <w:jc w:val="center"/>
        <w:ind w:right="-9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99"/>
        <w:spacing w:after="0" w:line="203" w:lineRule="auto"/>
        <w:rPr>
          <w:sz w:val="20"/>
          <w:szCs w:val="20"/>
          <w:color w:val="auto"/>
        </w:rPr>
      </w:pPr>
      <w:r>
        <w:rPr>
          <w:rFonts w:ascii="Arial" w:cs="Arial" w:eastAsia="Arial" w:hAnsi="Arial"/>
          <w:sz w:val="18"/>
          <w:szCs w:val="18"/>
          <w:b w:val="1"/>
          <w:bCs w:val="1"/>
          <w:color w:val="auto"/>
        </w:rPr>
        <w:t>For the Six Months Ended July 4, 2021 and June 28, 2020</w:t>
      </w:r>
    </w:p>
    <w:p>
      <w:pPr>
        <w:ind w:left="5100"/>
        <w:spacing w:after="0" w:line="20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340"/>
        <w:spacing w:after="0" w:line="284" w:lineRule="auto"/>
        <w:rPr>
          <w:sz w:val="20"/>
          <w:szCs w:val="20"/>
          <w:color w:val="auto"/>
        </w:rPr>
      </w:pPr>
      <w:r>
        <w:rPr>
          <w:rFonts w:ascii="Arial" w:cs="Arial" w:eastAsia="Arial" w:hAnsi="Arial"/>
          <w:sz w:val="14"/>
          <w:szCs w:val="14"/>
          <w:b w:val="1"/>
          <w:bCs w:val="1"/>
          <w:color w:val="auto"/>
        </w:rPr>
        <w:t xml:space="preserve">Balance, December 31, 2020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$1.608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$1.462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920"/>
        <w:spacing w:after="0" w:line="332" w:lineRule="auto"/>
        <w:rPr>
          <w:sz w:val="20"/>
          <w:szCs w:val="20"/>
          <w:color w:val="auto"/>
        </w:rPr>
      </w:pPr>
      <w:r>
        <w:rPr>
          <w:rFonts w:ascii="Arial" w:cs="Arial" w:eastAsia="Arial" w:hAnsi="Arial"/>
          <w:sz w:val="13"/>
          <w:szCs w:val="13"/>
          <w:color w:val="auto"/>
        </w:rPr>
        <w:t>Repurchase of common stock Divestiture of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July 4,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$ 1,191,200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$ 1,928,673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color w:val="auto"/>
                <w:w w:val="96"/>
              </w:rPr>
              <w:t>3,531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697,029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1,072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698,101</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5,254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47,200</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(235,280)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(235,280)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(88,617)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(88,617)</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33,076</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33,076</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(5,568)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16,889</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(434,346)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(434,346)</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4"/>
              </w:rPr>
              <w:t>(1,013)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$ 1,218,708</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$ 2,301,805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(1,180,881)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(296,136)</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6"/>
              </w:rPr>
              <w:t>8,844</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2,273,893</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-1456690</wp:posOffset>
            </wp:positionV>
            <wp:extent cx="711517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-1207770</wp:posOffset>
            </wp:positionV>
            <wp:extent cx="711517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-968375</wp:posOffset>
            </wp:positionV>
            <wp:extent cx="711517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-728345</wp:posOffset>
            </wp:positionV>
            <wp:extent cx="711517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-402590</wp:posOffset>
            </wp:positionV>
            <wp:extent cx="711517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-162560</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100"/>
            <w:col w:w="802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380"/>
        <w:spacing w:after="0" w:line="284" w:lineRule="auto"/>
        <w:rPr>
          <w:sz w:val="20"/>
          <w:szCs w:val="20"/>
          <w:color w:val="auto"/>
        </w:rPr>
      </w:pPr>
      <w:r>
        <w:rPr>
          <w:rFonts w:ascii="Arial" w:cs="Arial" w:eastAsia="Arial" w:hAnsi="Arial"/>
          <w:sz w:val="14"/>
          <w:szCs w:val="14"/>
          <w:b w:val="1"/>
          <w:bCs w:val="1"/>
          <w:color w:val="auto"/>
        </w:rPr>
        <w:t xml:space="preserve">Balance, December 31, 2019 </w:t>
      </w:r>
      <w:r>
        <w:rPr>
          <w:rFonts w:ascii="Arial" w:cs="Arial" w:eastAsia="Arial" w:hAnsi="Arial"/>
          <w:sz w:val="14"/>
          <w:szCs w:val="14"/>
          <w:color w:val="auto"/>
        </w:rPr>
        <w:t>Net income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$1.546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$1.404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1400"/>
        <w:spacing w:after="0" w:line="47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June 28, 2020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$ 1,142,210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$ 1,290,461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(591,036)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(323,966)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540,038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536,825</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(43,302)</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(228,854)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(228,854)</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(85,102)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(85,102)</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25,180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25,180</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(5,512)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17,544</w:t>
            </w: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$ 1,161,878</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$ 1,516,543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(779,176)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(367,193)</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1,756,089</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-1336675</wp:posOffset>
            </wp:positionV>
            <wp:extent cx="71151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-1088390</wp:posOffset>
            </wp:positionV>
            <wp:extent cx="711517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-848360</wp:posOffset>
            </wp:positionV>
            <wp:extent cx="711517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-608330</wp:posOffset>
            </wp:positionV>
            <wp:extent cx="711517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-282575</wp:posOffset>
            </wp:positionV>
            <wp:extent cx="711517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100" w:space="100"/>
            <w:col w:w="7980"/>
          </w:cols>
          <w:pgMar w:left="360" w:top="1230" w:right="35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304800</wp:posOffset>
            </wp:positionV>
            <wp:extent cx="1968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46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left="40"/>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left="40"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left="40" w:right="20"/>
        <w:spacing w:after="0" w:line="259" w:lineRule="auto"/>
        <w:rPr>
          <w:sz w:val="20"/>
          <w:szCs w:val="20"/>
          <w:color w:val="auto"/>
        </w:rPr>
      </w:pPr>
      <w:r>
        <w:rPr>
          <w:rFonts w:ascii="Arial" w:cs="Arial" w:eastAsia="Arial" w:hAnsi="Arial"/>
          <w:sz w:val="18"/>
          <w:szCs w:val="18"/>
          <w:color w:val="auto"/>
        </w:rPr>
        <w:t>Operating results for the quarter ended July 4, 2021 may not be indicative of the results that may be expected for the year ending December 31, 2021 because of seasonal effects on our business. These financial statements should be read in conjunction with our Annual Report on Form 10-K for the year ended December 31, 2020 (our “2020 Annual Report on Form 10-K”), which provides a more complete understanding of our accounting policies, financial position, operating results and other matters.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We are also working closely with our business units, contract manufacturers, distributors, contractors and other external business partners to minimize the potential impact on our business.</w:t>
      </w:r>
    </w:p>
    <w:p>
      <w:pPr>
        <w:spacing w:after="0" w:line="66" w:lineRule="exact"/>
        <w:rPr>
          <w:sz w:val="20"/>
          <w:szCs w:val="20"/>
          <w:color w:val="auto"/>
        </w:rPr>
      </w:pPr>
    </w:p>
    <w:p>
      <w:pPr>
        <w:ind w:left="40" w:right="80"/>
        <w:spacing w:after="0" w:line="259" w:lineRule="auto"/>
        <w:rPr>
          <w:sz w:val="20"/>
          <w:szCs w:val="20"/>
          <w:color w:val="auto"/>
        </w:rPr>
      </w:pPr>
      <w:r>
        <w:rPr>
          <w:rFonts w:ascii="Arial" w:cs="Arial" w:eastAsia="Arial" w:hAnsi="Arial"/>
          <w:sz w:val="18"/>
          <w:szCs w:val="18"/>
          <w:color w:val="auto"/>
        </w:rPr>
        <w:t>The ultimate impact that COVID-19 will have on our consolidated financial statements remains uncertain and ultimately will be dictated by the length and severity of the pandemic, including COVID-19 variants or potential resurgences, as well as the economic recovery and actions taken in response by local, state and national governments around the world, including the distribution of vaccinations. We will continue to evaluate the nature and extent of these potential impacts to our business and consolidated financial statements.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40" w:right="40"/>
        <w:spacing w:after="0" w:line="293"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No.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 Simplifying the Accounting for 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250825</wp:posOffset>
            </wp:positionV>
            <wp:extent cx="1968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438" w:lineRule="auto"/>
        <w:rPr>
          <w:sz w:val="20"/>
          <w:szCs w:val="20"/>
          <w:color w:val="auto"/>
        </w:rPr>
      </w:pPr>
      <w:r>
        <w:rPr>
          <w:rFonts w:ascii="Arial" w:cs="Arial" w:eastAsia="Arial" w:hAnsi="Arial"/>
          <w:sz w:val="18"/>
          <w:szCs w:val="18"/>
          <w:color w:val="auto"/>
        </w:rPr>
        <w:t xml:space="preserve">provisions of this ASU in the fourth quarter of 2020. Adoption of the new standard did not have a material impact on our consolidated financial statements. </w:t>
      </w:r>
      <w:r>
        <w:rPr>
          <w:rFonts w:ascii="Arial" w:cs="Arial" w:eastAsia="Arial" w:hAnsi="Arial"/>
          <w:sz w:val="18"/>
          <w:szCs w:val="18"/>
          <w:b w:val="1"/>
          <w:bCs w:val="1"/>
          <w:i w:val="1"/>
          <w:iCs w:val="1"/>
          <w:color w:val="auto"/>
        </w:rPr>
        <w:t>Recently Issued Accounting Pronouncements Not Yet Adopted</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The ASU is intended to provide temporary optional expedients and exceptions to the GAAP guidance on contract modifications and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ind w:right="708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AND DIVESTITURES 2021 Activity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Lily's Sweets, LLC</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initial cash consideration paid for Lily's totaled $418,191 and the Company may be required to pay additional cash consideration if certain defined targets related to net sales and gross margin are exceeded during the period of the closing date through December 31, 2021. As of the acquisition date, the estimated fair value of the contingent consideration obligation was classified as a liability of $5,000 and was determined using a scenario-based analysis on forecasted future results. Acquisition-related costs for the Lily's acquisition were immaterial.</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Lily's has been included within the North America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174,516</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235,800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(9,620)</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r>
      <w:tr>
        <w:trPr>
          <w:trHeight w:val="223"/>
        </w:trPr>
        <w:tc>
          <w:tcPr>
            <w:tcW w:w="900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423,191</w:t>
            </w:r>
          </w:p>
        </w:tc>
      </w:tr>
      <w:tr>
        <w:trPr>
          <w:trHeight w:val="21"/>
        </w:trPr>
        <w:tc>
          <w:tcPr>
            <w:tcW w:w="9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purchase price allocation presented above is preliminary. We are in the process of refining the valuation of acquired assets and liabilities, including goodwill, and expect to finalize the purchase price allocation by the end of 2021.</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majority of goodwill derived from this acquisition is expected to be deductible for tax purposes and reflects the value of leveraging our brand building expertise, supply chain capabilities and retail relationships to accelerate growth and access to the portfolio of Lily's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Lotte Shanghai Foods Co., Ltd.</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 and were recorded in the selling, marketing and administrative ("SM&amp;A") expense caption within the Consolidated Statements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16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Statements of Income, both individually and on an aggregate basis, were immaterial.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July 4, 2021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North America</w:t>
            </w:r>
          </w:p>
        </w:tc>
        <w:tc>
          <w:tcPr>
            <w:tcW w:w="34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400" w:type="dxa"/>
            <w:vAlign w:val="bottom"/>
          </w:tcPr>
          <w:p>
            <w:pPr>
              <w:spacing w:after="0"/>
              <w:rPr>
                <w:sz w:val="16"/>
                <w:szCs w:val="16"/>
                <w:color w:val="auto"/>
              </w:rPr>
            </w:pPr>
          </w:p>
        </w:tc>
        <w:tc>
          <w:tcPr>
            <w:tcW w:w="1520" w:type="dxa"/>
            <w:vAlign w:val="bottom"/>
            <w:vMerge w:val="restart"/>
          </w:tcPr>
          <w:p>
            <w:pPr>
              <w:jc w:val="right"/>
              <w:ind w:right="7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189"/>
        </w:trPr>
        <w:tc>
          <w:tcPr>
            <w:tcW w:w="5260" w:type="dxa"/>
            <w:vAlign w:val="bottom"/>
            <w:gridSpan w:val="3"/>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Acquired during the period (see </w:t>
            </w:r>
            <w:hyperlink w:anchor="page10">
              <w:r>
                <w:rPr>
                  <w:rFonts w:ascii="Arial" w:cs="Arial" w:eastAsia="Arial" w:hAnsi="Arial"/>
                  <w:sz w:val="18"/>
                  <w:szCs w:val="18"/>
                  <w:color w:val="0000FF"/>
                </w:rPr>
                <w:t>Note 2</w:t>
              </w:r>
            </w:hyperlink>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174,516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174,516</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Balance at July 4,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2,148,837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2,166,446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Pr>
          <w:p>
            <w:pPr>
              <w:spacing w:after="0"/>
              <w:rPr>
                <w:sz w:val="18"/>
                <w:szCs w:val="18"/>
                <w:color w:val="auto"/>
              </w:rPr>
            </w:pPr>
          </w:p>
        </w:tc>
        <w:tc>
          <w:tcPr>
            <w:tcW w:w="3040" w:type="dxa"/>
            <w:vAlign w:val="bottom"/>
            <w:gridSpan w:val="4"/>
          </w:tcPr>
          <w:p>
            <w:pPr>
              <w:jc w:val="right"/>
              <w:ind w:right="873"/>
              <w:spacing w:after="0"/>
              <w:rPr>
                <w:sz w:val="20"/>
                <w:szCs w:val="20"/>
                <w:color w:val="auto"/>
              </w:rPr>
            </w:pPr>
            <w:r>
              <w:rPr>
                <w:rFonts w:ascii="Arial" w:cs="Arial" w:eastAsia="Arial" w:hAnsi="Arial"/>
                <w:sz w:val="16"/>
                <w:szCs w:val="16"/>
                <w:b w:val="1"/>
                <w:bCs w:val="1"/>
                <w:color w:val="auto"/>
              </w:rPr>
              <w:t>December 31, 2020</w:t>
            </w:r>
          </w:p>
        </w:tc>
      </w:tr>
      <w:tr>
        <w:trPr>
          <w:trHeight w:val="158"/>
        </w:trPr>
        <w:tc>
          <w:tcPr>
            <w:tcW w:w="4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1,364,454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(122,567)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1,211,086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(104,939)</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(163,097)</w:t>
            </w:r>
          </w:p>
        </w:tc>
      </w:tr>
      <w:tr>
        <w:trPr>
          <w:trHeight w:val="270"/>
        </w:trPr>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Total amortization expense for the three months ended July 4, 2021 and June 28, 2020 was $11,635 and $11,580, respectively. Total amortization expense for the six months ended July 4, 2021 and June 28, 2020 was $23,256 and $23,220,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ind w:left="20" w:right="260"/>
        <w:spacing w:after="0" w:line="308" w:lineRule="auto"/>
        <w:rPr>
          <w:sz w:val="20"/>
          <w:szCs w:val="20"/>
          <w:color w:val="auto"/>
        </w:rPr>
      </w:pPr>
      <w:r>
        <w:rPr>
          <w:rFonts w:ascii="Arial" w:cs="Arial" w:eastAsia="Arial" w:hAnsi="Arial"/>
          <w:sz w:val="17"/>
          <w:szCs w:val="17"/>
          <w:color w:val="auto"/>
        </w:rPr>
        <w:t>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11" w:lineRule="exact"/>
        <w:rPr>
          <w:sz w:val="20"/>
          <w:szCs w:val="20"/>
          <w:color w:val="auto"/>
        </w:rPr>
      </w:pPr>
    </w:p>
    <w:p>
      <w:pPr>
        <w:ind w:left="20" w:right="300"/>
        <w:spacing w:after="0" w:line="311"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July 4, 2021, we were in compliance with all covenants pertaining to the credit agreement, and we had no significant compensating balance agreements that legally restricted these funds. For more information, refer to the Consolidated Financial Statements included in our 2020 Annual Report on Form 10-K.</w:t>
      </w:r>
    </w:p>
    <w:p>
      <w:pPr>
        <w:spacing w:after="0" w:line="27" w:lineRule="exact"/>
        <w:rPr>
          <w:sz w:val="20"/>
          <w:szCs w:val="20"/>
          <w:color w:val="auto"/>
        </w:rPr>
      </w:pPr>
    </w:p>
    <w:p>
      <w:pPr>
        <w:ind w:left="20" w:right="140"/>
        <w:spacing w:after="0" w:line="27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4"/>
          </w:tcPr>
          <w:p>
            <w:pPr>
              <w:ind w:left="220"/>
              <w:spacing w:after="0"/>
              <w:rPr>
                <w:sz w:val="20"/>
                <w:szCs w:val="20"/>
                <w:color w:val="auto"/>
              </w:rPr>
            </w:pPr>
            <w:r>
              <w:rPr>
                <w:rFonts w:ascii="Arial" w:cs="Arial" w:eastAsia="Arial" w:hAnsi="Arial"/>
                <w:sz w:val="16"/>
                <w:szCs w:val="16"/>
                <w:b w:val="1"/>
                <w:bCs w:val="1"/>
                <w:color w:val="auto"/>
              </w:rPr>
              <w:t>July 4, 2021</w:t>
            </w:r>
          </w:p>
        </w:tc>
        <w:tc>
          <w:tcPr>
            <w:tcW w:w="22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20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U.S. commercial paper</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149,990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2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207,564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8"/>
                <w:szCs w:val="18"/>
                <w:color w:val="auto"/>
                <w:w w:val="90"/>
              </w:rPr>
              <w:t>Weighted average interest rate on outstanding commercial paper</w:t>
            </w: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line="204" w:lineRule="exact"/>
              <w:rPr>
                <w:sz w:val="20"/>
                <w:szCs w:val="20"/>
                <w:color w:val="auto"/>
              </w:rPr>
            </w:pPr>
            <w:r>
              <w:rPr>
                <w:rFonts w:ascii="Arial" w:cs="Arial" w:eastAsia="Arial" w:hAnsi="Arial"/>
                <w:sz w:val="18"/>
                <w:szCs w:val="18"/>
                <w:color w:val="auto"/>
              </w:rPr>
              <w:t>0.1 %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540"/>
              <w:spacing w:after="0" w:line="204"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8"/>
                <w:szCs w:val="18"/>
                <w:b w:val="1"/>
                <w:bCs w:val="1"/>
                <w:color w:val="auto"/>
              </w:rPr>
              <w:t>Long-term Debt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Long-term debt consisted of the following:</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760" w:type="dxa"/>
            <w:vAlign w:val="bottom"/>
            <w:gridSpan w:val="6"/>
          </w:tcPr>
          <w:p>
            <w:pPr>
              <w:spacing w:after="0"/>
              <w:rPr>
                <w:sz w:val="20"/>
                <w:szCs w:val="20"/>
                <w:color w:val="auto"/>
              </w:rPr>
            </w:pPr>
            <w:r>
              <w:rPr>
                <w:rFonts w:ascii="Arial" w:cs="Arial" w:eastAsia="Arial" w:hAnsi="Arial"/>
                <w:sz w:val="16"/>
                <w:szCs w:val="16"/>
                <w:b w:val="1"/>
                <w:bCs w:val="1"/>
                <w:color w:val="auto"/>
              </w:rPr>
              <w:t>Debt Type and Rate</w:t>
            </w:r>
          </w:p>
        </w:tc>
        <w:tc>
          <w:tcPr>
            <w:tcW w:w="2040" w:type="dxa"/>
            <w:vAlign w:val="bottom"/>
          </w:tcPr>
          <w:p>
            <w:pPr>
              <w:ind w:left="440"/>
              <w:spacing w:after="0"/>
              <w:rPr>
                <w:sz w:val="20"/>
                <w:szCs w:val="20"/>
                <w:color w:val="auto"/>
              </w:rPr>
            </w:pPr>
            <w:r>
              <w:rPr>
                <w:rFonts w:ascii="Arial" w:cs="Arial" w:eastAsia="Arial" w:hAnsi="Arial"/>
                <w:sz w:val="16"/>
                <w:szCs w:val="16"/>
                <w:b w:val="1"/>
                <w:bCs w:val="1"/>
                <w:color w:val="auto"/>
              </w:rPr>
              <w:t>Maturity Date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80" w:type="dxa"/>
            <w:vAlign w:val="bottom"/>
            <w:gridSpan w:val="4"/>
          </w:tcPr>
          <w:p>
            <w:pPr>
              <w:ind w:left="300"/>
              <w:spacing w:after="0"/>
              <w:rPr>
                <w:sz w:val="20"/>
                <w:szCs w:val="20"/>
                <w:color w:val="auto"/>
              </w:rPr>
            </w:pPr>
            <w:r>
              <w:rPr>
                <w:rFonts w:ascii="Arial" w:cs="Arial" w:eastAsia="Arial" w:hAnsi="Arial"/>
                <w:sz w:val="16"/>
                <w:szCs w:val="16"/>
                <w:b w:val="1"/>
                <w:bCs w:val="1"/>
                <w:color w:val="auto"/>
              </w:rPr>
              <w:t>July 4, 2021</w:t>
            </w:r>
          </w:p>
        </w:tc>
        <w:tc>
          <w:tcPr>
            <w:tcW w:w="220" w:type="dxa"/>
            <w:vAlign w:val="bottom"/>
          </w:tcPr>
          <w:p>
            <w:pPr>
              <w:spacing w:after="0"/>
              <w:rPr>
                <w:sz w:val="22"/>
                <w:szCs w:val="22"/>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Debentures (1)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15, 2021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3.100%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May 15, 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1, 2023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May 15, 2023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15, 2024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June 1, 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August 15, 2026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2.450%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15, 2029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August 15, 2046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15, 2049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June 1, 2050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17">
              <w:r>
                <w:rPr>
                  <w:rFonts w:ascii="Arial" w:cs="Arial" w:eastAsia="Arial" w:hAnsi="Arial"/>
                  <w:sz w:val="18"/>
                  <w:szCs w:val="18"/>
                  <w:color w:val="0000FF"/>
                </w:rPr>
                <w:t>Note 7</w:t>
              </w:r>
            </w:hyperlink>
            <w:r>
              <w:rPr>
                <w:rFonts w:ascii="Arial" w:cs="Arial" w:eastAsia="Arial" w:hAnsi="Arial"/>
                <w:sz w:val="18"/>
                <w:szCs w:val="18"/>
                <w:color w:val="auto"/>
              </w:rPr>
              <w:t>)</w:t>
            </w:r>
          </w:p>
        </w:tc>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1"/>
              <w:spacing w:after="0" w:line="189" w:lineRule="exact"/>
              <w:rPr>
                <w:sz w:val="20"/>
                <w:szCs w:val="20"/>
                <w:color w:val="auto"/>
              </w:rPr>
            </w:pPr>
            <w:r>
              <w:rPr>
                <w:rFonts w:ascii="Arial" w:cs="Arial" w:eastAsia="Arial" w:hAnsi="Arial"/>
                <w:sz w:val="18"/>
                <w:szCs w:val="18"/>
                <w:color w:val="auto"/>
              </w:rPr>
              <w:t>79,603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1"/>
              <w:spacing w:after="0" w:line="189" w:lineRule="exact"/>
              <w:rPr>
                <w:sz w:val="20"/>
                <w:szCs w:val="20"/>
                <w:color w:val="auto"/>
              </w:rPr>
            </w:pPr>
            <w:r>
              <w:rPr>
                <w:rFonts w:ascii="Arial" w:cs="Arial" w:eastAsia="Arial" w:hAnsi="Arial"/>
                <w:sz w:val="18"/>
                <w:szCs w:val="18"/>
                <w:color w:val="auto"/>
              </w:rPr>
              <w:t>80,755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Net impact of interest rate swaps, debt issuance costs and</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vMerge w:val="restart"/>
          </w:tcPr>
          <w:p>
            <w:pPr>
              <w:jc w:val="right"/>
              <w:ind w:right="11"/>
              <w:spacing w:after="0"/>
              <w:rPr>
                <w:sz w:val="20"/>
                <w:szCs w:val="20"/>
                <w:color w:val="auto"/>
              </w:rPr>
            </w:pPr>
            <w:r>
              <w:rPr>
                <w:rFonts w:ascii="Arial" w:cs="Arial" w:eastAsia="Arial" w:hAnsi="Arial"/>
                <w:sz w:val="18"/>
                <w:szCs w:val="18"/>
                <w:color w:val="auto"/>
              </w:rPr>
              <w:t>(24,572)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vMerge w:val="restart"/>
          </w:tcPr>
          <w:p>
            <w:pPr>
              <w:jc w:val="right"/>
              <w:ind w:right="11"/>
              <w:spacing w:after="0"/>
              <w:rPr>
                <w:sz w:val="20"/>
                <w:szCs w:val="20"/>
                <w:color w:val="auto"/>
              </w:rPr>
            </w:pPr>
            <w:r>
              <w:rPr>
                <w:rFonts w:ascii="Arial" w:cs="Arial" w:eastAsia="Arial" w:hAnsi="Arial"/>
                <w:sz w:val="18"/>
                <w:szCs w:val="18"/>
                <w:color w:val="auto"/>
              </w:rPr>
              <w:t>(30,525)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31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2021, we repaid $84,715 of 8.800% Debentures due upon their maturity.</w:t>
      </w:r>
    </w:p>
    <w:p>
      <w:pPr>
        <w:spacing w:after="0" w:line="63" w:lineRule="exact"/>
        <w:rPr>
          <w:rFonts w:ascii="Arial" w:cs="Arial" w:eastAsia="Arial" w:hAnsi="Arial"/>
          <w:sz w:val="18"/>
          <w:szCs w:val="18"/>
          <w:color w:val="auto"/>
        </w:rPr>
      </w:pPr>
    </w:p>
    <w:p>
      <w:pPr>
        <w:ind w:left="500" w:hanging="31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2021, we repaid $350,000 of 3.100% Notes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297815</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4300" w:type="dxa"/>
            <w:vAlign w:val="bottom"/>
            <w:gridSpan w:val="6"/>
          </w:tcPr>
          <w:p>
            <w:pPr>
              <w:ind w:left="13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3820" w:type="dxa"/>
            <w:vAlign w:val="bottom"/>
            <w:gridSpan w:val="4"/>
          </w:tcPr>
          <w:p>
            <w:pPr>
              <w:ind w:left="10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76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July 4, 2021</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June 28, 2020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July 4, 2021</w:t>
            </w: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June 28, 2020</w:t>
            </w:r>
          </w:p>
        </w:tc>
      </w:tr>
      <w:tr>
        <w:trPr>
          <w:trHeight w:val="22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tcBorders>
              <w:top w:val="single" w:sz="8" w:color="auto"/>
            </w:tcBorders>
            <w:shd w:val="clear" w:color="auto" w:fill="CCEEFF"/>
          </w:tcPr>
          <w:p>
            <w:pPr>
              <w:jc w:val="right"/>
              <w:ind w:right="125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73,531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79,776</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1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4"/>
              </w:rPr>
              <w:t>(4,801)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(3,081)</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68,730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8"/>
              </w:rPr>
              <w:t>76,695</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1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4"/>
              </w:rPr>
              <w:t>(1,229)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(2,361)</w:t>
            </w: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60" w:type="dxa"/>
            <w:vAlign w:val="bottom"/>
            <w:tcBorders>
              <w:bottom w:val="single" w:sz="8" w:color="auto"/>
            </w:tcBorders>
            <w:shd w:val="clear" w:color="auto" w:fill="CCEEFF"/>
          </w:tcPr>
          <w:p>
            <w:pPr>
              <w:jc w:val="right"/>
              <w:ind w:right="12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67,501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74,334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$387,871 as of July 4, 2021 and $279,843 as of December 31, 2020.</w:t>
      </w:r>
    </w:p>
    <w:p>
      <w:pPr>
        <w:spacing w:after="0" w:line="95"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6">
        <w:r>
          <w:rPr>
            <w:rFonts w:ascii="Arial" w:cs="Arial" w:eastAsia="Arial" w:hAnsi="Arial"/>
            <w:sz w:val="18"/>
            <w:szCs w:val="18"/>
            <w:u w:val="single" w:color="auto"/>
            <w:color w:val="0000FF"/>
          </w:rPr>
          <w:t>Note 13</w:t>
        </w:r>
      </w:hyperlink>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$183,136 at July 4, 2021 and $130,131 at December 31, 2020.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$1,775 at July 4, 2021 and $2,519 at December 31, 2020.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560070</wp:posOffset>
            </wp:positionV>
            <wp:extent cx="1968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In December 2020, our fixed-to-floating interest rate swap matured in connection with the repayment of certain long-term debt upon its maturity. Therefore, as of July 4, 2021 and December 31, 2020, we had no open interest rate swap derivative instruments in a fair value hedging relationship.</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July 4, 2021 and December 31, 2020 was $22,882 and $30,194,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July 4,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900"/>
              <w:spacing w:after="0"/>
              <w:rPr>
                <w:sz w:val="20"/>
                <w:szCs w:val="20"/>
                <w:color w:val="auto"/>
              </w:rPr>
            </w:pPr>
            <w:r>
              <w:rPr>
                <w:rFonts w:ascii="Arial" w:cs="Arial" w:eastAsia="Arial" w:hAnsi="Arial"/>
                <w:sz w:val="18"/>
                <w:szCs w:val="18"/>
                <w:b w:val="1"/>
                <w:bCs w:val="1"/>
                <w:color w:val="auto"/>
              </w:rPr>
              <w:t>July 4, 2021</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right="760" w:hanging="330"/>
        <w:spacing w:after="0" w:line="316" w:lineRule="auto"/>
        <w:tabs>
          <w:tab w:leader="none" w:pos="49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Arial" w:cs="Arial" w:eastAsia="Arial" w:hAnsi="Arial"/>
          <w:sz w:val="16"/>
          <w:szCs w:val="16"/>
          <w:color w:val="auto"/>
        </w:rPr>
      </w:pPr>
    </w:p>
    <w:p>
      <w:pPr>
        <w:ind w:left="500" w:right="100" w:hanging="330"/>
        <w:spacing w:after="0" w:line="257"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July 4, 2021, amounts reflected on a net basis in liabilities were assets of $51,073 and liabilities of $54,087, which are associated with cash transfers receivable or payable on commodities futures contracts reflecting the change in quoted market prices on the last trading day for the period. The comparable amounts reflected on a net basis in assets at December 31, 2020 were assets of $32,674 and liabilities of $29,376. At July 4, 2021 and December 31, 2020,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454025</wp:posOffset>
            </wp:positionV>
            <wp:extent cx="1968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July 4, 2021 and June 28, 2020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w w:val="96"/>
              </w:rPr>
              <w:t>Non-designated Hedges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58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w w:val="91"/>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Arial" w:cs="Arial" w:eastAsia="Arial" w:hAnsi="Arial"/>
                <w:sz w:val="16"/>
                <w:szCs w:val="16"/>
                <w:b w:val="1"/>
                <w:bCs w:val="1"/>
                <w:color w:val="auto"/>
                <w:w w:val="97"/>
              </w:rPr>
              <w:t>accumulated OCI ("AOCI") into</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1"/>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six months ended July 4, 2021 and June 28, 2020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6"/>
          </w:tcPr>
          <w:p>
            <w:pPr>
              <w:ind w:left="180"/>
              <w:spacing w:after="0"/>
              <w:rPr>
                <w:sz w:val="20"/>
                <w:szCs w:val="20"/>
                <w:color w:val="auto"/>
              </w:rPr>
            </w:pPr>
            <w:r>
              <w:rPr>
                <w:rFonts w:ascii="Arial" w:cs="Arial" w:eastAsia="Arial" w:hAnsi="Arial"/>
                <w:sz w:val="16"/>
                <w:szCs w:val="16"/>
                <w:b w:val="1"/>
                <w:bCs w:val="1"/>
                <w:color w:val="auto"/>
              </w:rPr>
              <w:t>Non-designated Hedges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500" w:type="dxa"/>
            <w:vAlign w:val="bottom"/>
            <w:tcBorders>
              <w:top w:val="single" w:sz="8" w:color="auto"/>
            </w:tcBorders>
            <w:gridSpan w:val="6"/>
          </w:tcPr>
          <w:p>
            <w:pPr>
              <w:ind w:left="20"/>
              <w:spacing w:after="0" w:line="158" w:lineRule="exact"/>
              <w:rPr>
                <w:sz w:val="20"/>
                <w:szCs w:val="20"/>
                <w:color w:val="auto"/>
              </w:rPr>
            </w:pPr>
            <w:r>
              <w:rPr>
                <w:rFonts w:ascii="Arial" w:cs="Arial" w:eastAsia="Arial" w:hAnsi="Arial"/>
                <w:sz w:val="16"/>
                <w:szCs w:val="16"/>
                <w:b w:val="1"/>
                <w:bCs w:val="1"/>
                <w:color w:val="auto"/>
                <w:w w:val="88"/>
              </w:rPr>
              <w:t>Gains (losses) recognized in income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vMerge w:val="restart"/>
          </w:tcPr>
          <w:p>
            <w:pPr>
              <w:spacing w:after="0"/>
              <w:rPr>
                <w:sz w:val="20"/>
                <w:szCs w:val="20"/>
                <w:color w:val="auto"/>
              </w:rPr>
            </w:pPr>
            <w:r>
              <w:rPr>
                <w:rFonts w:ascii="Arial" w:cs="Arial" w:eastAsia="Arial" w:hAnsi="Arial"/>
                <w:sz w:val="16"/>
                <w:szCs w:val="16"/>
                <w:b w:val="1"/>
                <w:bCs w:val="1"/>
                <w:color w:val="auto"/>
                <w:w w:val="98"/>
              </w:rPr>
              <w:t>Gains (losses) recognized in OCI</w:t>
            </w: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4"/>
          </w:tcPr>
          <w:p>
            <w:pPr>
              <w:jc w:val="right"/>
              <w:ind w:right="92"/>
              <w:spacing w:after="0" w:line="158" w:lineRule="exact"/>
              <w:rPr>
                <w:sz w:val="20"/>
                <w:szCs w:val="20"/>
                <w:color w:val="auto"/>
              </w:rPr>
            </w:pPr>
            <w:r>
              <w:rPr>
                <w:rFonts w:ascii="Arial" w:cs="Arial" w:eastAsia="Arial" w:hAnsi="Arial"/>
                <w:sz w:val="16"/>
                <w:szCs w:val="16"/>
                <w:b w:val="1"/>
                <w:bCs w:val="1"/>
                <w:color w:val="auto"/>
                <w:w w:val="89"/>
              </w:rPr>
              <w:t>Gains (losses) reclassified from</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1"/>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AOCI into income (b)</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63" w:lineRule="auto"/>
        <w:tabs>
          <w:tab w:leader="none" w:pos="337"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00" w:hanging="332"/>
        <w:spacing w:after="0" w:line="342" w:lineRule="auto"/>
        <w:tabs>
          <w:tab w:leader="none" w:pos="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$19,317 as of July 4, 2021.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and six months ended July 4, 2021, we had no interest rate swap derivative instruments in a fair value hedging relationship. For the three and six months ended June 28, 2020, we recognized a net pretax benefit to interest expense of $608 and $759, respectively, relating to our fixed-to-floating interest swap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200"/>
        <w:spacing w:after="0" w:line="23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July 4, 2021 and December 31, 2020:</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6"/>
                <w:szCs w:val="16"/>
                <w:b w:val="1"/>
                <w:bCs w:val="1"/>
                <w:color w:val="auto"/>
              </w:rPr>
              <w:t>Assets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88"/>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July 4, 2021:</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8,012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8,012</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3,895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r>
      <w:tr>
        <w:trPr>
          <w:trHeight w:val="47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2,564</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3,299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5,615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67" w:lineRule="exact"/>
        <w:rPr>
          <w:sz w:val="20"/>
          <w:szCs w:val="20"/>
          <w:color w:val="auto"/>
        </w:rPr>
      </w:pPr>
    </w:p>
    <w:p>
      <w:pPr>
        <w:ind w:left="660" w:right="20" w:hanging="328"/>
        <w:spacing w:after="0" w:line="286" w:lineRule="auto"/>
        <w:tabs>
          <w:tab w:leader="none" w:pos="65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7"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623570</wp:posOffset>
            </wp:positionV>
            <wp:extent cx="1968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July 4, 2021 and December 31, 2020 because of the relatively short maturity of these instruments.</w:t>
      </w:r>
    </w:p>
    <w:p>
      <w:pPr>
        <w:spacing w:after="0" w:line="89"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gridSpan w:val="5"/>
          </w:tcPr>
          <w:p>
            <w:pPr>
              <w:ind w:left="124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8"/>
                <w:szCs w:val="18"/>
                <w:color w:val="auto"/>
              </w:rPr>
            </w:pPr>
          </w:p>
        </w:tc>
        <w:tc>
          <w:tcPr>
            <w:tcW w:w="356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July 4, 2021</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438,829</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4,338,773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4,095,200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4,089,755</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4,528,584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04" w:lineRule="exact"/>
        <w:rPr>
          <w:sz w:val="20"/>
          <w:szCs w:val="20"/>
          <w:color w:val="auto"/>
        </w:rPr>
      </w:pPr>
    </w:p>
    <w:p>
      <w:pPr>
        <w:ind w:right="2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connection with the acquisition of Lily's in the second quarter of 2021, as discussed in </w:t>
      </w:r>
      <w:hyperlink w:anchor="page10">
        <w:r>
          <w:rPr>
            <w:rFonts w:ascii="Arial" w:cs="Arial" w:eastAsia="Arial" w:hAnsi="Arial"/>
            <w:sz w:val="18"/>
            <w:szCs w:val="18"/>
            <w:u w:val="single" w:color="auto"/>
            <w:color w:val="0000FF"/>
          </w:rPr>
          <w:t>Note 2</w:t>
        </w:r>
      </w:hyperlink>
      <w:r>
        <w:rPr>
          <w:rFonts w:ascii="Arial" w:cs="Arial" w:eastAsia="Arial" w:hAnsi="Arial"/>
          <w:sz w:val="18"/>
          <w:szCs w:val="18"/>
          <w:color w:val="auto"/>
        </w:rPr>
        <w:t>, we used various valuation techniques to determine fair value, with the primary techniques being discounted cash flow analysis, relief-from-royalty and a form of the multi-period excess earnings, which use significant unobservable inputs, or Level 3 inputs, as defined by the fair value hierarchy.</w:t>
      </w:r>
    </w:p>
    <w:p>
      <w:pPr>
        <w:spacing w:after="0" w:line="116"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During the six months ended July 4, 2021, we recorded no impairment charges. During the six months ended June 28, 2020, we recorded the following impairment charges, which use significant unobservable inputs, or Level 3 inputs, as defined by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260" w:hanging="330"/>
        <w:spacing w:after="0" w:line="263" w:lineRule="auto"/>
        <w:tabs>
          <w:tab w:leader="none" w:pos="494"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the sale of the LSFC joint venture (disposal group previously classified as held for sale), we recorded impairment charges to adjust long-lived asset values. The fair value of the disposal group was supported by potential sales prices with third-party buyers. The sale of the LSFC joint venture was completed in January 2021.</w:t>
      </w:r>
    </w:p>
    <w:p>
      <w:pPr>
        <w:spacing w:after="0" w:line="21" w:lineRule="exact"/>
        <w:rPr>
          <w:rFonts w:ascii="Arial" w:cs="Arial" w:eastAsia="Arial" w:hAnsi="Arial"/>
          <w:sz w:val="18"/>
          <w:szCs w:val="18"/>
          <w:color w:val="auto"/>
        </w:rPr>
      </w:pPr>
    </w:p>
    <w:p>
      <w:pPr>
        <w:ind w:left="480" w:hanging="310"/>
        <w:spacing w:after="0"/>
        <w:tabs>
          <w:tab w:leader="none" w:pos="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261"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374650</wp:posOffset>
            </wp:positionV>
            <wp:extent cx="1968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July 4, 2021 and June 28, 2020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80" w:type="dxa"/>
            <w:vAlign w:val="bottom"/>
          </w:tcPr>
          <w:p>
            <w:pPr>
              <w:spacing w:after="0"/>
              <w:rPr>
                <w:sz w:val="18"/>
                <w:szCs w:val="18"/>
                <w:color w:val="auto"/>
              </w:rPr>
            </w:pPr>
          </w:p>
        </w:tc>
        <w:tc>
          <w:tcPr>
            <w:tcW w:w="18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July 4, 2021</w:t>
            </w:r>
          </w:p>
        </w:tc>
        <w:tc>
          <w:tcPr>
            <w:tcW w:w="340" w:type="dxa"/>
            <w:vAlign w:val="bottom"/>
          </w:tcPr>
          <w:p>
            <w:pPr>
              <w:spacing w:after="0"/>
              <w:rPr>
                <w:sz w:val="18"/>
                <w:szCs w:val="18"/>
                <w:color w:val="auto"/>
              </w:rPr>
            </w:pPr>
          </w:p>
        </w:tc>
        <w:tc>
          <w:tcPr>
            <w:tcW w:w="1760" w:type="dxa"/>
            <w:vAlign w:val="bottom"/>
          </w:tcPr>
          <w:p>
            <w:pPr>
              <w:jc w:val="right"/>
              <w:ind w:right="492"/>
              <w:spacing w:after="0"/>
              <w:rPr>
                <w:sz w:val="20"/>
                <w:szCs w:val="20"/>
                <w:color w:val="auto"/>
              </w:rPr>
            </w:pPr>
            <w:r>
              <w:rPr>
                <w:rFonts w:ascii="Arial" w:cs="Arial" w:eastAsia="Arial" w:hAnsi="Arial"/>
                <w:sz w:val="16"/>
                <w:szCs w:val="16"/>
                <w:b w:val="1"/>
                <w:bCs w:val="1"/>
                <w:color w:val="auto"/>
              </w:rPr>
              <w:t>June 28, 2020</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10,673</w:t>
            </w: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9140" w:type="dxa"/>
            <w:vAlign w:val="bottom"/>
            <w:gridSpan w:val="7"/>
          </w:tcPr>
          <w:p>
            <w:pPr>
              <w:spacing w:after="0"/>
              <w:rPr>
                <w:sz w:val="20"/>
                <w:szCs w:val="20"/>
                <w:color w:val="auto"/>
              </w:rPr>
            </w:pPr>
            <w:r>
              <w:rPr>
                <w:rFonts w:ascii="Arial" w:cs="Arial" w:eastAsia="Arial" w:hAnsi="Arial"/>
                <w:sz w:val="18"/>
                <w:szCs w:val="18"/>
                <w:color w:val="auto"/>
              </w:rPr>
              <w:t>The components of lease expense for the six months ended July 4, 2021 and June 28, 2020 were as follows:</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1412"/>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80" w:type="dxa"/>
            <w:vAlign w:val="bottom"/>
          </w:tcPr>
          <w:p>
            <w:pPr>
              <w:spacing w:after="0"/>
              <w:rPr>
                <w:sz w:val="18"/>
                <w:szCs w:val="18"/>
                <w:color w:val="auto"/>
              </w:rPr>
            </w:pPr>
          </w:p>
        </w:tc>
        <w:tc>
          <w:tcPr>
            <w:tcW w:w="18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July 4, 2021</w:t>
            </w:r>
          </w:p>
        </w:tc>
        <w:tc>
          <w:tcPr>
            <w:tcW w:w="340" w:type="dxa"/>
            <w:vAlign w:val="bottom"/>
          </w:tcPr>
          <w:p>
            <w:pPr>
              <w:spacing w:after="0"/>
              <w:rPr>
                <w:sz w:val="18"/>
                <w:szCs w:val="18"/>
                <w:color w:val="auto"/>
              </w:rPr>
            </w:pPr>
          </w:p>
        </w:tc>
        <w:tc>
          <w:tcPr>
            <w:tcW w:w="1760" w:type="dxa"/>
            <w:vAlign w:val="bottom"/>
          </w:tcPr>
          <w:p>
            <w:pPr>
              <w:jc w:val="right"/>
              <w:ind w:right="492"/>
              <w:spacing w:after="0"/>
              <w:rPr>
                <w:sz w:val="20"/>
                <w:szCs w:val="20"/>
                <w:color w:val="auto"/>
              </w:rPr>
            </w:pPr>
            <w:r>
              <w:rPr>
                <w:rFonts w:ascii="Arial" w:cs="Arial" w:eastAsia="Arial" w:hAnsi="Arial"/>
                <w:sz w:val="16"/>
                <w:szCs w:val="16"/>
                <w:b w:val="1"/>
                <w:bCs w:val="1"/>
                <w:color w:val="auto"/>
              </w:rPr>
              <w:t>June 28, 2020</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21,217</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280" w:firstLine="170"/>
        <w:spacing w:after="0" w:line="30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July 4, 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70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50" w:lineRule="exact"/>
        <w:rPr>
          <w:sz w:val="20"/>
          <w:szCs w:val="20"/>
          <w:color w:val="auto"/>
        </w:rPr>
      </w:pPr>
    </w:p>
    <w:p>
      <w:pPr>
        <w:ind w:left="20"/>
        <w:spacing w:after="0"/>
        <w:tabs>
          <w:tab w:leader="none" w:pos="3540" w:val="left"/>
          <w:tab w:leader="none" w:pos="7820" w:val="left"/>
          <w:tab w:leader="none" w:pos="9600" w:val="left"/>
        </w:tabs>
        <w:rPr>
          <w:sz w:val="20"/>
          <w:szCs w:val="20"/>
          <w:color w:val="auto"/>
        </w:rPr>
      </w:pPr>
      <w:r>
        <w:rPr>
          <w:rFonts w:ascii="Arial" w:cs="Arial" w:eastAsia="Arial" w:hAnsi="Arial"/>
          <w:sz w:val="16"/>
          <w:szCs w:val="16"/>
          <w:b w:val="1"/>
          <w:bCs w:val="1"/>
          <w:color w:val="auto"/>
        </w:rPr>
        <w:t>Leases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6"/>
          <w:szCs w:val="16"/>
          <w:b w:val="1"/>
          <w:bCs w:val="1"/>
          <w:color w:val="auto"/>
        </w:rPr>
        <w:t>July 4, 2021</w:t>
      </w:r>
      <w:r>
        <w:rPr>
          <w:sz w:val="20"/>
          <w:szCs w:val="20"/>
          <w:color w:val="auto"/>
        </w:rPr>
        <w:tab/>
      </w: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206,068</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224,268</w:t>
            </w:r>
          </w:p>
        </w:tc>
      </w:tr>
      <w:tr>
        <w:trPr>
          <w:trHeight w:val="499"/>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99,939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101,426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88,065</w:t>
            </w:r>
          </w:p>
        </w:tc>
      </w:tr>
      <w:tr>
        <w:trPr>
          <w:trHeight w:val="269"/>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289,720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312,333</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28,559</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172,352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181,871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75,415</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299,204</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July 4,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28,643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36,034</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26,103</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15,748</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20,457</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18,941</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161,625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322,017</w:t>
            </w:r>
          </w:p>
        </w:tc>
      </w:tr>
      <w:tr>
        <w:trPr>
          <w:trHeight w:val="22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188,100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448,413</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108,497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167,899</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July 4, 2021, the Company had entered in an additional lease as a lessee, primarily for real estate. This lease has not yet commenced and will result in ROU assets and corresponding lease liabilities of approximately $20,000. This lease is expected to commence during the second half of 2021, with a lease term of approximately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4060" w:type="dxa"/>
            <w:vAlign w:val="bottom"/>
            <w:tcBorders>
              <w:bottom w:val="single" w:sz="8" w:color="auto"/>
            </w:tcBorders>
            <w:gridSpan w:val="5"/>
          </w:tcPr>
          <w:p>
            <w:pPr>
              <w:jc w:val="right"/>
              <w:ind w:right="12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4, 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June 28, 2020</w:t>
            </w: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20" w:type="dxa"/>
            <w:vAlign w:val="bottom"/>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21,773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21,335</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70"/>
        </w:trPr>
        <w:tc>
          <w:tcPr>
            <w:tcW w:w="7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2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2,076</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108" w:lineRule="exact"/>
        <w:rPr>
          <w:sz w:val="20"/>
          <w:szCs w:val="20"/>
          <w:color w:val="auto"/>
        </w:rPr>
      </w:pPr>
    </w:p>
    <w:p>
      <w:pPr>
        <w:jc w:val="both"/>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invest in partnerships which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$81,606 and $52,351 as of July 4, 2021 and December 31,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76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June 28,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June 28, 2020</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Selling, marketing and administrative expense</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realignment costs (benefits)</w:t>
            </w:r>
          </w:p>
        </w:tc>
        <w:tc>
          <w:tcPr>
            <w:tcW w:w="1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89"/>
              </w:rPr>
              <w:t>Costs associated with business realignment activities</w:t>
            </w:r>
          </w:p>
        </w:tc>
        <w:tc>
          <w:tcPr>
            <w:tcW w:w="13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440" w:type="dxa"/>
            <w:vAlign w:val="bottom"/>
            <w:gridSpan w:val="7"/>
          </w:tcPr>
          <w:p>
            <w:pPr>
              <w:ind w:left="20"/>
              <w:spacing w:after="0"/>
              <w:rPr>
                <w:sz w:val="20"/>
                <w:szCs w:val="20"/>
                <w:color w:val="auto"/>
              </w:rPr>
            </w:pPr>
            <w:r>
              <w:rPr>
                <w:rFonts w:ascii="Arial" w:cs="Arial" w:eastAsia="Arial" w:hAnsi="Arial"/>
                <w:sz w:val="16"/>
                <w:szCs w:val="16"/>
                <w:color w:val="auto"/>
              </w:rPr>
              <w:t>The Hershey Company | Q2 2021 Form 10-Q | Page 19</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six months ended July 4, 2021 and June 28, 2020 related to these activities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76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June 28,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June 28, 2020</w:t>
            </w: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Margin for Growth Program:</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Other program costs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six months ended July 4, 2021:</w:t>
      </w:r>
    </w:p>
    <w:p>
      <w:pPr>
        <w:spacing w:after="0" w:line="50"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2020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July 4, 2021 (1)</w:t>
      </w:r>
    </w:p>
    <w:p>
      <w:pPr>
        <w:spacing w:after="0" w:line="171"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liability balances reflected above are reported within accrued liabilities and other long-term liabilities.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reflected in the liability roll-forward represent employee-related and certain third-party service provider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69" w:hanging="1069"/>
        <w:spacing w:after="0"/>
        <w:tabs>
          <w:tab w:leader="none" w:pos="10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12,748</w:t>
      </w:r>
    </w:p>
    <w:p>
      <w:pPr>
        <w:spacing w:after="0" w:line="34" w:lineRule="exact"/>
        <w:rPr>
          <w:rFonts w:ascii="Arial" w:cs="Arial" w:eastAsia="Arial" w:hAnsi="Arial"/>
          <w:sz w:val="17"/>
          <w:szCs w:val="17"/>
          <w:color w:val="auto"/>
        </w:rPr>
      </w:pPr>
    </w:p>
    <w:p>
      <w:pPr>
        <w:ind w:left="1149"/>
        <w:spacing w:after="0"/>
        <w:rPr>
          <w:rFonts w:ascii="Arial" w:cs="Arial" w:eastAsia="Arial" w:hAnsi="Arial"/>
          <w:sz w:val="17"/>
          <w:szCs w:val="17"/>
          <w:color w:val="auto"/>
        </w:rPr>
      </w:pPr>
      <w:r>
        <w:rPr>
          <w:rFonts w:ascii="Arial" w:cs="Arial" w:eastAsia="Arial" w:hAnsi="Arial"/>
          <w:sz w:val="18"/>
          <w:szCs w:val="18"/>
          <w:color w:val="auto"/>
        </w:rPr>
        <w:t>4,700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 w:lineRule="exact"/>
        <w:rPr>
          <w:sz w:val="20"/>
          <w:szCs w:val="20"/>
          <w:color w:val="auto"/>
        </w:rPr>
      </w:pPr>
    </w:p>
    <w:p>
      <w:pPr>
        <w:ind w:left="1149" w:hanging="1149"/>
        <w:spacing w:after="0"/>
        <w:tabs>
          <w:tab w:leader="none" w:pos="11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23" w:lineRule="exact"/>
        <w:rPr>
          <w:sz w:val="20"/>
          <w:szCs w:val="20"/>
          <w:color w:val="auto"/>
        </w:rPr>
      </w:pPr>
    </w:p>
    <w:p>
      <w:pPr>
        <w:sectPr>
          <w:pgSz w:w="11900" w:h="16838" w:orient="portrait"/>
          <w:cols w:equalWidth="0" w:num="2">
            <w:col w:w="9320" w:space="291"/>
            <w:col w:w="1629"/>
          </w:cols>
          <w:pgMar w:left="320" w:top="121" w:right="339" w:bottom="1440" w:gutter="0" w:footer="0" w:header="0"/>
          <w:type w:val="continuous"/>
        </w:sect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International Optimization Program is expected to be completed by mid-2022,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and Other segment. However, segment operating results do not include these business realignment expenses because we evaluate segment performance excluding such costs.</w:t>
      </w:r>
    </w:p>
    <w:p>
      <w:pPr>
        <w:spacing w:after="0" w:line="13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three and six months ended July 4, 2021, we recognized total costs associated with the International Optimization Program of $3,469 and $10,396, respectively. These charges predominantly included third-party charges in support of our initiative to transform our China operating model, as well as severance and employee benefit costs. Since inception, we have incurred pre-tax charges to execute the program totaling $39,739.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10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 This project was completed in mid-2020.</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three and six months ended June 28, 2020, we recognized total costs associated with the Margin for Growth Program of $1,275 and $2,170, respectively.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majority of our taxable income is generated in the United States and taxed at the United States statutory rate of 21%. The effective tax rates for the six months ended July 4, 2021 and June 28, 2020 were 25.1% and 19.8%, respectively. Relative to the statutory rate, the 2021 effective tax rate was impacted by incremental tax reserves incurred as a result of an adverse ruling in connection with a non-U.S. tax litigation matter as well as state taxes, partially offset by investment tax credits and the benefit of employee share-based payments.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During the second quarter of 2021, we recorded incremental tax reserves as a result of an adverse ruling in connection with a non-U.S. tax litigation matter. Based on our current assessments, we believe adequate provision has been made for all income tax uncertainties. We reasonably expect reductions in the liability for unrecognized tax benefits of approximately $22,387 within the next 12 months because of the expiration of statutes of limitations and settlements of tax audits.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American Rescue Plan Act</w:t>
      </w:r>
    </w:p>
    <w:p>
      <w:pPr>
        <w:spacing w:after="0" w:line="17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March 11, 2021, the American Rescue Plan Act ("ARPA") was signed into law. The ARPA strengthens and extends certain federal programs enacted through the CARES Act and other COVID-19 relief measures, and establishes new federal programs, including provisions on taxes, healthcare and unemployment benefits. The ARPA did not have a material impact on our consolidated financial statements for the six months ended July 4,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six months ended July 4, 2021 and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right="-1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July 4, 2021 and June 28, 2020 were as follows:</w:t>
      </w:r>
    </w:p>
    <w:p>
      <w:pPr>
        <w:spacing w:after="0" w:line="145" w:lineRule="exact"/>
        <w:rPr>
          <w:sz w:val="20"/>
          <w:szCs w:val="20"/>
          <w:color w:val="auto"/>
        </w:rPr>
      </w:pPr>
    </w:p>
    <w:p>
      <w:pPr>
        <w:jc w:val="right"/>
        <w:ind w:right="1220"/>
        <w:spacing w:after="0"/>
        <w:tabs>
          <w:tab w:leader="none" w:pos="100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43548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46" w:lineRule="exact"/>
        <w:rPr>
          <w:sz w:val="20"/>
          <w:szCs w:val="20"/>
          <w:color w:val="auto"/>
        </w:rPr>
      </w:pPr>
    </w:p>
    <w:p>
      <w:pPr>
        <w:jc w:val="center"/>
        <w:ind w:left="4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214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620"/>
        <w:spacing w:after="0"/>
        <w:tabs>
          <w:tab w:leader="none" w:pos="6280" w:val="left"/>
        </w:tabs>
        <w:rPr>
          <w:sz w:val="20"/>
          <w:szCs w:val="20"/>
          <w:color w:val="auto"/>
        </w:rPr>
      </w:pPr>
      <w:r>
        <w:rPr>
          <w:rFonts w:ascii="Arial" w:cs="Arial" w:eastAsia="Arial" w:hAnsi="Arial"/>
          <w:sz w:val="16"/>
          <w:szCs w:val="16"/>
          <w:b w:val="1"/>
          <w:bCs w:val="1"/>
          <w:color w:val="auto"/>
        </w:rPr>
        <w:t>July 4, 2021</w:t>
      </w:r>
      <w:r>
        <w:rPr>
          <w:sz w:val="20"/>
          <w:szCs w:val="20"/>
          <w:color w:val="auto"/>
        </w:rPr>
        <w:tab/>
      </w:r>
      <w:r>
        <w:rPr>
          <w:rFonts w:ascii="Arial" w:cs="Arial" w:eastAsia="Arial" w:hAnsi="Arial"/>
          <w:sz w:val="14"/>
          <w:szCs w:val="14"/>
          <w:b w:val="1"/>
          <w:bCs w:val="1"/>
          <w:color w:val="auto"/>
        </w:rPr>
        <w:t>June 28,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20320</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July 4, 2021</w:t>
      </w:r>
      <w:r>
        <w:rPr>
          <w:sz w:val="20"/>
          <w:szCs w:val="20"/>
          <w:color w:val="auto"/>
        </w:rPr>
        <w:tab/>
      </w:r>
      <w:r>
        <w:rPr>
          <w:rFonts w:ascii="Arial" w:cs="Arial" w:eastAsia="Arial" w:hAnsi="Arial"/>
          <w:sz w:val="14"/>
          <w:szCs w:val="14"/>
          <w:b w:val="1"/>
          <w:bCs w:val="1"/>
          <w:color w:val="auto"/>
        </w:rPr>
        <w:t>June 28, 2020</w:t>
      </w:r>
    </w:p>
    <w:p>
      <w:pPr>
        <w:spacing w:after="0" w:line="26" w:lineRule="exact"/>
        <w:rPr>
          <w:sz w:val="20"/>
          <w:szCs w:val="20"/>
          <w:color w:val="auto"/>
        </w:rPr>
      </w:pPr>
    </w:p>
    <w:p>
      <w:pPr>
        <w:sectPr>
          <w:pgSz w:w="11900" w:h="16838" w:orient="portrait"/>
          <w:cols w:equalWidth="0" w:num="2">
            <w:col w:w="7380" w:space="720"/>
            <w:col w:w="3020"/>
          </w:cols>
          <w:pgMar w:left="320" w:top="121" w:right="4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made contributions of $325 and $4,000 to the pension plans and other benefits plans, respectively, during the second quarter of 2021. In the second quarter of 2020, we made contributions of $248 and $3,976 to our pension plans and other benefit plans, respectively. The contributions in 2021 and 2020 also included benefit payments from our non-qualified pension plans and post-retirement benefit plans.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July 4, 2021 and June 28, 2020 were as follows:</w:t>
      </w:r>
    </w:p>
    <w:p>
      <w:pPr>
        <w:spacing w:after="0" w:line="131" w:lineRule="exact"/>
        <w:rPr>
          <w:sz w:val="20"/>
          <w:szCs w:val="20"/>
          <w:color w:val="auto"/>
        </w:rPr>
      </w:pPr>
    </w:p>
    <w:p>
      <w:pPr>
        <w:ind w:left="5380"/>
        <w:spacing w:after="0"/>
        <w:tabs>
          <w:tab w:leader="none" w:pos="890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20320</wp:posOffset>
            </wp:positionV>
            <wp:extent cx="43548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p>
      <w:pPr>
        <w:spacing w:after="0" w:line="46" w:lineRule="exact"/>
        <w:rPr>
          <w:sz w:val="20"/>
          <w:szCs w:val="20"/>
          <w:color w:val="auto"/>
        </w:rPr>
      </w:pPr>
    </w:p>
    <w:p>
      <w:pPr>
        <w:jc w:val="center"/>
        <w:ind w:left="44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20320</wp:posOffset>
            </wp:positionV>
            <wp:extent cx="2143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ind w:left="4660"/>
        <w:spacing w:after="0"/>
        <w:tabs>
          <w:tab w:leader="none" w:pos="6320" w:val="left"/>
        </w:tabs>
        <w:rPr>
          <w:sz w:val="20"/>
          <w:szCs w:val="20"/>
          <w:color w:val="auto"/>
        </w:rPr>
      </w:pPr>
      <w:r>
        <w:rPr>
          <w:rFonts w:ascii="Arial" w:cs="Arial" w:eastAsia="Arial" w:hAnsi="Arial"/>
          <w:sz w:val="16"/>
          <w:szCs w:val="16"/>
          <w:b w:val="1"/>
          <w:bCs w:val="1"/>
          <w:color w:val="auto"/>
        </w:rPr>
        <w:t>July 4, 2021</w:t>
      </w:r>
      <w:r>
        <w:rPr>
          <w:sz w:val="20"/>
          <w:szCs w:val="20"/>
          <w:color w:val="auto"/>
        </w:rPr>
        <w:tab/>
      </w:r>
      <w:r>
        <w:rPr>
          <w:rFonts w:ascii="Arial" w:cs="Arial" w:eastAsia="Arial" w:hAnsi="Arial"/>
          <w:sz w:val="14"/>
          <w:szCs w:val="14"/>
          <w:b w:val="1"/>
          <w:bCs w:val="1"/>
          <w:color w:val="auto"/>
        </w:rPr>
        <w:t>June 28,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20320</wp:posOffset>
            </wp:positionV>
            <wp:extent cx="2143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July 4, 2021</w:t>
      </w:r>
      <w:r>
        <w:rPr>
          <w:sz w:val="20"/>
          <w:szCs w:val="20"/>
          <w:color w:val="auto"/>
        </w:rPr>
        <w:tab/>
      </w:r>
      <w:r>
        <w:rPr>
          <w:rFonts w:ascii="Arial" w:cs="Arial" w:eastAsia="Arial" w:hAnsi="Arial"/>
          <w:sz w:val="14"/>
          <w:szCs w:val="14"/>
          <w:b w:val="1"/>
          <w:bCs w:val="1"/>
          <w:color w:val="auto"/>
        </w:rPr>
        <w:t>June 28, 2020</w:t>
      </w:r>
    </w:p>
    <w:p>
      <w:pPr>
        <w:spacing w:after="0" w:line="26" w:lineRule="exact"/>
        <w:rPr>
          <w:sz w:val="20"/>
          <w:szCs w:val="20"/>
          <w:color w:val="auto"/>
        </w:rPr>
      </w:pPr>
    </w:p>
    <w:p>
      <w:pPr>
        <w:sectPr>
          <w:pgSz w:w="11900" w:h="16838" w:orient="portrait"/>
          <w:cols w:equalWidth="0" w:num="2">
            <w:col w:w="7420" w:space="720"/>
            <w:col w:w="2980"/>
          </w:cols>
          <w:pgMar w:left="320" w:top="121" w:right="45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10,922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10,843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made contributions of $1,183 and $8,155 to the pension plans and other benefits plans, respectively, during the first six months of 2021. In the first six months of 2020, we made contributions of $1,005 and $7,328 to our pension plans and other benefit plans, respectively. The contributions in 2021 and 2020 also included benefit payments from our non-qualified pension plans and post-retirement benefit plans.</w:t>
      </w:r>
    </w:p>
    <w:p>
      <w:pPr>
        <w:spacing w:after="0" w:line="192"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and second quarters of 2021, we recognized pension settlement charges in our hourly retirement plan due to lump sum withdrawals by employees retiring or leaving the Company. In addition, we recognized pension settlement charges in our salaried retirement plan during the second quarter of 2021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second quarter 2021 settlements, the related plan assets and liabilities were remeasured using a discount rate as of the remeasurement date that was 34 basis points higher than the rate as of December 31, 2020 and an expected rate of return on plan assets of 4.8%.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3640" w:type="dxa"/>
            <w:vAlign w:val="bottom"/>
            <w:gridSpan w:val="4"/>
          </w:tcPr>
          <w:p>
            <w:pPr>
              <w:jc w:val="right"/>
              <w:ind w:right="125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July 4, 2021</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June 28, 2020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July 4, 2021</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June 28, 2020</w:t>
            </w: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Related income tax benefit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4,894</w:t>
            </w:r>
          </w:p>
        </w:tc>
      </w:tr>
    </w:tbl>
    <w:p>
      <w:pPr>
        <w:spacing w:after="0" w:line="22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selling, marketing and administrative expense. As of July 4, 2021, total stock-based compensation expense related to non-vested awards not yet recognized was $101,018 and the weighted-average period over which this amount is expected to be recognized was approximately 2.2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July 4, 2021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8"/>
                <w:szCs w:val="18"/>
                <w:b w:val="1"/>
                <w:bCs w:val="1"/>
                <w:color w:val="auto"/>
              </w:rPr>
              <w:t>Weighted-Average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9"/>
              </w:rPr>
              <w:t>Exercise Price (per</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1,839,811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32,155</w:t>
            </w:r>
          </w:p>
        </w:tc>
        <w:tc>
          <w:tcPr>
            <w:tcW w:w="1760" w:type="dxa"/>
            <w:vAlign w:val="bottom"/>
          </w:tcPr>
          <w:p>
            <w:pPr>
              <w:jc w:val="right"/>
              <w:spacing w:after="0"/>
              <w:rPr>
                <w:sz w:val="20"/>
                <w:szCs w:val="20"/>
                <w:color w:val="auto"/>
              </w:rPr>
            </w:pPr>
            <w:r>
              <w:rPr>
                <w:rFonts w:ascii="Arial" w:cs="Arial" w:eastAsia="Arial" w:hAnsi="Arial"/>
                <w:sz w:val="18"/>
                <w:szCs w:val="18"/>
                <w:color w:val="auto"/>
              </w:rPr>
              <w:t>$147.98</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$102.58</w:t>
            </w:r>
          </w:p>
        </w:tc>
        <w:tc>
          <w:tcPr>
            <w:tcW w:w="15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July 4,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1,530,910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as of July 4, 2021</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1,344,804</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$100.00</w:t>
            </w:r>
          </w:p>
        </w:tc>
        <w:tc>
          <w:tcPr>
            <w:tcW w:w="1580" w:type="dxa"/>
            <w:vAlign w:val="bottom"/>
          </w:tcPr>
          <w:p>
            <w:pPr>
              <w:jc w:val="center"/>
              <w:spacing w:after="0" w:line="203" w:lineRule="exact"/>
              <w:rPr>
                <w:sz w:val="20"/>
                <w:szCs w:val="20"/>
                <w:color w:val="auto"/>
              </w:rPr>
            </w:pPr>
            <w:r>
              <w:rPr>
                <w:rFonts w:ascii="Arial" w:cs="Arial" w:eastAsia="Arial" w:hAnsi="Arial"/>
                <w:sz w:val="18"/>
                <w:szCs w:val="18"/>
                <w:color w:val="auto"/>
                <w:w w:val="89"/>
              </w:rPr>
              <w:t>4.3 years</w:t>
            </w:r>
          </w:p>
        </w:tc>
        <w:tc>
          <w:tcPr>
            <w:tcW w:w="4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99,512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$24.12 and $21.31 per share for the periods ended July 4, 2021 and June 28,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was estimated on the date of grant using a Black-Scholes option-pricing model and the following weighted-average assumptions: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3"/>
              </w:rPr>
              <w:t>Six Months Ended</w:t>
            </w:r>
          </w:p>
        </w:tc>
        <w:tc>
          <w:tcPr>
            <w:tcW w:w="1640" w:type="dxa"/>
            <w:vAlign w:val="bottom"/>
            <w:tcBorders>
              <w:bottom w:val="single" w:sz="8" w:color="auto"/>
            </w:tcBorders>
          </w:tcPr>
          <w:p>
            <w:pPr>
              <w:spacing w:after="0"/>
              <w:rPr>
                <w:sz w:val="18"/>
                <w:szCs w:val="18"/>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w w:val="97"/>
              </w:rPr>
              <w:t>July 4, 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w w:val="92"/>
              </w:rPr>
              <w:t>June 28, 2020</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$21,453 and $23,597 for the periods ended July 4, 2021 and June 28, 2020,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July 4, 2021 and June 28, 2020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268605</wp:posOffset>
            </wp:positionV>
            <wp:extent cx="1968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3-year term. Compensation expenses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July 4, 2021 and June 28, 2020, we awarded RSUs to certain executive officers and other key employees under the EICP. We also awarded RSUs to non-employee directors.</w:t>
      </w:r>
    </w:p>
    <w:p>
      <w:pPr>
        <w:spacing w:after="0" w:line="11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July 4,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1,053,332</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382,841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144,722</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(308,664)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(35,938)</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July 4,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1,236,293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Six Months Ended</w:t>
            </w: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4, 2021</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4"/>
              </w:rPr>
              <w:t>June 28, 2020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382,841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1660" w:type="dxa"/>
            <w:vAlign w:val="bottom"/>
            <w:vMerge w:val="restart"/>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153.39</w:t>
            </w:r>
          </w:p>
        </w:tc>
        <w:tc>
          <w:tcPr>
            <w:tcW w:w="120" w:type="dxa"/>
            <w:vAlign w:val="bottom"/>
          </w:tcPr>
          <w:p>
            <w:pPr>
              <w:spacing w:after="0"/>
              <w:rPr>
                <w:sz w:val="20"/>
                <w:szCs w:val="20"/>
                <w:color w:val="auto"/>
              </w:rPr>
            </w:pP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163.30</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660" w:type="dxa"/>
            <w:vAlign w:val="bottom"/>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$46,352 and $41,874 for the periods ended July 4, 2021 and June 28, 2020, respectively.</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263,269 units as of July 4, 2021.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90%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20" w:hanging="328"/>
        <w:spacing w:after="0" w:line="266"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1" w:lineRule="exact"/>
        <w:rPr>
          <w:rFonts w:ascii="Arial" w:cs="Arial" w:eastAsia="Arial" w:hAnsi="Arial"/>
          <w:sz w:val="18"/>
          <w:szCs w:val="18"/>
          <w:b w:val="1"/>
          <w:bCs w:val="1"/>
          <w:i w:val="1"/>
          <w:iCs w:val="1"/>
          <w:color w:val="auto"/>
        </w:rPr>
      </w:pPr>
    </w:p>
    <w:p>
      <w:pPr>
        <w:ind w:left="660" w:right="140" w:hanging="328"/>
        <w:spacing w:after="0" w:line="294"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geographic 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3">
        <w:r>
          <w:rPr>
            <w:rFonts w:ascii="Arial" w:cs="Arial" w:eastAsia="Arial" w:hAnsi="Arial"/>
            <w:sz w:val="18"/>
            <w:szCs w:val="18"/>
            <w:u w:val="single" w:color="auto"/>
            <w:color w:val="0000FF"/>
          </w:rPr>
          <w:t>Note 5</w:t>
        </w:r>
      </w:hyperlink>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180" w:type="dxa"/>
            <w:vAlign w:val="bottom"/>
            <w:gridSpan w:val="4"/>
          </w:tcPr>
          <w:p>
            <w:pPr>
              <w:jc w:val="right"/>
              <w:ind w:right="9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July 4, 2021</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June 28,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June 28, 2020</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gridSpan w:val="9"/>
          </w:tcPr>
          <w:p>
            <w:pPr>
              <w:ind w:left="18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1,779,193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1,583,787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3,861,065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3,428,608</w:t>
            </w:r>
          </w:p>
        </w:tc>
        <w:tc>
          <w:tcPr>
            <w:tcW w:w="0" w:type="dxa"/>
            <w:vAlign w:val="bottom"/>
          </w:tcPr>
          <w:p>
            <w:pPr>
              <w:spacing w:after="0"/>
              <w:rPr>
                <w:sz w:val="1"/>
                <w:szCs w:val="1"/>
                <w:color w:val="auto"/>
              </w:rPr>
            </w:pPr>
          </w:p>
        </w:tc>
      </w:tr>
      <w:tr>
        <w:trPr>
          <w:trHeight w:val="229"/>
        </w:trPr>
        <w:tc>
          <w:tcPr>
            <w:tcW w:w="42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316,038</w:t>
            </w:r>
          </w:p>
        </w:tc>
        <w:tc>
          <w:tcPr>
            <w:tcW w:w="0" w:type="dxa"/>
            <w:vAlign w:val="bottom"/>
          </w:tcPr>
          <w:p>
            <w:pPr>
              <w:spacing w:after="0"/>
              <w:rPr>
                <w:sz w:val="1"/>
                <w:szCs w:val="1"/>
                <w:color w:val="auto"/>
              </w:rPr>
            </w:pPr>
          </w:p>
        </w:tc>
      </w:tr>
      <w:tr>
        <w:trPr>
          <w:trHeight w:val="223"/>
        </w:trPr>
        <w:tc>
          <w:tcPr>
            <w:tcW w:w="4260" w:type="dxa"/>
            <w:vAlign w:val="bottom"/>
            <w:gridSpan w:val="9"/>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4,285,370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3,744,646</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gridSpan w:val="9"/>
          </w:tcPr>
          <w:p>
            <w:pPr>
              <w:ind w:left="20"/>
              <w:spacing w:after="0"/>
              <w:rPr>
                <w:sz w:val="20"/>
                <w:szCs w:val="20"/>
                <w:color w:val="auto"/>
              </w:rPr>
            </w:pPr>
            <w:r>
              <w:rPr>
                <w:rFonts w:ascii="Arial" w:cs="Arial" w:eastAsia="Arial" w:hAnsi="Arial"/>
                <w:sz w:val="18"/>
                <w:szCs w:val="18"/>
                <w:color w:val="auto"/>
              </w:rPr>
              <w:t>Segment income (loss):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1,079,142</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9"/>
          </w:tcPr>
          <w:p>
            <w:pPr>
              <w:ind w:left="18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23"/>
        </w:trPr>
        <w:tc>
          <w:tcPr>
            <w:tcW w:w="426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1,091,177</w:t>
            </w:r>
          </w:p>
        </w:tc>
        <w:tc>
          <w:tcPr>
            <w:tcW w:w="0" w:type="dxa"/>
            <w:vAlign w:val="bottom"/>
          </w:tcPr>
          <w:p>
            <w:pPr>
              <w:spacing w:after="0"/>
              <w:rPr>
                <w:sz w:val="1"/>
                <w:szCs w:val="1"/>
                <w:color w:val="auto"/>
              </w:rPr>
            </w:pPr>
          </w:p>
        </w:tc>
      </w:tr>
      <w:tr>
        <w:trPr>
          <w:trHeight w:val="229"/>
        </w:trPr>
        <w:tc>
          <w:tcPr>
            <w:tcW w:w="4260" w:type="dxa"/>
            <w:vAlign w:val="bottom"/>
            <w:gridSpan w:val="9"/>
          </w:tcPr>
          <w:p>
            <w:pPr>
              <w:ind w:left="20"/>
              <w:spacing w:after="0"/>
              <w:rPr>
                <w:sz w:val="20"/>
                <w:szCs w:val="20"/>
                <w:color w:val="auto"/>
              </w:rPr>
            </w:pPr>
            <w:r>
              <w:rPr>
                <w:rFonts w:ascii="Arial" w:cs="Arial" w:eastAsia="Arial" w:hAnsi="Arial"/>
                <w:sz w:val="18"/>
                <w:szCs w:val="18"/>
                <w:color w:val="auto"/>
              </w:rPr>
              <w:t>Unallocated corporate expense (1)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231,450</w:t>
            </w:r>
          </w:p>
        </w:tc>
        <w:tc>
          <w:tcPr>
            <w:tcW w:w="0" w:type="dxa"/>
            <w:vAlign w:val="bottom"/>
          </w:tcPr>
          <w:p>
            <w:pPr>
              <w:spacing w:after="0"/>
              <w:rPr>
                <w:sz w:val="1"/>
                <w:szCs w:val="1"/>
                <w:color w:val="auto"/>
              </w:rPr>
            </w:pPr>
          </w:p>
        </w:tc>
      </w:tr>
      <w:tr>
        <w:trPr>
          <w:trHeight w:val="176"/>
        </w:trPr>
        <w:tc>
          <w:tcPr>
            <w:tcW w:w="4260" w:type="dxa"/>
            <w:vAlign w:val="bottom"/>
            <w:gridSpan w:val="9"/>
            <w:shd w:val="clear" w:color="auto" w:fill="CCEEFF"/>
          </w:tcPr>
          <w:p>
            <w:pPr>
              <w:ind w:left="20"/>
              <w:spacing w:after="0" w:line="176" w:lineRule="exact"/>
              <w:rPr>
                <w:sz w:val="20"/>
                <w:szCs w:val="20"/>
                <w:color w:val="auto"/>
              </w:rPr>
            </w:pPr>
            <w:r>
              <w:rPr>
                <w:rFonts w:ascii="Arial" w:cs="Arial" w:eastAsia="Arial" w:hAnsi="Arial"/>
                <w:sz w:val="18"/>
                <w:szCs w:val="18"/>
                <w:color w:val="auto"/>
              </w:rPr>
              <w:t>Unallocated mark-to-market (gains) losses on</w:t>
            </w: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82,241</w:t>
            </w:r>
          </w:p>
        </w:tc>
        <w:tc>
          <w:tcPr>
            <w:tcW w:w="0" w:type="dxa"/>
            <w:vAlign w:val="bottom"/>
          </w:tcPr>
          <w:p>
            <w:pPr>
              <w:spacing w:after="0"/>
              <w:rPr>
                <w:sz w:val="1"/>
                <w:szCs w:val="1"/>
                <w:color w:val="auto"/>
              </w:rPr>
            </w:pPr>
          </w:p>
        </w:tc>
      </w:tr>
      <w:tr>
        <w:trPr>
          <w:trHeight w:val="229"/>
        </w:trPr>
        <w:tc>
          <w:tcPr>
            <w:tcW w:w="426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6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Long-lived asset impairment charges (see </w:t>
            </w:r>
            <w:hyperlink w:anchor="page15">
              <w:r>
                <w:rPr>
                  <w:rFonts w:ascii="Arial" w:cs="Arial" w:eastAsia="Arial" w:hAnsi="Arial"/>
                  <w:sz w:val="18"/>
                  <w:szCs w:val="18"/>
                  <w:color w:val="0000FF"/>
                </w:rPr>
                <w:t>Note 6</w:t>
              </w:r>
            </w:hyperlink>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5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1,600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60" w:type="dxa"/>
            <w:vAlign w:val="bottom"/>
            <w:gridSpan w:val="9"/>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Costs associated with business realignment activities</w:t>
            </w: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189"/>
        </w:trPr>
        <w:tc>
          <w:tcPr>
            <w:tcW w:w="4260" w:type="dxa"/>
            <w:vAlign w:val="bottom"/>
            <w:gridSpan w:val="9"/>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(see </w:t>
            </w:r>
            <w:hyperlink w:anchor="page20">
              <w:r>
                <w:rPr>
                  <w:rFonts w:ascii="Arial" w:cs="Arial" w:eastAsia="Arial" w:hAnsi="Arial"/>
                  <w:sz w:val="18"/>
                  <w:szCs w:val="18"/>
                  <w:color w:val="0000FF"/>
                </w:rPr>
                <w:t>Note 9</w:t>
              </w:r>
            </w:hyperlink>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60" w:type="dxa"/>
            <w:vAlign w:val="bottom"/>
            <w:gridSpan w:val="9"/>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383,373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1,009,719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766,173</w:t>
            </w:r>
          </w:p>
        </w:tc>
        <w:tc>
          <w:tcPr>
            <w:tcW w:w="0" w:type="dxa"/>
            <w:vAlign w:val="bottom"/>
          </w:tcPr>
          <w:p>
            <w:pPr>
              <w:spacing w:after="0"/>
              <w:rPr>
                <w:sz w:val="1"/>
                <w:szCs w:val="1"/>
                <w:color w:val="auto"/>
              </w:rPr>
            </w:pPr>
          </w:p>
        </w:tc>
      </w:tr>
      <w:tr>
        <w:trPr>
          <w:trHeight w:val="189"/>
        </w:trPr>
        <w:tc>
          <w:tcPr>
            <w:tcW w:w="4260" w:type="dxa"/>
            <w:vAlign w:val="bottom"/>
            <w:gridSpan w:val="9"/>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11">
              <w:r>
                <w:rPr>
                  <w:rFonts w:ascii="Arial" w:cs="Arial" w:eastAsia="Arial" w:hAnsi="Arial"/>
                  <w:sz w:val="18"/>
                  <w:szCs w:val="18"/>
                  <w:color w:val="0000FF"/>
                </w:rPr>
                <w:t>Note 4</w:t>
              </w:r>
            </w:hyperlink>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67,501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74,334</w:t>
            </w:r>
          </w:p>
        </w:tc>
        <w:tc>
          <w:tcPr>
            <w:tcW w:w="0" w:type="dxa"/>
            <w:vAlign w:val="bottom"/>
          </w:tcPr>
          <w:p>
            <w:pPr>
              <w:spacing w:after="0"/>
              <w:rPr>
                <w:sz w:val="1"/>
                <w:szCs w:val="1"/>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6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32">
              <w:r>
                <w:rPr>
                  <w:rFonts w:ascii="Arial" w:cs="Arial" w:eastAsia="Arial" w:hAnsi="Arial"/>
                  <w:sz w:val="18"/>
                  <w:szCs w:val="18"/>
                  <w:color w:val="0000FF"/>
                </w:rPr>
                <w:t>Note 18</w:t>
              </w:r>
            </w:hyperlink>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7,194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11,217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9,608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1"/>
        </w:trPr>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669,089</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59"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74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4"/>
              </w:rPr>
              <w:t>June 28, 2020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4"/>
              </w:rPr>
              <w:t>June 28, 2020</w:t>
            </w:r>
          </w:p>
        </w:tc>
        <w:tc>
          <w:tcPr>
            <w:tcW w:w="0" w:type="dxa"/>
            <w:vAlign w:val="bottom"/>
          </w:tcPr>
          <w:p>
            <w:pPr>
              <w:spacing w:after="0"/>
              <w:rPr>
                <w:sz w:val="1"/>
                <w:szCs w:val="1"/>
                <w:color w:val="auto"/>
              </w:rPr>
            </w:pPr>
          </w:p>
        </w:tc>
      </w:tr>
      <w:tr>
        <w:trPr>
          <w:trHeight w:val="158"/>
        </w:trPr>
        <w:tc>
          <w:tcPr>
            <w:tcW w:w="52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Net (gains) losses on mark-to-market valuation of commodity</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74,468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income</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Net gains on commodity derivative positions reclassified from</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to segment income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(gains) losses on mark-to-market valuation of commodity</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82,241</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3"/>
              </w:rPr>
              <w:t>derivative positions recognized in unallocated derivative (gains) losses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July 4, 2021, the cumulative amount of mark-to-market gains on commodity derivatives that have been recognized in our consolidated cost of sales and not yet allocated to reportable segments was $68,207. Based on our forecasts of the timing of the recognition of the underlying hedged items, we expect to reclassify net pretax gains on commodity derivatives of $52,970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465455</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18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9"/>
              </w:rPr>
              <w:t>June 28,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June 28, 2020</w:t>
            </w:r>
          </w:p>
        </w:tc>
      </w:tr>
      <w:tr>
        <w:trPr>
          <w:trHeight w:val="226"/>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108,081</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14,246</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142,524</w:t>
            </w: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18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9"/>
              </w:rPr>
              <w:t>June 28,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June 28, 2020</w:t>
            </w:r>
          </w:p>
        </w:tc>
      </w:tr>
      <w:tr>
        <w:trPr>
          <w:trHeight w:val="212"/>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42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1,681,397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1,504,266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3,664,120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3,271,542</w:t>
            </w:r>
          </w:p>
        </w:tc>
      </w:tr>
      <w:tr>
        <w:trPr>
          <w:trHeight w:val="230"/>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473,104</w:t>
            </w: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4,285,370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3,744,646</w:t>
            </w: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18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9"/>
              </w:rPr>
              <w:t>June 28,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4, 2021</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June 28, 2020</w:t>
            </w:r>
          </w:p>
        </w:tc>
      </w:tr>
      <w:tr>
        <w:trPr>
          <w:trHeight w:val="212"/>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Confectionery and confectionery-based portfolio</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1,837,881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1,592,181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3,993,518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3,500,415</w:t>
            </w:r>
          </w:p>
        </w:tc>
      </w:tr>
      <w:tr>
        <w:trPr>
          <w:trHeight w:val="230"/>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Snacks portfolio</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244,231</w:t>
            </w: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4,285,370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3,744,646</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14. TREASURY STOCK ACTIVITY</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7360" w:type="dxa"/>
            <w:vAlign w:val="bottom"/>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7360" w:type="dxa"/>
            <w:vAlign w:val="bottom"/>
          </w:tcPr>
          <w:p>
            <w:pPr>
              <w:spacing w:after="0"/>
              <w:rPr>
                <w:sz w:val="22"/>
                <w:szCs w:val="22"/>
                <w:color w:val="auto"/>
              </w:rPr>
            </w:pPr>
          </w:p>
        </w:tc>
        <w:tc>
          <w:tcPr>
            <w:tcW w:w="38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Six Months Ended July 4, 2021</w:t>
            </w:r>
          </w:p>
        </w:tc>
      </w:tr>
      <w:tr>
        <w:trPr>
          <w:trHeight w:val="223"/>
        </w:trPr>
        <w:tc>
          <w:tcPr>
            <w:tcW w:w="7360" w:type="dxa"/>
            <w:vAlign w:val="bottom"/>
          </w:tcPr>
          <w:p>
            <w:pPr>
              <w:spacing w:after="0"/>
              <w:rPr>
                <w:sz w:val="19"/>
                <w:szCs w:val="19"/>
                <w:color w:val="auto"/>
              </w:rPr>
            </w:pPr>
          </w:p>
        </w:tc>
        <w:tc>
          <w:tcPr>
            <w:tcW w:w="1980" w:type="dxa"/>
            <w:vAlign w:val="bottom"/>
            <w:gridSpan w:val="2"/>
          </w:tcPr>
          <w:p>
            <w:pPr>
              <w:ind w:left="68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19"/>
                <w:szCs w:val="19"/>
                <w:color w:val="auto"/>
              </w:rPr>
            </w:pP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Dollars</w:t>
            </w:r>
          </w:p>
        </w:tc>
      </w:tr>
      <w:tr>
        <w:trPr>
          <w:trHeight w:val="207"/>
        </w:trPr>
        <w:tc>
          <w:tcPr>
            <w:tcW w:w="73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150,017</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Shares repurchased to replace Treasury Stock issued for stock options and incentive compensation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8"/>
              </w:rPr>
              <w:t>284,329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434,346</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2"/>
              </w:rPr>
              <w:t>(22,457)</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5"/>
              </w:rPr>
              <w:t>411,889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July 2018, our Board of Directors approved a $500,000 share repurchase authorization to repurchase shares of our Common Stock. As of July 4, 2021,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2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As discussed in </w:t>
      </w:r>
      <w:hyperlink w:anchor="page10">
        <w:r>
          <w:rPr>
            <w:rFonts w:ascii="Arial" w:cs="Arial" w:eastAsia="Arial" w:hAnsi="Arial"/>
            <w:sz w:val="17"/>
            <w:szCs w:val="17"/>
            <w:u w:val="single" w:color="auto"/>
            <w:color w:val="0000FF"/>
          </w:rPr>
          <w:t>Note 2</w:t>
        </w:r>
      </w:hyperlink>
      <w:r>
        <w:rPr>
          <w:rFonts w:ascii="Arial" w:cs="Arial" w:eastAsia="Arial" w:hAnsi="Arial"/>
          <w:sz w:val="17"/>
          <w:szCs w:val="17"/>
          <w:color w:val="auto"/>
        </w:rPr>
        <w:t>, in January 2021 we completed the divestiture of LSFC, a joint venture originally established in 2007 in China for the purpose of manufacturing and selling product to the joint venture partners. Prior to the sale, we owned a 50% controlling interest in LSFC.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2021 activity relating to the noncontrolling interest follows: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934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Noncontrolling Interest</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8"/>
              </w:rPr>
              <w:t>3,531</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Net gain attributable to noncontrolling interest</w:t>
            </w:r>
          </w:p>
        </w:tc>
        <w:tc>
          <w:tcPr>
            <w:tcW w:w="740" w:type="dxa"/>
            <w:vAlign w:val="bottom"/>
          </w:tcPr>
          <w:p>
            <w:pPr>
              <w:spacing w:after="0"/>
              <w:rPr>
                <w:sz w:val="19"/>
                <w:szCs w:val="19"/>
                <w:color w:val="auto"/>
              </w:rPr>
            </w:pPr>
          </w:p>
        </w:tc>
        <w:tc>
          <w:tcPr>
            <w:tcW w:w="1160" w:type="dxa"/>
            <w:vAlign w:val="bottom"/>
          </w:tcPr>
          <w:p>
            <w:pPr>
              <w:jc w:val="center"/>
              <w:ind w:left="510"/>
              <w:spacing w:after="0"/>
              <w:rPr>
                <w:sz w:val="20"/>
                <w:szCs w:val="20"/>
                <w:color w:val="auto"/>
              </w:rPr>
            </w:pPr>
            <w:r>
              <w:rPr>
                <w:rFonts w:ascii="Arial" w:cs="Arial" w:eastAsia="Arial" w:hAnsi="Arial"/>
                <w:sz w:val="18"/>
                <w:szCs w:val="18"/>
                <w:color w:val="auto"/>
                <w:w w:val="88"/>
              </w:rPr>
              <w:t>1,072</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 of noncontrolling interest</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4"/>
              </w:rPr>
              <w:t>(1,013)</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5,254</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July 4, 2021</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8,844</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remaining noncontrolling interest balance as of July 4, 2021 reflects the portion of sales proceeds attributable to the joint venture partner. The distribution of the sales proceeds will commence upon the completion of certain approvals and other conditions. We expect the distribution to be completed during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5"/>
          </w:tcPr>
          <w:p>
            <w:pPr>
              <w:ind w:left="440"/>
              <w:spacing w:after="0"/>
              <w:rPr>
                <w:sz w:val="20"/>
                <w:szCs w:val="20"/>
                <w:color w:val="auto"/>
              </w:rPr>
            </w:pPr>
            <w:r>
              <w:rPr>
                <w:rFonts w:ascii="Arial" w:cs="Arial" w:eastAsia="Arial" w:hAnsi="Arial"/>
                <w:sz w:val="16"/>
                <w:szCs w:val="16"/>
                <w:b w:val="1"/>
                <w:bCs w:val="1"/>
                <w:color w:val="auto"/>
              </w:rPr>
              <w:t>July 4, 2021</w:t>
            </w:r>
          </w:p>
        </w:tc>
        <w:tc>
          <w:tcPr>
            <w:tcW w:w="300" w:type="dxa"/>
            <w:vAlign w:val="bottom"/>
          </w:tcPr>
          <w:p>
            <w:pPr>
              <w:spacing w:after="0"/>
              <w:rPr>
                <w:sz w:val="17"/>
                <w:szCs w:val="17"/>
                <w:color w:val="auto"/>
              </w:rPr>
            </w:pPr>
          </w:p>
        </w:tc>
        <w:tc>
          <w:tcPr>
            <w:tcW w:w="20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June 28, 2020</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8"/>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30,534</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73,085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2"/>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218,671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82,559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195,816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73,085</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82,559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72,962</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earnings per share calculations for the three months ended July 4, 2021 and June 28, 2020 excluded 43 and 15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440"/>
              <w:spacing w:after="0"/>
              <w:rPr>
                <w:sz w:val="20"/>
                <w:szCs w:val="20"/>
                <w:color w:val="auto"/>
              </w:rPr>
            </w:pPr>
            <w:r>
              <w:rPr>
                <w:rFonts w:ascii="Arial" w:cs="Arial" w:eastAsia="Arial" w:hAnsi="Arial"/>
                <w:sz w:val="16"/>
                <w:szCs w:val="16"/>
                <w:b w:val="1"/>
                <w:bCs w:val="1"/>
                <w:color w:val="auto"/>
              </w:rPr>
              <w:t>July 4, 2021</w:t>
            </w:r>
          </w:p>
        </w:tc>
        <w:tc>
          <w:tcPr>
            <w:tcW w:w="300" w:type="dxa"/>
            <w:vAlign w:val="bottom"/>
          </w:tcPr>
          <w:p>
            <w:pPr>
              <w:spacing w:after="0"/>
              <w:rPr>
                <w:sz w:val="18"/>
                <w:szCs w:val="18"/>
                <w:color w:val="auto"/>
              </w:rPr>
            </w:pPr>
          </w:p>
        </w:tc>
        <w:tc>
          <w:tcPr>
            <w:tcW w:w="20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June 28, 2020</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85,102</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61,218</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146,320</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506,553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190,476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393,718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146,320</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146,320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189,992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540,038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earnings per share calculations for the six months ended July 4, 2021 and June 28, 2020 excluded 43 and 15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25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4, 2021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28, 2020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4, 2021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28, 2020</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97"/>
              </w:rPr>
              <w:t>Write-down of equity investments in partnerships qualifying</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18,550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4"/>
            <w:shd w:val="clear" w:color="auto" w:fill="CCEEFF"/>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for historic and renewable energy tax credits (see </w:t>
            </w:r>
            <w:hyperlink w:anchor="page20">
              <w:r>
                <w:rPr>
                  <w:rFonts w:ascii="Arial" w:cs="Arial" w:eastAsia="Arial" w:hAnsi="Arial"/>
                  <w:sz w:val="18"/>
                  <w:szCs w:val="18"/>
                  <w:color w:val="0000FF"/>
                </w:rPr>
                <w:t>Note 8</w:t>
              </w:r>
            </w:hyperlink>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4"/>
          </w:tcPr>
          <w:p>
            <w:pPr>
              <w:spacing w:after="0" w:line="176" w:lineRule="exact"/>
              <w:rPr>
                <w:sz w:val="20"/>
                <w:szCs w:val="20"/>
                <w:color w:val="auto"/>
              </w:rPr>
            </w:pPr>
            <w:r>
              <w:rPr>
                <w:rFonts w:ascii="Arial" w:cs="Arial" w:eastAsia="Arial" w:hAnsi="Arial"/>
                <w:sz w:val="18"/>
                <w:szCs w:val="18"/>
                <w:color w:val="auto"/>
              </w:rPr>
              <w:t>Non-service cost components of net periodic benefit cost</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4"/>
          </w:tcPr>
          <w:p>
            <w:pPr>
              <w:spacing w:after="0" w:line="176" w:lineRule="exact"/>
              <w:rPr>
                <w:sz w:val="20"/>
                <w:szCs w:val="20"/>
                <w:color w:val="auto"/>
              </w:rPr>
            </w:pPr>
            <w:r>
              <w:rPr>
                <w:rFonts w:ascii="Arial" w:cs="Arial" w:eastAsia="Arial" w:hAnsi="Arial"/>
                <w:sz w:val="18"/>
                <w:szCs w:val="18"/>
                <w:color w:val="auto"/>
                <w:w w:val="91"/>
              </w:rPr>
              <w:t>relating to pension and other post-retirement benefit plans (see</w:t>
            </w: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4"/>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Note 11</w:t>
              </w:r>
            </w:hyperlink>
            <w:r>
              <w:rPr>
                <w:rFonts w:ascii="Arial" w:cs="Arial" w:eastAsia="Arial" w:hAnsi="Arial"/>
                <w:sz w:val="18"/>
                <w:szCs w:val="18"/>
                <w:color w:val="000000"/>
              </w:rPr>
              <w:t>)</w:t>
            </w: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July 4, 2021</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4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412,728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388,600</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Goods in process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104,841</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677,254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645,664</w:t>
            </w:r>
          </w:p>
        </w:tc>
      </w:tr>
      <w:tr>
        <w:trPr>
          <w:trHeight w:val="212"/>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at First In First Out</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1,139,105</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Adjustment to Last In First Out</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(174,898)</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1,060,422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64,153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95,669</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136,004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prepaid expenses and other</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200,157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254,478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131,513</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Buildings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1,412,232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1,387,106</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Machinery and equipment</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3,271,692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3,169,754</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Construction in progress</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276,514</w:t>
            </w:r>
          </w:p>
        </w:tc>
      </w:tr>
      <w:tr>
        <w:trPr>
          <w:trHeight w:val="213"/>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5,094,496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4,964,887</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(2,752,671)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(2,679,632)</w:t>
            </w: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2,341,825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2,285,255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Capitalized software, net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215,264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187,673</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ROU assets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224,268</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81,606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52,351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91,595</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non-current assets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612,614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555,887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Payroll, compensation and benefits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237,342</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Advertising, promotion and product allowances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309,437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309,537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175,072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198,309</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708,292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Post-retirement benefits liabilities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217,776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223,507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benefits liabilities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70,727</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172,352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181,871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225,858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207,329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long-term liabilities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671,601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683,434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(98,525)</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Pension and post-retirement benefit plans, net of tax</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(166,707)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(194,205)</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 hedges,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(45,352)</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(296,136)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(338,082)</w:t>
            </w:r>
          </w:p>
        </w:tc>
      </w:tr>
      <w:tr>
        <w:trPr>
          <w:trHeight w:val="20"/>
        </w:trPr>
        <w:tc>
          <w:tcPr>
            <w:tcW w:w="6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2020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Overview</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Trends Affecting Our Business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Consolidated Results of Operations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Segment Results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Liquidity and Capital Resources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Safe Harbor Statement</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rFonts w:ascii="Arial" w:cs="Arial" w:eastAsia="Arial" w:hAnsi="Arial"/>
          <w:sz w:val="18"/>
          <w:szCs w:val="18"/>
          <w:color w:val="auto"/>
        </w:rPr>
      </w:pPr>
    </w:p>
    <w:p>
      <w:pPr>
        <w:ind w:right="20"/>
        <w:spacing w:after="0" w:line="311"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85 countries worldwide.</w:t>
      </w:r>
    </w:p>
    <w:p>
      <w:pPr>
        <w:spacing w:after="0" w:line="95" w:lineRule="exact"/>
        <w:rPr>
          <w:rFonts w:ascii="Arial" w:cs="Arial" w:eastAsia="Arial" w:hAnsi="Arial"/>
          <w:sz w:val="18"/>
          <w:szCs w:val="18"/>
          <w:color w:val="auto"/>
        </w:rPr>
      </w:pPr>
    </w:p>
    <w:p>
      <w:pPr>
        <w:ind w:right="40"/>
        <w:spacing w:after="0" w:line="293" w:lineRule="auto"/>
        <w:rPr>
          <w:sz w:val="20"/>
          <w:szCs w:val="20"/>
          <w:color w:val="auto"/>
        </w:rPr>
      </w:pPr>
      <w:r>
        <w:rPr>
          <w:rFonts w:ascii="Arial" w:cs="Arial" w:eastAsia="Arial" w:hAnsi="Arial"/>
          <w:sz w:val="16"/>
          <w:szCs w:val="16"/>
          <w:color w:val="auto"/>
        </w:rPr>
        <w:t xml:space="preserve">We report our operations through two segments: North America and International and Other. The majority of our products are confectionery or confectionery-based and include chocolate and non-chocolate confectionery products, gum and mint refreshment products, spreads, snack bites and mixes, as well as pantry items such as baking ingredients, toppings and sundae syrups. The confectionery and confectionery-based portfolio is predominantly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Kit Kat®, Jolly Rancher, Ice Breakers, Twizzlers, Heath, Payday, Cadbury</w:t>
      </w:r>
      <w:r>
        <w:rPr>
          <w:rFonts w:ascii="Arial" w:cs="Arial" w:eastAsia="Arial" w:hAnsi="Arial"/>
          <w:sz w:val="16"/>
          <w:szCs w:val="16"/>
          <w:color w:val="auto"/>
        </w:rPr>
        <w:t xml:space="preserve"> and a variety of other popular brands. Our snacks portfolio includes ready-to-eat popcorn, baked and trans fat free snacks, protein bars and other better-for-you snacks. The snacks portfolio is predominantly sold under the brands of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ONE Bar</w:t>
      </w:r>
      <w:r>
        <w:rPr>
          <w:rFonts w:ascii="Arial" w:cs="Arial" w:eastAsia="Arial" w:hAnsi="Arial"/>
          <w:sz w:val="16"/>
          <w:szCs w:val="16"/>
          <w:color w:val="auto"/>
        </w:rPr>
        <w:t xml:space="preserve">, and </w:t>
      </w:r>
      <w:r>
        <w:rPr>
          <w:rFonts w:ascii="Arial" w:cs="Arial" w:eastAsia="Arial" w:hAnsi="Arial"/>
          <w:sz w:val="16"/>
          <w:szCs w:val="16"/>
          <w:i w:val="1"/>
          <w:iCs w:val="1"/>
          <w:color w:val="auto"/>
        </w:rPr>
        <w:t>Paqui</w:t>
      </w:r>
      <w:r>
        <w:rPr>
          <w:rFonts w:ascii="Arial" w:cs="Arial" w:eastAsia="Arial" w:hAnsi="Arial"/>
          <w:sz w:val="16"/>
          <w:szCs w:val="16"/>
          <w:color w:val="auto"/>
        </w:rPr>
        <w:t>.</w:t>
      </w:r>
    </w:p>
    <w:p>
      <w:pPr>
        <w:spacing w:after="0" w:line="1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2021 Acquisition and Divestiture</w:t>
      </w:r>
    </w:p>
    <w:p>
      <w:pPr>
        <w:spacing w:after="0" w:line="171" w:lineRule="exact"/>
        <w:rPr>
          <w:rFonts w:ascii="Arial" w:cs="Arial" w:eastAsia="Arial" w:hAnsi="Arial"/>
          <w:sz w:val="18"/>
          <w:szCs w:val="18"/>
          <w:color w:val="auto"/>
        </w:rPr>
      </w:pPr>
    </w:p>
    <w:p>
      <w:pPr>
        <w:jc w:val="both"/>
        <w:ind w:right="160"/>
        <w:spacing w:after="0" w:line="259" w:lineRule="auto"/>
        <w:rPr>
          <w:sz w:val="20"/>
          <w:szCs w:val="20"/>
          <w:color w:val="auto"/>
        </w:rPr>
      </w:pPr>
      <w:r>
        <w:rPr>
          <w:rFonts w:ascii="Arial" w:cs="Arial" w:eastAsia="Arial" w:hAnsi="Arial"/>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Lily's is expected to generate annualized net sales over $100 million.</w:t>
      </w:r>
    </w:p>
    <w:p>
      <w:pPr>
        <w:spacing w:after="0" w:line="133" w:lineRule="exact"/>
        <w:rPr>
          <w:rFonts w:ascii="Arial" w:cs="Arial" w:eastAsia="Arial" w:hAnsi="Arial"/>
          <w:sz w:val="18"/>
          <w:szCs w:val="18"/>
          <w:color w:val="auto"/>
        </w:rPr>
      </w:pPr>
    </w:p>
    <w:p>
      <w:pPr>
        <w:ind w:right="60"/>
        <w:spacing w:after="0" w:line="248" w:lineRule="auto"/>
        <w:rPr>
          <w:sz w:val="20"/>
          <w:szCs w:val="20"/>
          <w:color w:val="auto"/>
        </w:rPr>
      </w:pPr>
      <w:r>
        <w:rPr>
          <w:rFonts w:ascii="Arial" w:cs="Arial" w:eastAsia="Arial" w:hAnsi="Arial"/>
          <w:sz w:val="18"/>
          <w:szCs w:val="18"/>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w:t>
      </w:r>
    </w:p>
    <w:p>
      <w:pPr>
        <w:spacing w:after="0" w:line="12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2020 Divestitures</w:t>
      </w:r>
    </w:p>
    <w:p>
      <w:pPr>
        <w:spacing w:after="0" w:line="171" w:lineRule="exact"/>
        <w:rPr>
          <w:rFonts w:ascii="Arial" w:cs="Arial" w:eastAsia="Arial" w:hAnsi="Arial"/>
          <w:sz w:val="18"/>
          <w:szCs w:val="18"/>
          <w:color w:val="auto"/>
        </w:rPr>
      </w:pPr>
    </w:p>
    <w:p>
      <w:pPr>
        <w:jc w:val="both"/>
        <w:ind w:right="60"/>
        <w:spacing w:after="0" w:line="270"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financial statements, both individually and on an aggregate basis, were immaterial.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6931660</wp:posOffset>
            </wp:positionH>
            <wp:positionV relativeFrom="paragraph">
              <wp:posOffset>259080</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which has spread worldwide and impacted various markets around the world, including the U.S. Various policies and initiatives have been implemented to reduce the global transmission of COVID-19.</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 person-to-person interaction and increasing safety measures. At the onset of the pandemic, the Company temporarily closed all Hershey's Chocolate World stores in the U.S. (3 locations), Niagara Falls (Ontario) and Singapore; however, since July 2020, all locations were re-opened on a limited capacity basis with increased safety measures and enforced social distancing.</w:t>
      </w:r>
    </w:p>
    <w:p>
      <w:pPr>
        <w:spacing w:after="0" w:line="19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June 2020 we commenced a phased 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our business units, contract manufacturers, distributors, contractors and other external business partners to minimize the potential impact on our business.</w:t>
      </w:r>
    </w:p>
    <w:p>
      <w:pPr>
        <w:spacing w:after="0" w:line="205" w:lineRule="exact"/>
        <w:rPr>
          <w:sz w:val="20"/>
          <w:szCs w:val="20"/>
          <w:color w:val="auto"/>
        </w:rPr>
      </w:pPr>
    </w:p>
    <w:p>
      <w:pPr>
        <w:jc w:val="both"/>
        <w:ind w:right="3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As of July 4, 2021, we believe we have sufficient liquidity to satisfy our cash needs; however, we continue to evaluate and take action, as necessary, to preserve adequate liquidity and ensure that our business can continue to operate during the ongoing COVID-19 pandemic. We continue to monitor our discretionary spending across the organization (see </w:t>
      </w:r>
      <w:hyperlink w:anchor="page44">
        <w:r>
          <w:rPr>
            <w:rFonts w:ascii="Arial" w:cs="Arial" w:eastAsia="Arial" w:hAnsi="Arial"/>
            <w:sz w:val="17"/>
            <w:szCs w:val="17"/>
            <w:u w:val="single" w:color="auto"/>
            <w:color w:val="0000FF"/>
          </w:rPr>
          <w:t>Liquidity and Capital Resources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this MD&amp;A).</w:t>
      </w:r>
    </w:p>
    <w:p>
      <w:pPr>
        <w:spacing w:after="0" w:line="192" w:lineRule="exact"/>
        <w:rPr>
          <w:sz w:val="20"/>
          <w:szCs w:val="20"/>
          <w:color w:val="auto"/>
        </w:rPr>
      </w:pPr>
    </w:p>
    <w:p>
      <w:pPr>
        <w:ind w:right="2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During the second quarter of 2021, many state governments began easing COVID-19 restrictions, resulting in increased travel ahead of the summer season, approval for full capacity at major sporting and entertainment events, increased occupancy limits for indoor gathering and the removal of face covering requirements (subject to certain exceptions). Additionally, increasing availability and the rollout of vaccinations continue around the world, albeit with slower than anticipated rollouts and challenges within certain countries. We experienced an increase in our net sales and income during the three and six months ended July 4, 2021, which was primarily driven by strong everyday performance on our core U.S. confection brands and solid marketplace growth in select international markets (see </w:t>
      </w:r>
      <w:hyperlink w:anchor="page40">
        <w:r>
          <w:rPr>
            <w:rFonts w:ascii="Arial" w:cs="Arial" w:eastAsia="Arial" w:hAnsi="Arial"/>
            <w:sz w:val="17"/>
            <w:szCs w:val="17"/>
            <w:u w:val="single" w:color="auto"/>
            <w:color w:val="0000FF"/>
          </w:rPr>
          <w:t>Segment Results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this MD&amp;A).</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length and severity of COVID-19, including new trends in outbreaks and hotspots, the spread of COVID-19 variants, potential resurgences and the continued distribution of vaccinations, we may experience continued volatility in retail foot traffic, consumer shopping and consumption behavior. We will continue to evaluate the nature and extent of these potential impacts to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July 4, 2021</w:t>
            </w:r>
          </w:p>
        </w:tc>
        <w:tc>
          <w:tcPr>
            <w:tcW w:w="100" w:type="dxa"/>
            <w:vAlign w:val="bottom"/>
          </w:tcPr>
          <w:p>
            <w:pPr>
              <w:spacing w:after="0"/>
              <w:rPr>
                <w:sz w:val="12"/>
                <w:szCs w:val="12"/>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8"/>
              </w:rPr>
              <w:t>June 28, 2020</w:t>
            </w:r>
          </w:p>
        </w:tc>
        <w:tc>
          <w:tcPr>
            <w:tcW w:w="120" w:type="dxa"/>
            <w:vAlign w:val="bottom"/>
          </w:tcPr>
          <w:p>
            <w:pPr>
              <w:spacing w:after="0"/>
              <w:rPr>
                <w:sz w:val="12"/>
                <w:szCs w:val="12"/>
                <w:color w:val="auto"/>
              </w:rPr>
            </w:pPr>
          </w:p>
        </w:tc>
        <w:tc>
          <w:tcPr>
            <w:tcW w:w="1200" w:type="dxa"/>
            <w:vAlign w:val="bottom"/>
            <w:gridSpan w:val="2"/>
          </w:tcPr>
          <w:p>
            <w:pPr>
              <w:ind w:left="280"/>
              <w:spacing w:after="0" w:line="148"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July 4, 2021</w:t>
            </w:r>
          </w:p>
        </w:tc>
        <w:tc>
          <w:tcPr>
            <w:tcW w:w="100" w:type="dxa"/>
            <w:vAlign w:val="bottom"/>
          </w:tcPr>
          <w:p>
            <w:pPr>
              <w:spacing w:after="0"/>
              <w:rPr>
                <w:sz w:val="12"/>
                <w:szCs w:val="12"/>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8"/>
              </w:rPr>
              <w:t>June 28, 2020</w:t>
            </w:r>
          </w:p>
        </w:tc>
        <w:tc>
          <w:tcPr>
            <w:tcW w:w="100" w:type="dxa"/>
            <w:vAlign w:val="bottom"/>
          </w:tcPr>
          <w:p>
            <w:pPr>
              <w:spacing w:after="0"/>
              <w:rPr>
                <w:sz w:val="12"/>
                <w:szCs w:val="12"/>
                <w:color w:val="auto"/>
              </w:rPr>
            </w:pPr>
          </w:p>
        </w:tc>
        <w:tc>
          <w:tcPr>
            <w:tcW w:w="1120" w:type="dxa"/>
            <w:vAlign w:val="bottom"/>
          </w:tcPr>
          <w:p>
            <w:pPr>
              <w:jc w:val="right"/>
              <w:ind w:right="219"/>
              <w:spacing w:after="0" w:line="148"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3"/>
        </w:trPr>
        <w:tc>
          <w:tcPr>
            <w:tcW w:w="3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3,744.6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914.8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2,085.5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925.4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1,974.4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6"/>
        </w:trPr>
        <w:tc>
          <w:tcPr>
            <w:tcW w:w="388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140" w:type="dxa"/>
            <w:vAlign w:val="bottom"/>
          </w:tcPr>
          <w:p>
            <w:pPr>
              <w:spacing w:after="0"/>
              <w:rPr>
                <w:sz w:val="17"/>
                <w:szCs w:val="17"/>
                <w:color w:val="auto"/>
              </w:rPr>
            </w:pPr>
          </w:p>
        </w:tc>
        <w:tc>
          <w:tcPr>
            <w:tcW w:w="1000" w:type="dxa"/>
            <w:vAlign w:val="bottom"/>
          </w:tcPr>
          <w:p>
            <w:pPr>
              <w:jc w:val="center"/>
              <w:ind w:left="439"/>
              <w:spacing w:after="0"/>
              <w:rPr>
                <w:sz w:val="20"/>
                <w:szCs w:val="20"/>
                <w:color w:val="auto"/>
              </w:rPr>
            </w:pPr>
            <w:r>
              <w:rPr>
                <w:rFonts w:ascii="Arial" w:cs="Arial" w:eastAsia="Arial" w:hAnsi="Arial"/>
                <w:sz w:val="16"/>
                <w:szCs w:val="16"/>
                <w:i w:val="1"/>
                <w:iCs w:val="1"/>
                <w:color w:val="auto"/>
                <w:w w:val="96"/>
              </w:rPr>
              <w:t>46.5 %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46.4 %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39"/>
              <w:spacing w:after="0"/>
              <w:rPr>
                <w:sz w:val="20"/>
                <w:szCs w:val="20"/>
                <w:color w:val="auto"/>
              </w:rPr>
            </w:pPr>
            <w:r>
              <w:rPr>
                <w:rFonts w:ascii="Arial" w:cs="Arial" w:eastAsia="Arial" w:hAnsi="Arial"/>
                <w:sz w:val="16"/>
                <w:szCs w:val="16"/>
                <w:i w:val="1"/>
                <w:iCs w:val="1"/>
                <w:color w:val="auto"/>
                <w:w w:val="92"/>
              </w:rPr>
              <w:t>46.1 %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459"/>
              <w:spacing w:after="0"/>
              <w:rPr>
                <w:sz w:val="20"/>
                <w:szCs w:val="20"/>
                <w:color w:val="auto"/>
              </w:rPr>
            </w:pPr>
            <w:r>
              <w:rPr>
                <w:rFonts w:ascii="Arial" w:cs="Arial" w:eastAsia="Arial" w:hAnsi="Arial"/>
                <w:sz w:val="16"/>
                <w:szCs w:val="16"/>
                <w:i w:val="1"/>
                <w:iCs w:val="1"/>
                <w:color w:val="auto"/>
                <w:w w:val="96"/>
              </w:rPr>
              <w:t>44.3 %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Selling, marketing &amp; administrative ("SM&amp;A")</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408.9</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884.3</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140" w:type="dxa"/>
            <w:vAlign w:val="bottom"/>
          </w:tcPr>
          <w:p>
            <w:pPr>
              <w:spacing w:after="0"/>
              <w:rPr>
                <w:sz w:val="17"/>
                <w:szCs w:val="17"/>
                <w:color w:val="auto"/>
              </w:rPr>
            </w:pPr>
          </w:p>
        </w:tc>
        <w:tc>
          <w:tcPr>
            <w:tcW w:w="1000" w:type="dxa"/>
            <w:vAlign w:val="bottom"/>
          </w:tcPr>
          <w:p>
            <w:pPr>
              <w:jc w:val="center"/>
              <w:ind w:left="439"/>
              <w:spacing w:after="0"/>
              <w:rPr>
                <w:sz w:val="20"/>
                <w:szCs w:val="20"/>
                <w:color w:val="auto"/>
              </w:rPr>
            </w:pPr>
            <w:r>
              <w:rPr>
                <w:rFonts w:ascii="Arial" w:cs="Arial" w:eastAsia="Arial" w:hAnsi="Arial"/>
                <w:sz w:val="16"/>
                <w:szCs w:val="16"/>
                <w:i w:val="1"/>
                <w:iCs w:val="1"/>
                <w:color w:val="auto"/>
                <w:w w:val="96"/>
              </w:rPr>
              <w:t>23.5 %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24.0 %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39"/>
              <w:spacing w:after="0"/>
              <w:rPr>
                <w:sz w:val="20"/>
                <w:szCs w:val="20"/>
                <w:color w:val="auto"/>
              </w:rPr>
            </w:pPr>
            <w:r>
              <w:rPr>
                <w:rFonts w:ascii="Arial" w:cs="Arial" w:eastAsia="Arial" w:hAnsi="Arial"/>
                <w:sz w:val="16"/>
                <w:szCs w:val="16"/>
                <w:i w:val="1"/>
                <w:iCs w:val="1"/>
                <w:color w:val="auto"/>
                <w:w w:val="92"/>
              </w:rPr>
              <w:t>22.5 %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459"/>
              <w:spacing w:after="0"/>
              <w:rPr>
                <w:sz w:val="20"/>
                <w:szCs w:val="20"/>
                <w:color w:val="auto"/>
              </w:rPr>
            </w:pPr>
            <w:r>
              <w:rPr>
                <w:rFonts w:ascii="Arial" w:cs="Arial" w:eastAsia="Arial" w:hAnsi="Arial"/>
                <w:sz w:val="16"/>
                <w:szCs w:val="16"/>
                <w:i w:val="1"/>
                <w:iCs w:val="1"/>
                <w:color w:val="auto"/>
                <w:w w:val="96"/>
              </w:rPr>
              <w:t>23.6 %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Long-lived asset impairment charges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NM</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Business realignment costs (benefits)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140" w:type="dxa"/>
            <w:vAlign w:val="bottom"/>
          </w:tcPr>
          <w:p>
            <w:pPr>
              <w:spacing w:after="0"/>
              <w:rPr>
                <w:sz w:val="18"/>
                <w:szCs w:val="18"/>
                <w:color w:val="auto"/>
              </w:rPr>
            </w:pPr>
          </w:p>
        </w:tc>
        <w:tc>
          <w:tcPr>
            <w:tcW w:w="1000" w:type="dxa"/>
            <w:vAlign w:val="bottom"/>
          </w:tcPr>
          <w:p>
            <w:pPr>
              <w:jc w:val="center"/>
              <w:ind w:left="439"/>
              <w:spacing w:after="0"/>
              <w:rPr>
                <w:sz w:val="20"/>
                <w:szCs w:val="20"/>
                <w:color w:val="auto"/>
              </w:rPr>
            </w:pPr>
            <w:r>
              <w:rPr>
                <w:rFonts w:ascii="Arial" w:cs="Arial" w:eastAsia="Arial" w:hAnsi="Arial"/>
                <w:sz w:val="16"/>
                <w:szCs w:val="16"/>
                <w:i w:val="1"/>
                <w:iCs w:val="1"/>
                <w:color w:val="auto"/>
                <w:w w:val="96"/>
              </w:rPr>
              <w:t>23.0 %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22.5 %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left="439"/>
              <w:spacing w:after="0"/>
              <w:rPr>
                <w:sz w:val="20"/>
                <w:szCs w:val="20"/>
                <w:color w:val="auto"/>
              </w:rPr>
            </w:pPr>
            <w:r>
              <w:rPr>
                <w:rFonts w:ascii="Arial" w:cs="Arial" w:eastAsia="Arial" w:hAnsi="Arial"/>
                <w:sz w:val="16"/>
                <w:szCs w:val="16"/>
                <w:i w:val="1"/>
                <w:iCs w:val="1"/>
                <w:color w:val="auto"/>
                <w:w w:val="92"/>
              </w:rPr>
              <w:t>23.6 %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459"/>
              <w:spacing w:after="0"/>
              <w:rPr>
                <w:sz w:val="20"/>
                <w:szCs w:val="20"/>
                <w:color w:val="auto"/>
              </w:rPr>
            </w:pPr>
            <w:r>
              <w:rPr>
                <w:rFonts w:ascii="Arial" w:cs="Arial" w:eastAsia="Arial" w:hAnsi="Arial"/>
                <w:sz w:val="16"/>
                <w:szCs w:val="16"/>
                <w:i w:val="1"/>
                <w:iCs w:val="1"/>
                <w:color w:val="auto"/>
                <w:w w:val="96"/>
              </w:rPr>
              <w:t>20.5 %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3880" w:type="dxa"/>
            <w:vAlign w:val="bottom"/>
          </w:tcPr>
          <w:p>
            <w:pPr>
              <w:ind w:left="6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77.3 %</w:t>
            </w:r>
          </w:p>
        </w:tc>
        <w:tc>
          <w:tcPr>
            <w:tcW w:w="0" w:type="dxa"/>
            <w:vAlign w:val="bottom"/>
          </w:tcPr>
          <w:p>
            <w:pPr>
              <w:spacing w:after="0"/>
              <w:rPr>
                <w:sz w:val="1"/>
                <w:szCs w:val="1"/>
                <w:color w:val="auto"/>
              </w:rPr>
            </w:pPr>
          </w:p>
        </w:tc>
      </w:tr>
      <w:tr>
        <w:trPr>
          <w:trHeight w:val="206"/>
        </w:trPr>
        <w:tc>
          <w:tcPr>
            <w:tcW w:w="388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1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i w:val="1"/>
                <w:iCs w:val="1"/>
                <w:color w:val="auto"/>
              </w:rPr>
              <w:t>28.0%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i w:val="1"/>
                <w:iCs w:val="1"/>
                <w:color w:val="auto"/>
              </w:rPr>
              <w:t>19.8%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i w:val="1"/>
                <w:iCs w:val="1"/>
                <w:color w:val="auto"/>
              </w:rPr>
              <w:t>25.1%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i w:val="1"/>
                <w:iCs w:val="1"/>
                <w:color w:val="auto"/>
              </w:rPr>
              <w:t>19.8%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including noncontrolling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166"/>
        </w:trPr>
        <w:tc>
          <w:tcPr>
            <w:tcW w:w="3880" w:type="dxa"/>
            <w:vAlign w:val="bottom"/>
          </w:tcPr>
          <w:p>
            <w:pPr>
              <w:ind w:left="60"/>
              <w:spacing w:after="0" w:line="166" w:lineRule="exact"/>
              <w:rPr>
                <w:sz w:val="20"/>
                <w:szCs w:val="20"/>
                <w:color w:val="auto"/>
              </w:rPr>
            </w:pPr>
            <w:r>
              <w:rPr>
                <w:rFonts w:ascii="Arial" w:cs="Arial" w:eastAsia="Arial" w:hAnsi="Arial"/>
                <w:sz w:val="16"/>
                <w:szCs w:val="16"/>
                <w:color w:val="auto"/>
              </w:rPr>
              <w:t>Less: Net (loss) gain attributable to noncontrolling</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4"/>
                <w:szCs w:val="14"/>
                <w:color w:val="auto"/>
              </w:rPr>
            </w:pPr>
          </w:p>
        </w:tc>
        <w:tc>
          <w:tcPr>
            <w:tcW w:w="1200" w:type="dxa"/>
            <w:vAlign w:val="bottom"/>
            <w:gridSpan w:val="2"/>
            <w:vMerge w:val="restart"/>
          </w:tcPr>
          <w:p>
            <w:pPr>
              <w:ind w:left="82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4"/>
                <w:szCs w:val="14"/>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880" w:type="dxa"/>
            <w:vAlign w:val="bottom"/>
          </w:tcPr>
          <w:p>
            <w:pPr>
              <w:ind w:left="22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attributable to The Hershey Company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268.9</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540.0</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Pr>
          <w:p>
            <w:pPr>
              <w:ind w:left="60"/>
              <w:spacing w:after="0"/>
              <w:rPr>
                <w:sz w:val="20"/>
                <w:szCs w:val="20"/>
                <w:color w:val="auto"/>
              </w:rPr>
            </w:pPr>
            <w:r>
              <w:rPr>
                <w:rFonts w:ascii="Arial" w:cs="Arial" w:eastAsia="Arial" w:hAnsi="Arial"/>
                <w:sz w:val="16"/>
                <w:szCs w:val="16"/>
                <w:color w:val="auto"/>
              </w:rPr>
              <w:t>Net income per share—diluted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w w:val="96"/>
              </w:rPr>
              <w:t>1.45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9"/>
              </w:rPr>
              <w:t>1.29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w w:val="89"/>
              </w:rPr>
              <w:t>3.35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6"/>
              </w:rPr>
              <w:t>2.58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Second Quarter 2021 vs. Second Quarter 2020</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jc w:val="both"/>
        <w:ind w:left="40" w:right="120"/>
        <w:spacing w:after="0" w:line="263" w:lineRule="auto"/>
        <w:rPr>
          <w:sz w:val="20"/>
          <w:szCs w:val="20"/>
          <w:color w:val="auto"/>
        </w:rPr>
      </w:pPr>
      <w:r>
        <w:rPr>
          <w:rFonts w:ascii="Arial" w:cs="Arial" w:eastAsia="Arial" w:hAnsi="Arial"/>
          <w:sz w:val="18"/>
          <w:szCs w:val="18"/>
          <w:color w:val="auto"/>
        </w:rPr>
        <w:t>Net sales increased 16.5% in the second quarter of 2021 compared to the same period of 2020, reflecting a volume increase of 14.5% due to an increase in everyday core U.S. confection brands, as well as favorable price realization of 1.0% due to higher prices on certain products and a favorable impact from foreign currency exchange rates of 1.0%.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140"/>
        <w:spacing w:after="0" w:line="263" w:lineRule="auto"/>
        <w:rPr>
          <w:sz w:val="20"/>
          <w:szCs w:val="20"/>
          <w:color w:val="auto"/>
        </w:rPr>
      </w:pPr>
      <w:r>
        <w:rPr>
          <w:rFonts w:ascii="Arial" w:cs="Arial" w:eastAsia="Arial" w:hAnsi="Arial"/>
          <w:sz w:val="18"/>
          <w:szCs w:val="18"/>
          <w:color w:val="auto"/>
        </w:rPr>
        <w:t>For the second quarter of 2021, our total U.S. retail takeaway increased 2.8% in the expanded multi-outlet combined plus convenience store channels (IRI MULO + C-Stores), which includes candy, mint, gum, salty snacks, meat snacks and grocery items. Our U.S. candy, mint and gum ("CMG") consumer takeaway increased 2.3%, resulting in a CMG market share loss of approximately 113 basis points.</w:t>
      </w:r>
    </w:p>
    <w:p>
      <w:pPr>
        <w:spacing w:after="0" w:line="130" w:lineRule="exact"/>
        <w:rPr>
          <w:sz w:val="20"/>
          <w:szCs w:val="20"/>
          <w:color w:val="auto"/>
        </w:rPr>
      </w:pPr>
    </w:p>
    <w:p>
      <w:pPr>
        <w:ind w:left="40" w:right="14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265430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sectPr>
      </w:pPr>
    </w:p>
    <w:bookmarkStart w:id="37" w:name="page38"/>
    <w:bookmarkEnd w:id="37"/>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of sales increased 16.3% in the second quarter of 2021 compared to the same period of 2020. The increase was driven by higher sales volume, higher freight and logistics costs and additional plant costs. These drivers were partially offset by the incremental $14.3 million of favorable mark-to-market activity on our commodity derivative instruments intended to economically hedge future years' commodity purchases. Additionally, the increase was partially offset by favorable price realization and supply chain productivity.</w:t>
      </w:r>
    </w:p>
    <w:p>
      <w:pPr>
        <w:spacing w:after="0" w:line="13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Gross margin increased by 10 basis points in the second quarter of 2021 compared to the same period of 2020. The increase was driven by the favorable year-over-year mark-to-market impact from commodity derivative instruments, favorable price realization and supply chain productivity. These factors were offset by higher freight and logistics costs and additional plant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SM&amp;A expenses increased $58.7 million or 14.3% in the second quarter of 2021 driven by advertising increases and corporate expenses. Total advertising and related consumer marketing expenses increased 9.9% driven by increased investment in core brands and incremental sponsorships in North America. SM&amp;A expenses, excluding advertising and related consumer marketing, increased approximately 16.6% in the second quarter of 2021 driven by higher compensation costs and investments in capabilities and technology.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had no impairment charges during the second quarter of 2021. During the second quarter of 2020, we recorded long-lived asset impairment charges of $1.6 million, predominantly comprised of impairment charges to adjust long-lived asset values of our LSFC disposal group which was previously classified as held for sale.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the second quarter of 2021, we recorded business realignment costs of $1.1 million related to the International Optimization Program, a program focused on optimizing our China operating model to improve our operational efficiency and provide for a strong, sustainable and simplified base going forward. In the second quarter of 2020, we recorded business realignment benefits of $1.4 million related to the Margin for Growth Program, a program focused on improving global efficiency and effectiveness, optimizing the Company’s supply chain, streamlining the Company’s operating model and reducing administrative expenses to generate long-term savings. Costs associated with business realignment activities are classified in our Consolidated Statements of Income as described in </w:t>
      </w:r>
      <w:hyperlink w:anchor="page20">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Operating profit increased 19.1% in the second quarter of 2021 compared to the same period of 2020 predominantly due to higher gross profit, partially offset by higher SM&amp;A expenses, as noted above. Operating profit margin increased to 23.0% in 2021 from 22.5% in 2020 driven by these same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interest expense was $7.0 million lower in the second quarter of 2021 compared to the same period of 2020. The decrease was primarily due to lower long-term debt balances in 2021 versus 2020, specifically resulting from $785 million of long-term debt repayments with varying maturity dates during the last twelve months preceding July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520065</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(income) expense, net totaled expense of $7.2 million in the second quarter of 2021 versus net expense of $11.2 million in the second quarter of 2020. The decrease in net expense was primarily due to lower write-downs on equity investments qualifying for historic and renewable energy tax credits in 2021 versus 2020 and lower non-service cost components of net periodic benefit cost relating to pension and other post-retirement benefit plans during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effective income tax rate was 28.0% for the second quarter of 2021 compared with 19.8% for the second quarter of 2020. Relative to the 21% statutory rate, the 2021 effective tax rate was impacted by incremental tax reserves incurred as a result of an adverse ruling in connection with a non-U.S. tax litigation matter as well as state taxes, partially offset by investment tax credits. Relative to the 21% statutory rate, the 2020 effective tax rate benefited from investment tax credits and changes in tax reserves, partially offset by state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increased $32.3 million, or 12.0%, while EPS-diluted increased $0.16, or 12.4%, in the second quarter of 2021 compared to the same period of 2020. The increase in both net income and EPS-diluted was driven primarily by higher gross profit, partially offset by higher SM&amp;A expenses and higher income taxes, as noted above. Our 2021 EPS-diluted also benefited from lower weighted-average shares outstanding as a result of share repurchases pursuant to our Board-approved repurchase programs.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2021 vs. First Six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Net sales increased 14.4% in the first six months of 2021 compared to the same period of 2020, reflecting a volume increase of 12.6% due to an increase in everyday core U.S. confection brands, as well as favorable price realization of 1.5% due to higher prices on certain products and a favorable impact from foreign currency exchange rates of 0.4%. This was partially offset by a 0.1% decrease from net acquisitions and divestitures (predominantly driven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sales increased 10.8% in the first six months of 2021 compared to the same period of 2020. The increase was driven by higher sales volume, higher freight and logistics costs and additional plant costs. These drivers were partially offset by the incremental $105.0 million of favorable mark-to-market activity on our commodity derivative instruments intended to economically hedge future years' commodity purchases; however, were significantly impacted by financial market volatility during March 2020 amid COVID-19 fears. Additionally, the increase was partially offset by favorable price realization and supply chain productivity.</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Gross margin increased by 180 basis points in the first six months of 2021 compared to the same period of 2020. The increase was driven by the favorable year-over-year mark-to-market impact from commodity derivative instruments, favorable price realization and supply chain productivity. These factors were offset by higher freight and logistics costs and additional plant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SM&amp;A expenses increased $78.0 million or 8.8% in the first six months of 2021. Total advertising and related consumer marketing expenses increased 5.9% driven by increased investment in core brands and incremental sponsorships in North America. SM&amp;A expenses, excluding advertising and related consumer marketing, increased approximately 10.4% in the first six months of 2021 driven by higher compensation costs and investments in capabilities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521970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no impairment charges during the first six months of 2021. During the first six months of 2020, we recorded long-lived asset impairment charges of $9.1 million, predominantly comprised of impairment charges to adjust long-lived asset values of our LSFC disposal group which was previously classified as held for sale. Additionally, in connection with a previous sale, the Company wrote-down certain receivables deemed uncollectible.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08" w:lineRule="exact"/>
        <w:rPr>
          <w:sz w:val="20"/>
          <w:szCs w:val="20"/>
          <w:color w:val="auto"/>
        </w:rPr>
      </w:pPr>
    </w:p>
    <w:p>
      <w:pPr>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During the first six months of 2021, we recorded business realignment costs of $2.4 million related to the International Optimization Program. During the first six months of 2020, we recorded business realignment benefits of $0.5 million related to the Margin for Growth Program. Costs associated with business realignment activities are classified in our Consolidated Statements of Income as described in </w:t>
      </w:r>
      <w:hyperlink w:anchor="page20">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Operating profit increased 31.8% in the first six months of 2021 compared to the same period of 2020 predominantly due to higher gross profit and lower impairment charges, partially offset by higher SM&amp;A expenses, as noted above. Operating profit margin increased to 23.6% in 2021 from 20.5% in 2020 driven by these same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interest expense was $6.8 million lower in the first six months of 2021 compared to the same period of 2020. The decrease was primarily due to lower long-term debt balances in 2021 versus 2020, specifically resulting from $785 million of long-term debt repayments with varying maturity dates during the last twelve months preceding July 4,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Other (income) expense, net totaled expense of $9.6 million in the first six months of 2021 versus expense of $22.8 million in the first six months of 2020. The decrease in net expense was primarily due to lower write-downs on equity investments qualifying for historic and renewable energy tax credits in 2021 versus 2020 and lower non-service cost components of net periodic benefit cost relating to pension and other post-retirement benefit plans during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effective income tax rate was 25.1% for the first six months of 2021 compared with 19.8% for the first six months of 2020. Relative to the 21% statutory rate, the 2021 effective tax rate was impacted by incremental tax reserves incurred as a result of an adverse ruling in connection with a non-U.S. tax litigation matter as well as state taxes, partially offset by investment tax credits and the benefit of employee share-based payments. Relative to the 21% statutory rate, the 2020 effective tax rate was favorably impacted by investment tax credits and the benefit of employee share-based payments, partially offset by state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$157.0 million, or 29.1%, while EPS-diluted increased $0.77, or 29.8%, in the first six months of 2021 compared to the same period of 2020. The increase in both net income and EPS-diluted was driven primarily by higher gross profit and lower impairment charges, partially offset by higher SM&amp;A expenses and higher income taxes. Our 2021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0" w:name="page41"/>
    <w:bookmarkEnd w:id="4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74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4"/>
              </w:rPr>
              <w:t>June 28, 2020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June 28, 2020</w:t>
            </w:r>
          </w:p>
        </w:tc>
        <w:tc>
          <w:tcPr>
            <w:tcW w:w="0" w:type="dxa"/>
            <w:vAlign w:val="bottom"/>
          </w:tcPr>
          <w:p>
            <w:pPr>
              <w:spacing w:after="0"/>
              <w:rPr>
                <w:sz w:val="1"/>
                <w:szCs w:val="1"/>
                <w:color w:val="auto"/>
              </w:rPr>
            </w:pPr>
          </w:p>
        </w:tc>
      </w:tr>
      <w:tr>
        <w:trPr>
          <w:trHeight w:val="166"/>
        </w:trPr>
        <w:tc>
          <w:tcPr>
            <w:tcW w:w="528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3,861.1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3,428.6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Segment Income (Loss):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 and 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Unallocated mark-to-market (gains) losses on commodity derivatives</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Long-lived asset impairment charges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right="260" w:hanging="332"/>
        <w:spacing w:after="0" w:line="286"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1" w:lineRule="exact"/>
        <w:rPr>
          <w:rFonts w:ascii="Arial" w:cs="Arial" w:eastAsia="Arial" w:hAnsi="Arial"/>
          <w:sz w:val="15"/>
          <w:szCs w:val="15"/>
          <w:color w:val="auto"/>
        </w:rPr>
      </w:pPr>
    </w:p>
    <w:p>
      <w:pPr>
        <w:ind w:left="340" w:right="28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Net (gains) losses on mark-to-market valuation of commodity derivative positions recognized in unallocated derivative (gains) losses. See </w:t>
      </w:r>
      <w:hyperlink w:anchor="page26">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518795</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 America</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89.4% and 92.8% of our net sales for the three months ended July 4, 2021 and June 28, 2020, respectively,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640"/>
              <w:spacing w:after="0"/>
              <w:rPr>
                <w:sz w:val="20"/>
                <w:szCs w:val="20"/>
                <w:color w:val="auto"/>
              </w:rPr>
            </w:pPr>
            <w:r>
              <w:rPr>
                <w:rFonts w:ascii="Arial" w:cs="Arial" w:eastAsia="Arial" w:hAnsi="Arial"/>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4"/>
              </w:rPr>
              <w:t>June 28, 2020</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 Change</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6"/>
              </w:rPr>
              <w:t>June 28, 2020</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178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1,583.8</w:t>
            </w:r>
          </w:p>
        </w:tc>
        <w:tc>
          <w:tcPr>
            <w:tcW w:w="10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12.3 %  $</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3,861.1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3,428.6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w w:val="92"/>
              </w:rPr>
              <w:t>13.7 %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31.4 %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2021 vs. Second Quarter 2020</w:t>
      </w:r>
    </w:p>
    <w:p>
      <w:pPr>
        <w:spacing w:after="0" w:line="16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Net sales of our North America segment increased $195.4 million or 12.3% in the second quarter of 2021 compared to the same period of 2020, reflecting a volume increase of 11.8% due to an increase in everyday core U.S. confection brands and a favorable impact from foreign currency exchange rates of</w:t>
      </w:r>
    </w:p>
    <w:p>
      <w:pPr>
        <w:ind w:right="160"/>
        <w:spacing w:after="0" w:line="260" w:lineRule="auto"/>
        <w:rPr>
          <w:sz w:val="20"/>
          <w:szCs w:val="20"/>
          <w:color w:val="auto"/>
        </w:rPr>
      </w:pPr>
      <w:r>
        <w:rPr>
          <w:rFonts w:ascii="Arial" w:cs="Arial" w:eastAsia="Arial" w:hAnsi="Arial"/>
          <w:sz w:val="18"/>
          <w:szCs w:val="18"/>
          <w:color w:val="auto"/>
        </w:rPr>
        <w:t xml:space="preserve">0.7%. This was partially offset by unfavorable price realization of 0.1% and a 0.1% decrease from net acquisitions and divestitures (predominantly driven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North America segment income increased $68.3 million or 13.7% in the second quarter of 2021 compared to the same period of 2020, primarily due to volume increases, partially offset by higher supply chain-related costs, higher freight and logistics costs, higher advertising expense and unfavorable price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2021 vs. First Six Months 2020</w:t>
      </w:r>
    </w:p>
    <w:p>
      <w:pPr>
        <w:spacing w:after="0" w:line="1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Net sales of our North America segment increased $432.5 million or 12.6% in the first six months of 2021 compared to the same period of 2020, reflecting a volume increase of 11.3% due to an increase in everyday core U.S. confection brands, favorable price realization of 0.9% attributed to higher prices on certain products and a favorable impact from foreign currency exchange rates of 0.5%. This was partially offset by a 0.1% decrease from net acquisitions and divestitures (predominantly driven by the 2020 divestitures of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North America segment income increased $148.4 million or 13.8% in the first six months of 2021 compared to the same period of 2020, primarily due to volume increases and favorable price realization, partially offset by higher supply chain-related costs, higher freight and logistics costs and higher 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605790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International and Other</w:t>
      </w:r>
    </w:p>
    <w:p>
      <w:pPr>
        <w:spacing w:after="0" w:line="1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India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10.6% and 7.2% of our net sales for the three months ended July 4, 2021 and June 28, 2020, respectively,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5"/>
          </w:tcPr>
          <w:p>
            <w:pPr>
              <w:ind w:left="660"/>
              <w:spacing w:after="0"/>
              <w:rPr>
                <w:sz w:val="20"/>
                <w:szCs w:val="20"/>
                <w:color w:val="auto"/>
              </w:rPr>
            </w:pPr>
            <w:r>
              <w:rPr>
                <w:rFonts w:ascii="Arial" w:cs="Arial" w:eastAsia="Arial" w:hAnsi="Arial"/>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June 28, 2020</w:t>
            </w:r>
          </w:p>
        </w:tc>
        <w:tc>
          <w:tcPr>
            <w:tcW w:w="10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 Change</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July 4, 2021</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6"/>
              </w:rPr>
              <w:t>June 28, 2020</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180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70.2 %  $</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900" w:type="dxa"/>
            <w:vAlign w:val="bottom"/>
            <w:gridSpan w:val="3"/>
          </w:tcPr>
          <w:p>
            <w:pPr>
              <w:jc w:val="center"/>
              <w:ind w:left="853"/>
              <w:spacing w:after="0"/>
              <w:rPr>
                <w:sz w:val="20"/>
                <w:szCs w:val="20"/>
                <w:color w:val="auto"/>
              </w:rPr>
            </w:pPr>
            <w:r>
              <w:rPr>
                <w:rFonts w:ascii="Arial" w:cs="Arial" w:eastAsia="Arial" w:hAnsi="Arial"/>
                <w:sz w:val="18"/>
                <w:szCs w:val="18"/>
                <w:color w:val="auto"/>
                <w:w w:val="99"/>
              </w:rPr>
              <w:t>NM</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533.3 %</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8"/>
                <w:szCs w:val="18"/>
                <w:i w:val="1"/>
                <w:iCs w:val="1"/>
                <w:color w:val="auto"/>
                <w:w w:val="94"/>
              </w:rPr>
              <w:t>(3.2)%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2021 vs. Second Quarter 2020</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of our International and Other segment increased $86.7 million or 70.2% in the second quarter of 2021 compared to the same period of 2020, reflecting a volume increase of 49.5% and favorable price realization of 15.0%. The volume increase was primarily attributed to solid marketplace growth in Mexico, Brazil, India and AEMEA Markets, where net sales increased by 137.7%, 68.7%, 57.6% and 53.1%, respectively. These increases also benefited from a favorable impact from foreign currency exchange rates of 5.7%.</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International and Other segment also includes licensing, owned retail and world travel retail, where net sales increased approximately 91.0% during the second quarter of 2021 compared to the same period of 2020. This increase is due to the Company's temporary closure of all Hershey’s Chocolate World stores at the onset of the pandemic and includes the United States (3 locations), Niagara Falls (Ontario) and Singapore. In July 2020, all locations were re-opened on a limited capacity basis with increased safety measures.</w:t>
      </w:r>
    </w:p>
    <w:p>
      <w:pPr>
        <w:spacing w:after="0" w:line="11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International and Other segment generated income of $42.2 million in the second quarter of 2021 compared to $4.0 million in the second quarter of 2020 with the improvement primarily resulting from execution of our International Optimization Program in China, as we streamline and optimize our China operating model, as well as volume increases and favorable price realization.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2021 vs. First Six Months 2020</w:t>
      </w:r>
    </w:p>
    <w:p>
      <w:pPr>
        <w:spacing w:after="0" w:line="1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sales of our International and Other segment increased $108.3 million or 34.3% in the first six months of 2021 compared to the same period of 2020, reflecting a volume increase of 26.7% and favorable price realization of 7.6%. The volume increase was primarily attributed to solid marketplace growth in Mexico, Brazil, India and AEMEA Markets, where net sales increased by 40.1%, 34.7%, 53.2% and 32.0%, respectively.</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International and Other segment also includes licensing, owned retail and world travel retail, where net sales increased approximately 39.3% during the first six months of 2021 compared to the same period of 2020. This increase is due to the Company's temporary closure of all Hershey’s Chocolate World stores at the onset of the pandemic and includes the United States (3 locations), Niagara Falls (Ontario) and Singapore. In July 2020, all locations were re-opened on a limited capacity basis with increased safety measures.</w:t>
      </w:r>
    </w:p>
    <w:p>
      <w:pPr>
        <w:spacing w:after="0" w:line="10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International and Other segment generated income of $76.0 million in the first six months of 2021 compared to $12.0 million in the first six months of 2020 with the improvement primarily resulting from execution of our International Optimization Program in China, as we streamline and optimize our China operating model, as well as volume increases and favorable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605790</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0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second quarter of 2021, unallocated corporate expense totaled $151.3 million, as compared to $106.9 million in the second quarter of 2020. The increase is primarily driven by higher group insurance costs from COVID-19-related delays in preventive care, incremental investments in capabilities and technology and higher incentive compensation.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first six months of 2021, unallocated corporate expense totaled $289.1 million, as compared to $231.4 million in the first six months of 2020. The increase is primarily driven by incremental investments in capabilities and technology and higher incentive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July 4, 2021, our cash and cash equivalents totaled $426.2 million, a decrease of $717.8 million compared to the 2020 year-end balance. We believe we have sufficient liquidity to satisfy our cash needs; however, we continue to evaluate and take action, as necessary, to preserve adequate liquidity and ensure that our business can continue to operate during the ongoing COVID-19 pandemic. Additional detail regarding the net uses of cash are outlined in the following discussion.</w:t>
      </w:r>
    </w:p>
    <w:p>
      <w:pPr>
        <w:spacing w:after="0" w:line="13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Approximately 85% of the balance of our cash and cash equivalents at July 4, 2021 was held by subsidiaries domiciled outside of the United States. During the first six months of 2021,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including our cash needs 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540" w:type="dxa"/>
            <w:vAlign w:val="bottom"/>
            <w:tcBorders>
              <w:bottom w:val="single" w:sz="8" w:color="auto"/>
            </w:tcBorders>
          </w:tcPr>
          <w:p>
            <w:pPr>
              <w:spacing w:after="0"/>
              <w:rPr>
                <w:sz w:val="18"/>
                <w:szCs w:val="18"/>
                <w:color w:val="auto"/>
              </w:rPr>
            </w:pPr>
          </w:p>
        </w:tc>
      </w:tr>
      <w:tr>
        <w:trPr>
          <w:trHeight w:val="210"/>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80" w:type="dxa"/>
            <w:vAlign w:val="bottom"/>
          </w:tcPr>
          <w:p>
            <w:pPr>
              <w:spacing w:after="0"/>
              <w:rPr>
                <w:sz w:val="18"/>
                <w:szCs w:val="18"/>
                <w:color w:val="auto"/>
              </w:rPr>
            </w:pPr>
          </w:p>
        </w:tc>
        <w:tc>
          <w:tcPr>
            <w:tcW w:w="18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4, 2021</w:t>
            </w:r>
          </w:p>
        </w:tc>
        <w:tc>
          <w:tcPr>
            <w:tcW w:w="58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Arial" w:cs="Arial" w:eastAsia="Arial" w:hAnsi="Arial"/>
                <w:sz w:val="16"/>
                <w:szCs w:val="16"/>
                <w:b w:val="1"/>
                <w:bCs w:val="1"/>
                <w:color w:val="auto"/>
                <w:w w:val="88"/>
              </w:rPr>
              <w:t>June 28, 2020</w:t>
            </w:r>
          </w:p>
        </w:tc>
      </w:tr>
      <w:tr>
        <w:trPr>
          <w:trHeight w:val="226"/>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614.0</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Cash classified as assets held for sale</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591185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generated cash of $1.0 billion from operating activities in the first six months of 2021, an increase of $403.7 million compared to $614.0 million in the same period of 2020. This increase in net cash provided by operating activities was mainly driven by the following factors:</w:t>
      </w:r>
    </w:p>
    <w:p>
      <w:pPr>
        <w:spacing w:after="0" w:line="116" w:lineRule="exact"/>
        <w:rPr>
          <w:sz w:val="20"/>
          <w:szCs w:val="20"/>
          <w:color w:val="auto"/>
        </w:rPr>
      </w:pPr>
    </w:p>
    <w:p>
      <w:pPr>
        <w:ind w:left="340" w:hanging="332"/>
        <w:spacing w:after="0" w:line="342"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a write-down of equity investments and other charges) resulted in $186.3 million of higher cash flow in 2021 relative to 2020.</w:t>
      </w:r>
    </w:p>
    <w:p>
      <w:pPr>
        <w:spacing w:after="0" w:line="69" w:lineRule="exact"/>
        <w:rPr>
          <w:rFonts w:ascii="Arial" w:cs="Arial" w:eastAsia="Arial" w:hAnsi="Arial"/>
          <w:sz w:val="16"/>
          <w:szCs w:val="16"/>
          <w:color w:val="auto"/>
        </w:rPr>
      </w:pPr>
    </w:p>
    <w:p>
      <w:pPr>
        <w:ind w:left="340" w:right="200" w:hanging="332"/>
        <w:spacing w:after="0" w:line="259"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consumed cash of $13.3 million in 2021, compared to $201.9 million in 2020. This $188.6 million fluctuation was mainly driven by higher cash receipts from customers resulting in a slightly lower investment in accounts receivable at the end of the second quarter of 2021 compared to the same period of 2020, as well as strong demand of U.S. inventories, specifically our everyday core U.S. confection brands.</w:t>
      </w:r>
    </w:p>
    <w:p>
      <w:pPr>
        <w:spacing w:after="0" w:line="132" w:lineRule="exact"/>
        <w:rPr>
          <w:rFonts w:ascii="Arial" w:cs="Arial" w:eastAsia="Arial" w:hAnsi="Arial"/>
          <w:sz w:val="18"/>
          <w:szCs w:val="18"/>
          <w:color w:val="auto"/>
        </w:rPr>
      </w:pPr>
    </w:p>
    <w:p>
      <w:pPr>
        <w:ind w:left="340" w:right="2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Accrued income taxes generated consistent levels of cash in 2021 and 2020; however, we paid cash of $139.1 million for income taxes during 2021 compared to $71.6 million in the same period of 2020. This $67.5 million increase in cash payments was primarily due to the 2020 deferral of quarterly estimated tax payments as a result of the CARES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used cash of $700.1 million for investing activities in the first six months of 2021, an increase of $490.3 million compared to $209.8 million in the same period of 2020. This increase in net cash used in investing activities was mainly driven by the following factors:</w:t>
      </w:r>
    </w:p>
    <w:p>
      <w:pPr>
        <w:spacing w:after="0" w:line="116" w:lineRule="exact"/>
        <w:rPr>
          <w:sz w:val="20"/>
          <w:szCs w:val="20"/>
          <w:color w:val="auto"/>
        </w:rPr>
      </w:pPr>
    </w:p>
    <w:p>
      <w:pPr>
        <w:ind w:left="340" w:right="40" w:hanging="332"/>
        <w:spacing w:after="0" w:line="259" w:lineRule="auto"/>
        <w:tabs>
          <w:tab w:leader="none" w:pos="3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w:t>
      </w:r>
      <w:r>
        <w:rPr>
          <w:rFonts w:ascii="Arial" w:cs="Arial" w:eastAsia="Arial" w:hAnsi="Arial"/>
          <w:sz w:val="18"/>
          <w:szCs w:val="18"/>
          <w:i w:val="1"/>
          <w:iCs w:val="1"/>
          <w:color w:val="auto"/>
        </w:rPr>
        <w:t xml:space="preserve"> </w:t>
      </w:r>
      <w:r>
        <w:rPr>
          <w:rFonts w:ascii="Arial" w:cs="Arial" w:eastAsia="Arial" w:hAnsi="Arial"/>
          <w:sz w:val="18"/>
          <w:szCs w:val="18"/>
          <w:color w:val="auto"/>
        </w:rPr>
        <w:t>$227.6 million in the first six months of 2021 compared to $185.8 million in the same period of 2020. For full year 2021, we expect capital expenditures, including capitalized software, to approximate $550 million. Our 2021 capital expenditures are largely driven by the continuation of our ERP system implementation, as well as our supply chain capacity projects.</w:t>
      </w:r>
    </w:p>
    <w:p>
      <w:pPr>
        <w:spacing w:after="0" w:line="132" w:lineRule="exact"/>
        <w:rPr>
          <w:rFonts w:ascii="Arial" w:cs="Arial" w:eastAsia="Arial" w:hAnsi="Arial"/>
          <w:sz w:val="18"/>
          <w:szCs w:val="18"/>
          <w:i w:val="1"/>
          <w:iCs w:val="1"/>
          <w:color w:val="auto"/>
        </w:rPr>
      </w:pPr>
    </w:p>
    <w:p>
      <w:pPr>
        <w:ind w:left="340" w:right="30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$57.4 million in the first six months of 2021, compared to $26.4 million in the same period of 2020.</w:t>
      </w:r>
    </w:p>
    <w:p>
      <w:pPr>
        <w:spacing w:after="0" w:line="129"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Business Acquisition</w:t>
      </w:r>
      <w:r>
        <w:rPr>
          <w:rFonts w:ascii="Arial" w:cs="Arial" w:eastAsia="Arial" w:hAnsi="Arial"/>
          <w:sz w:val="18"/>
          <w:szCs w:val="18"/>
          <w:color w:val="auto"/>
        </w:rPr>
        <w:t>. In June 2021, we acquired Lily's for an initial cash purchase price of $418.2 million. Further details regarding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activity is provided in </w:t>
      </w:r>
      <w:hyperlink w:anchor="page10">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used cash of $1.0 billion for financing activities in the first six months of 2021, compared to cash generated of $295.9 million in the same period of 2020. This fluctuation of $1.3 billion for financing activities was mainly driven by the following factors:</w:t>
      </w:r>
    </w:p>
    <w:p>
      <w:pPr>
        <w:spacing w:after="0" w:line="116" w:lineRule="exact"/>
        <w:rPr>
          <w:sz w:val="20"/>
          <w:szCs w:val="20"/>
          <w:color w:val="auto"/>
        </w:rPr>
      </w:pPr>
    </w:p>
    <w:p>
      <w:pPr>
        <w:ind w:left="340" w:right="100" w:hanging="332"/>
        <w:spacing w:after="0" w:line="257" w:lineRule="auto"/>
        <w:tabs>
          <w:tab w:leader="none" w:pos="33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six months of 2021, we generated cash flow of $137.0 million predominantly through the issuance of short-term commercial paper, partially offset by a reduction in short-term foreign borrowings. During the first six months of 2020, we generated cash flow of $166.0 million predominantly through the issuance of short-term commercial paper, as well as an increase in short-term foreign bank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5" w:name="page46"/>
    <w:bookmarkEnd w:id="45"/>
    <w:p>
      <w:pPr>
        <w:ind w:left="340" w:hanging="332"/>
        <w:spacing w:after="0" w:line="25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six months of 2021, we repaid $84.7 million of 8.800% Debentures due upon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and $350.0 million of 3.100% Notes due upon their maturity. During the first six months of 2020, we issued $300 million of 0.900% Notes due in 2025, $350 million of 1.700% Notes due in 2030 and $350 million of 2.650% Notes due in 2050 (the "2020 Notes"). Proceeds from the issuance of the 2020 Notes, net of discounts and issuance costs, totaled $989.9 million. Additionally, in May 2020, we repaid $350 million of 2.900% Notes due upon their maturity.</w:t>
      </w:r>
    </w:p>
    <w:p>
      <w:pPr>
        <w:spacing w:after="0" w:line="133" w:lineRule="exact"/>
        <w:rPr>
          <w:rFonts w:ascii="Arial" w:cs="Arial" w:eastAsia="Arial" w:hAnsi="Arial"/>
          <w:sz w:val="18"/>
          <w:szCs w:val="18"/>
          <w:color w:val="auto"/>
        </w:rPr>
      </w:pPr>
    </w:p>
    <w:p>
      <w:pPr>
        <w:ind w:left="340" w:right="18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$324.3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an increase of $10.0 million compared to $314.3 million in the same period of 2020. Details regarding our 2021 cash dividends paid to stockholders are as follows: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Quarter Ended</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Arial" w:cs="Arial" w:eastAsia="Arial" w:hAnsi="Arial"/>
                <w:sz w:val="18"/>
                <w:szCs w:val="18"/>
                <w:b w:val="1"/>
                <w:bCs w:val="1"/>
                <w:color w:val="auto"/>
                <w:w w:val="98"/>
              </w:rPr>
              <w:t>April 4, 2021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w w:val="98"/>
              </w:rPr>
              <w:t>July 4, 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Dividends paid per share – Common stock</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0.804$</w:t>
            </w:r>
          </w:p>
        </w:tc>
        <w:tc>
          <w:tcPr>
            <w:tcW w:w="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0.804</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Dividends paid per share – Class B common stock</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0.731</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20"/>
                <w:szCs w:val="20"/>
                <w:color w:val="auto"/>
              </w:rPr>
            </w:pPr>
            <w:r>
              <w:rPr>
                <w:rFonts w:ascii="Arial" w:cs="Arial" w:eastAsia="Arial" w:hAnsi="Arial"/>
                <w:sz w:val="18"/>
                <w:szCs w:val="18"/>
                <w:color w:val="auto"/>
                <w:w w:val="74"/>
              </w:rPr>
              <w:t>Total</w:t>
            </w: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dividends paid</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-445135</wp:posOffset>
            </wp:positionV>
            <wp:extent cx="6926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Declaration date</w:t>
            </w:r>
          </w:p>
        </w:tc>
        <w:tc>
          <w:tcPr>
            <w:tcW w:w="5140" w:type="dxa"/>
            <w:vAlign w:val="bottom"/>
            <w:gridSpan w:val="2"/>
          </w:tcPr>
          <w:p>
            <w:pPr>
              <w:jc w:val="right"/>
              <w:ind w:right="570"/>
              <w:spacing w:after="0"/>
              <w:rPr>
                <w:sz w:val="20"/>
                <w:szCs w:val="20"/>
                <w:color w:val="auto"/>
              </w:rPr>
            </w:pPr>
            <w:r>
              <w:rPr>
                <w:rFonts w:ascii="Arial" w:cs="Arial" w:eastAsia="Arial" w:hAnsi="Arial"/>
                <w:sz w:val="18"/>
                <w:szCs w:val="18"/>
                <w:color w:val="auto"/>
              </w:rPr>
              <w:t>February 2, 2021</w:t>
            </w:r>
          </w:p>
        </w:tc>
        <w:tc>
          <w:tcPr>
            <w:tcW w:w="1740" w:type="dxa"/>
            <w:vAlign w:val="bottom"/>
          </w:tcPr>
          <w:p>
            <w:pPr>
              <w:jc w:val="right"/>
              <w:spacing w:after="0"/>
              <w:rPr>
                <w:sz w:val="20"/>
                <w:szCs w:val="20"/>
                <w:color w:val="auto"/>
              </w:rPr>
            </w:pPr>
            <w:r>
              <w:rPr>
                <w:rFonts w:ascii="Arial" w:cs="Arial" w:eastAsia="Arial" w:hAnsi="Arial"/>
                <w:sz w:val="18"/>
                <w:szCs w:val="18"/>
                <w:color w:val="auto"/>
              </w:rPr>
              <w:t>April 27, 2021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Record date</w:t>
            </w:r>
          </w:p>
        </w:tc>
        <w:tc>
          <w:tcPr>
            <w:tcW w:w="4100" w:type="dxa"/>
            <w:vAlign w:val="bottom"/>
          </w:tcPr>
          <w:p>
            <w:pPr>
              <w:jc w:val="right"/>
              <w:spacing w:after="0"/>
              <w:rPr>
                <w:sz w:val="20"/>
                <w:szCs w:val="20"/>
                <w:color w:val="auto"/>
              </w:rPr>
            </w:pPr>
            <w:r>
              <w:rPr>
                <w:rFonts w:ascii="Arial" w:cs="Arial" w:eastAsia="Arial" w:hAnsi="Arial"/>
                <w:sz w:val="18"/>
                <w:szCs w:val="18"/>
                <w:color w:val="auto"/>
              </w:rPr>
              <w:t>February 19,</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2021</w:t>
            </w:r>
          </w:p>
        </w:tc>
        <w:tc>
          <w:tcPr>
            <w:tcW w:w="1740" w:type="dxa"/>
            <w:vAlign w:val="bottom"/>
          </w:tcPr>
          <w:p>
            <w:pPr>
              <w:jc w:val="right"/>
              <w:spacing w:after="0"/>
              <w:rPr>
                <w:sz w:val="20"/>
                <w:szCs w:val="20"/>
                <w:color w:val="auto"/>
              </w:rPr>
            </w:pPr>
            <w:r>
              <w:rPr>
                <w:rFonts w:ascii="Arial" w:cs="Arial" w:eastAsia="Arial" w:hAnsi="Arial"/>
                <w:sz w:val="18"/>
                <w:szCs w:val="18"/>
                <w:color w:val="auto"/>
              </w:rPr>
              <w:t>May 21, 2021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Payment date</w:t>
            </w:r>
          </w:p>
        </w:tc>
        <w:tc>
          <w:tcPr>
            <w:tcW w:w="4100" w:type="dxa"/>
            <w:vAlign w:val="bottom"/>
          </w:tcPr>
          <w:p>
            <w:pPr>
              <w:jc w:val="right"/>
              <w:spacing w:after="0"/>
              <w:rPr>
                <w:sz w:val="20"/>
                <w:szCs w:val="20"/>
                <w:color w:val="auto"/>
              </w:rPr>
            </w:pPr>
            <w:r>
              <w:rPr>
                <w:rFonts w:ascii="Arial" w:cs="Arial" w:eastAsia="Arial" w:hAnsi="Arial"/>
                <w:sz w:val="18"/>
                <w:szCs w:val="18"/>
                <w:color w:val="auto"/>
              </w:rPr>
              <w:t>March 15,</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2021</w:t>
            </w:r>
          </w:p>
        </w:tc>
        <w:tc>
          <w:tcPr>
            <w:tcW w:w="1740" w:type="dxa"/>
            <w:vAlign w:val="bottom"/>
          </w:tcPr>
          <w:p>
            <w:pPr>
              <w:jc w:val="right"/>
              <w:spacing w:after="0"/>
              <w:rPr>
                <w:sz w:val="20"/>
                <w:szCs w:val="20"/>
                <w:color w:val="auto"/>
              </w:rPr>
            </w:pPr>
            <w:r>
              <w:rPr>
                <w:rFonts w:ascii="Arial" w:cs="Arial" w:eastAsia="Arial" w:hAnsi="Arial"/>
                <w:sz w:val="18"/>
                <w:szCs w:val="18"/>
                <w:color w:val="auto"/>
              </w:rPr>
              <w:t>June 15,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692658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221" w:lineRule="exact"/>
        <w:rPr>
          <w:sz w:val="20"/>
          <w:szCs w:val="20"/>
          <w:color w:val="auto"/>
        </w:rPr>
      </w:pPr>
    </w:p>
    <w:p>
      <w:pPr>
        <w:ind w:left="340" w:hanging="332"/>
        <w:spacing w:after="0" w:line="272" w:lineRule="auto"/>
        <w:tabs>
          <w:tab w:leader="none" w:pos="335"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used cash for total share repurchases of $434.3 million and $211.2 million during the first six months of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pursuant to our practice of replenishing treasury shares available for issuance for stock options and incentive compensation, as well as our share repurchases in the open market under pre-approved share repurchase programs. In July 2018, our Board of Directors approved a $500 million share repurchase authorization. As of July 4, 2021,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 For the remainder of 2021, we expect share repurchases to return to a more traditional buyback strategy.</w:t>
      </w:r>
    </w:p>
    <w:p>
      <w:pPr>
        <w:spacing w:after="0" w:line="123" w:lineRule="exact"/>
        <w:rPr>
          <w:rFonts w:ascii="Arial" w:cs="Arial" w:eastAsia="Arial" w:hAnsi="Arial"/>
          <w:sz w:val="17"/>
          <w:szCs w:val="17"/>
          <w:i w:val="1"/>
          <w:iCs w:val="1"/>
          <w:color w:val="auto"/>
        </w:rPr>
      </w:pPr>
    </w:p>
    <w:p>
      <w:pPr>
        <w:ind w:left="340" w:right="380" w:hanging="332"/>
        <w:spacing w:after="0" w:line="263"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$16.9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during the first six months of 2021, a minimal decrease compared to $17.5 million in the same period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606425</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Prospectus.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jc w:val="both"/>
        <w:ind w:left="660" w:right="1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210"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443230</wp:posOffset>
            </wp:positionV>
            <wp:extent cx="196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matters as discussed in our 2020 Annual Report on Form 10-K, our Quarterly Report on Form 10-Q for the quarterly period ended April 4, 2021, and this Quarterly Report on Form 10-Q, including Part II, Item 1A, "Risk Factors."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December 2020, our fixed-to-floating interest rate swap matured in connection with the repayment of certain long-term debt upon its maturity. Therefore, as of July 4, 2021 and December 31, 2020, we had no interest rate swap derivative instruments in a fair value hedging relationship. A hypothetical 100 basis point increase in interest rates applied to this variable-rate debt through its December 2020 maturity would have increased interest expense by approximately $3.2 million for the year 2020. There is no hypothetical impact for 2021.</w:t>
      </w:r>
    </w:p>
    <w:p>
      <w:pPr>
        <w:spacing w:after="0" w:line="1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the total amount of short-term debt, net of cash, amounted to net cash positions of 218.6 million and $1.1 billion, respectively, at July 4, 2021 and December 31, 2020. A hypothetical 100 basis point increase in interest rates applied to this variable-rate short-term debt as of July 4, 2021 would have changed interest expense by approximately $3.2 million for the first six months of 2021 and $8.6 million for the full year 2020.</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July 4, 2021 and December 31, 2020 by approximately $322 million and $357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$22.9 million as of July 4, 2021 and $25.6 million as of December 31, 2020, generally offset by a reduction in foreign exchange associated with our transactional activities.</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open commodity derivative contracts had a notional value of $387.9 million as of July 4, 2021 and $279.8 million as of December 31, 2020. At the end of the first quarter 2021, the potential change in fair value of commodity derivative instruments, assuming a 10% decrease in the underlying commodity price, would have increased our net unrealized losses by $41.6 million, generally offset by a reduction in the cost of the underlying commodity purchases.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8" w:name="page49"/>
    <w:bookmarkEnd w:id="4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July 4, 2021. Based on this evaluation, our Chief Executive Officer and Chief Financial Officer concluded that our disclosure controls and procedures were effective as of July 4, 2021.</w:t>
      </w:r>
    </w:p>
    <w:p>
      <w:pPr>
        <w:spacing w:after="0" w:line="12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July 4,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30">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2020 Annual Report on Form 10-K, Part II, Item 1A, "Risk Factors," of our Quarterly Report on Form 10-Q for the quarterly period ended April 4, 2021 (the "Q1 2021 Quarterly Report"), and the information contained in this Quarterly Report on Form 10-Q and our other reports and registration statements filed with the SEC.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July 4,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9"/>
              </w:rPr>
              <w:t>Average Price</w:t>
            </w: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as Part of Publicly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3520" w:type="dxa"/>
            <w:vAlign w:val="bottom"/>
            <w:gridSpan w:val="2"/>
            <w:vMerge w:val="restart"/>
          </w:tcPr>
          <w:p>
            <w:pPr>
              <w:ind w:left="1380"/>
              <w:spacing w:after="0"/>
              <w:rPr>
                <w:sz w:val="20"/>
                <w:szCs w:val="20"/>
                <w:color w:val="auto"/>
              </w:rPr>
            </w:pPr>
            <w:r>
              <w:rPr>
                <w:rFonts w:ascii="Arial" w:cs="Arial" w:eastAsia="Arial" w:hAnsi="Arial"/>
                <w:sz w:val="16"/>
                <w:szCs w:val="16"/>
                <w:b w:val="1"/>
                <w:bCs w:val="1"/>
                <w:color w:val="auto"/>
              </w:rPr>
              <w:t>Period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4"/>
              </w:rPr>
              <w:t>Paid</w:t>
            </w: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3"/>
        </w:trPr>
        <w:tc>
          <w:tcPr>
            <w:tcW w:w="35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 Share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3"/>
              </w:rPr>
              <w:t>or Programs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184"/>
        </w:trPr>
        <w:tc>
          <w:tcPr>
            <w:tcW w:w="3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(in thousands of dollars)</w:t>
            </w:r>
          </w:p>
        </w:tc>
        <w:tc>
          <w:tcPr>
            <w:tcW w:w="0" w:type="dxa"/>
            <w:vAlign w:val="bottom"/>
          </w:tcPr>
          <w:p>
            <w:pPr>
              <w:spacing w:after="0"/>
              <w:rPr>
                <w:sz w:val="1"/>
                <w:szCs w:val="1"/>
                <w:color w:val="auto"/>
              </w:rPr>
            </w:pPr>
          </w:p>
        </w:tc>
      </w:tr>
      <w:tr>
        <w:trPr>
          <w:trHeight w:val="231"/>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5 through May 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May 3 through May 30</w:t>
            </w:r>
          </w:p>
        </w:tc>
        <w:tc>
          <w:tcPr>
            <w:tcW w:w="1640" w:type="dxa"/>
            <w:vAlign w:val="bottom"/>
          </w:tcPr>
          <w:p>
            <w:pPr>
              <w:jc w:val="right"/>
              <w:spacing w:after="0"/>
              <w:rPr>
                <w:sz w:val="20"/>
                <w:szCs w:val="20"/>
                <w:color w:val="auto"/>
              </w:rPr>
            </w:pPr>
            <w:r>
              <w:rPr>
                <w:rFonts w:ascii="Arial" w:cs="Arial" w:eastAsia="Arial" w:hAnsi="Arial"/>
                <w:sz w:val="18"/>
                <w:szCs w:val="18"/>
                <w:color w:val="auto"/>
              </w:rPr>
              <w:t>1,134,144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871,144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109,983</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31 through July 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109,983</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6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months ended July 4, 2021, 1,134,144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firstLine="8"/>
        <w:spacing w:after="0" w:line="279"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July 2018, our Board of Directors approved a $500 million share repurchase authorization. As of July 4, 2021, approximately $110 million remained available for repurchases of our Common Stock under this program. The share repurchase program does not have an expiration date. In May 2021, our Board of Directors approved an additional $500 million share repurchase authorization (excluded from the table above). This program is to commence after the existing 2018 authorization is completed and is to be utilized at management's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297815</wp:posOffset>
            </wp:positionV>
            <wp:extent cx="196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0" w:name="page51"/>
    <w:bookmarkEnd w:id="5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5"/>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Arial" w:cs="Arial" w:eastAsia="Arial" w:hAnsi="Arial"/>
                <w:sz w:val="16"/>
                <w:szCs w:val="16"/>
                <w:color w:val="0000FF"/>
                <w:w w:val="89"/>
              </w:rPr>
            </w:pPr>
            <w:hyperlink r:id="rId148">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auto"/>
            </w:tcBorders>
            <w:gridSpan w:val="9"/>
            <w:shd w:val="clear" w:color="auto" w:fill="CCEEFF"/>
          </w:tcPr>
          <w:p>
            <w:pPr>
              <w:spacing w:after="0" w:line="172"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6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2"/>
              </w:rPr>
            </w:pPr>
            <w:hyperlink r:id="rId148">
              <w:r>
                <w:rPr>
                  <w:rFonts w:ascii="Arial" w:cs="Arial" w:eastAsia="Arial" w:hAnsi="Arial"/>
                  <w:sz w:val="16"/>
                  <w:szCs w:val="16"/>
                  <w:color w:val="0000FF"/>
                  <w:w w:val="92"/>
                </w:rPr>
                <w:t>Form 10-Q for the quarter ended April 3, 2005.</w:t>
              </w:r>
            </w:hyperlink>
          </w:p>
        </w:tc>
        <w:tc>
          <w:tcPr>
            <w:tcW w:w="664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700" w:type="dxa"/>
            <w:vAlign w:val="bottom"/>
            <w:gridSpan w:val="3"/>
          </w:tcPr>
          <w:p>
            <w:pPr>
              <w:jc w:val="center"/>
              <w:ind w:left="419"/>
              <w:spacing w:after="0" w:line="175" w:lineRule="exact"/>
              <w:rPr>
                <w:rFonts w:ascii="Arial" w:cs="Arial" w:eastAsia="Arial" w:hAnsi="Arial"/>
                <w:sz w:val="16"/>
                <w:szCs w:val="16"/>
                <w:color w:val="0000FF"/>
                <w:w w:val="89"/>
              </w:rPr>
            </w:pPr>
            <w:hyperlink r:id="rId14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40" w:type="dxa"/>
            <w:vAlign w:val="bottom"/>
            <w:gridSpan w:val="9"/>
          </w:tcPr>
          <w:p>
            <w:pPr>
              <w:spacing w:after="0" w:line="175" w:lineRule="exact"/>
              <w:rPr>
                <w:rFonts w:ascii="Arial" w:cs="Arial" w:eastAsia="Arial" w:hAnsi="Arial"/>
                <w:sz w:val="16"/>
                <w:szCs w:val="16"/>
                <w:color w:val="0000FF"/>
                <w:w w:val="94"/>
              </w:rPr>
            </w:pPr>
            <w:hyperlink r:id="rId149">
              <w:r>
                <w:rPr>
                  <w:rFonts w:ascii="Arial" w:cs="Arial" w:eastAsia="Arial" w:hAnsi="Arial"/>
                  <w:sz w:val="16"/>
                  <w:szCs w:val="16"/>
                  <w:color w:val="0000FF"/>
                  <w:w w:val="94"/>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5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9940" w:type="dxa"/>
            <w:vAlign w:val="bottom"/>
            <w:gridSpan w:val="9"/>
            <w:shd w:val="clear" w:color="auto" w:fill="CCEEFF"/>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5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20" w:type="dxa"/>
            <w:vAlign w:val="bottom"/>
          </w:tcPr>
          <w:p>
            <w:pPr>
              <w:spacing w:after="0"/>
              <w:rPr>
                <w:sz w:val="15"/>
                <w:szCs w:val="15"/>
                <w:color w:val="auto"/>
              </w:rPr>
            </w:pPr>
          </w:p>
        </w:tc>
        <w:tc>
          <w:tcPr>
            <w:tcW w:w="9940" w:type="dxa"/>
            <w:vAlign w:val="bottom"/>
            <w:gridSpan w:val="9"/>
          </w:tcPr>
          <w:p>
            <w:pPr>
              <w:spacing w:after="0" w:line="175" w:lineRule="exact"/>
              <w:rPr>
                <w:rFonts w:ascii="Arial" w:cs="Arial" w:eastAsia="Arial" w:hAnsi="Arial"/>
                <w:sz w:val="16"/>
                <w:szCs w:val="16"/>
                <w:color w:val="0000FF"/>
              </w:rPr>
            </w:pPr>
            <w:hyperlink w:anchor="page54">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55">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9940" w:type="dxa"/>
            <w:vAlign w:val="bottom"/>
            <w:gridSpan w:val="9"/>
            <w:shd w:val="clear" w:color="auto" w:fill="CCEEFF"/>
          </w:tcPr>
          <w:p>
            <w:pPr>
              <w:spacing w:after="0" w:line="175" w:lineRule="exact"/>
              <w:rPr>
                <w:rFonts w:ascii="Arial" w:cs="Arial" w:eastAsia="Arial" w:hAnsi="Arial"/>
                <w:sz w:val="16"/>
                <w:szCs w:val="16"/>
                <w:color w:val="0000FF"/>
                <w:w w:val="96"/>
              </w:rPr>
            </w:pPr>
            <w:hyperlink w:anchor="page55">
              <w:r>
                <w:rPr>
                  <w:rFonts w:ascii="Arial" w:cs="Arial" w:eastAsia="Arial" w:hAnsi="Arial"/>
                  <w:sz w:val="16"/>
                  <w:szCs w:val="16"/>
                  <w:color w:val="0000FF"/>
                  <w:w w:val="96"/>
                </w:rPr>
                <w:t>Certification of Michele G. Buck, Chief Executive Officer, and Steven E. Voskuil, Chief Financial Officer, pursuant to Section 906 of the Sarbanes-</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5"/>
            <w:shd w:val="clear" w:color="auto" w:fill="CCEEFF"/>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6"/>
        </w:trPr>
        <w:tc>
          <w:tcPr>
            <w:tcW w:w="1300" w:type="dxa"/>
            <w:vAlign w:val="bottom"/>
            <w:gridSpan w:val="6"/>
          </w:tcPr>
          <w:p>
            <w:pPr>
              <w:jc w:val="center"/>
              <w:ind w:right="120"/>
              <w:spacing w:after="0" w:line="166" w:lineRule="exact"/>
              <w:rPr>
                <w:sz w:val="20"/>
                <w:szCs w:val="20"/>
                <w:color w:val="auto"/>
              </w:rPr>
            </w:pPr>
            <w:r>
              <w:rPr>
                <w:rFonts w:ascii="Arial" w:cs="Arial" w:eastAsia="Arial" w:hAnsi="Arial"/>
                <w:sz w:val="16"/>
                <w:szCs w:val="16"/>
                <w:color w:val="auto"/>
                <w:w w:val="93"/>
              </w:rPr>
              <w:t>101.INS</w:t>
            </w:r>
          </w:p>
        </w:tc>
        <w:tc>
          <w:tcPr>
            <w:tcW w:w="9940" w:type="dxa"/>
            <w:vAlign w:val="bottom"/>
            <w:gridSpan w:val="9"/>
          </w:tcPr>
          <w:p>
            <w:pPr>
              <w:spacing w:after="0" w:line="166"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6"/>
                <w:szCs w:val="16"/>
                <w:color w:val="auto"/>
              </w:rPr>
              <w:t>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2"/>
              </w:rPr>
              <w:t>101.SCH</w:t>
            </w:r>
          </w:p>
        </w:tc>
        <w:tc>
          <w:tcPr>
            <w:tcW w:w="994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6"/>
              </w:rPr>
              <w:t>101.CAL</w:t>
            </w:r>
          </w:p>
        </w:tc>
        <w:tc>
          <w:tcPr>
            <w:tcW w:w="994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7"/>
              </w:rPr>
              <w:t>101.LAB</w:t>
            </w:r>
          </w:p>
        </w:tc>
        <w:tc>
          <w:tcPr>
            <w:tcW w:w="994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Arial" w:cs="Arial" w:eastAsia="Arial" w:hAnsi="Arial"/>
                <w:sz w:val="16"/>
                <w:szCs w:val="16"/>
                <w:color w:val="auto"/>
                <w:w w:val="90"/>
              </w:rPr>
              <w:t>101.PRE</w:t>
            </w:r>
          </w:p>
        </w:tc>
        <w:tc>
          <w:tcPr>
            <w:tcW w:w="994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4"/>
              </w:rPr>
              <w:t>101.DEF</w:t>
            </w:r>
          </w:p>
        </w:tc>
        <w:tc>
          <w:tcPr>
            <w:tcW w:w="994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17" w:lineRule="exact"/>
        <w:rPr>
          <w:sz w:val="20"/>
          <w:szCs w:val="20"/>
          <w:color w:val="auto"/>
        </w:rPr>
      </w:pPr>
    </w:p>
    <w:p>
      <w:pPr>
        <w:ind w:left="1300" w:right="620" w:hanging="826"/>
        <w:spacing w:after="0" w:line="275"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July 4, 2021, formatted in Inline XBRL and contained in Exhibit 101.</w:t>
      </w:r>
    </w:p>
    <w:p>
      <w:pPr>
        <w:spacing w:after="0" w:line="267" w:lineRule="exact"/>
        <w:rPr>
          <w:sz w:val="20"/>
          <w:szCs w:val="20"/>
          <w:color w:val="auto"/>
        </w:rPr>
      </w:pPr>
    </w:p>
    <w:p>
      <w:pPr>
        <w:ind w:left="1300" w:hanging="745"/>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1166495</wp:posOffset>
            </wp:positionV>
            <wp:extent cx="196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Date: July 29, 2021</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2640" w:type="dxa"/>
            <w:vAlign w:val="bottom"/>
          </w:tcPr>
          <w:p>
            <w:pPr>
              <w:spacing w:after="0"/>
              <w:rPr>
                <w:sz w:val="20"/>
                <w:szCs w:val="20"/>
                <w:color w:val="auto"/>
              </w:rPr>
            </w:pPr>
            <w:r>
              <w:rPr>
                <w:rFonts w:ascii="Arial" w:cs="Arial" w:eastAsia="Arial" w:hAnsi="Arial"/>
                <w:sz w:val="18"/>
                <w:szCs w:val="18"/>
                <w:color w:val="auto"/>
              </w:rPr>
              <w:t>Date: July 29, 2021</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Jennifer L. McCalman</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Q2 2021 Form 10-Q | Page 51</w:t>
      </w:r>
    </w:p>
    <w:p>
      <w:pPr>
        <w:sectPr>
          <w:pgSz w:w="11900" w:h="16838" w:orient="portrait"/>
          <w:cols w:equalWidth="0" w:num="1">
            <w:col w:w="11220"/>
          </w:cols>
          <w:pgMar w:left="320" w:top="1255"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Executive Officer)</w:t>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478155</wp:posOffset>
            </wp:positionV>
            <wp:extent cx="196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Q2 2021 Form 10-Q | Exhibit 31.1</w:t>
      </w:r>
    </w:p>
    <w:p>
      <w:pPr>
        <w:sectPr>
          <w:pgSz w:w="11900" w:h="16838" w:orient="portrait"/>
          <w:cols w:equalWidth="0" w:num="1">
            <w:col w:w="11200"/>
          </w:cols>
          <w:pgMar w:left="36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Steven E. Voskuil</w:t>
      </w:r>
    </w:p>
    <w:p>
      <w:pPr>
        <w:spacing w:after="0" w:line="17"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Financial Officer)</w:t>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632460</wp:posOffset>
            </wp:positionV>
            <wp:extent cx="196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Q2 2021 Form 10-Q | Exhibit 31.2</w:t>
      </w:r>
    </w:p>
    <w:p>
      <w:pPr>
        <w:sectPr>
          <w:pgSz w:w="11900" w:h="16838" w:orient="portrait"/>
          <w:cols w:equalWidth="0" w:num="1">
            <w:col w:w="11200"/>
          </w:cols>
          <w:pgMar w:left="36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July 4, 2021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July 29, 2021</w:t>
            </w:r>
          </w:p>
        </w:tc>
        <w:tc>
          <w:tcPr>
            <w:tcW w:w="358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right"/>
              <w:ind w:right="1237"/>
              <w:spacing w:after="0"/>
              <w:rPr>
                <w:sz w:val="20"/>
                <w:szCs w:val="20"/>
                <w:color w:val="auto"/>
              </w:rPr>
            </w:pPr>
            <w:r>
              <w:rPr>
                <w:rFonts w:ascii="Arial" w:cs="Arial" w:eastAsia="Arial" w:hAnsi="Arial"/>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right"/>
              <w:ind w:right="897"/>
              <w:spacing w:after="0" w:line="162" w:lineRule="exact"/>
              <w:rPr>
                <w:sz w:val="20"/>
                <w:szCs w:val="20"/>
                <w:color w:val="auto"/>
              </w:rPr>
            </w:pPr>
            <w:r>
              <w:rPr>
                <w:rFonts w:ascii="Arial" w:cs="Arial" w:eastAsia="Arial" w:hAnsi="Arial"/>
                <w:sz w:val="16"/>
                <w:szCs w:val="16"/>
                <w:b w:val="1"/>
                <w:bCs w:val="1"/>
                <w:color w:val="auto"/>
              </w:rPr>
              <w:t>Chief Executive Officer</w:t>
            </w:r>
          </w:p>
        </w:tc>
      </w:tr>
      <w:tr>
        <w:trPr>
          <w:trHeight w:val="210"/>
        </w:trPr>
        <w:tc>
          <w:tcPr>
            <w:tcW w:w="2920" w:type="dxa"/>
            <w:vAlign w:val="bottom"/>
          </w:tcPr>
          <w:p>
            <w:pPr>
              <w:spacing w:after="0"/>
              <w:rPr>
                <w:sz w:val="18"/>
                <w:szCs w:val="18"/>
                <w:color w:val="auto"/>
              </w:rPr>
            </w:pPr>
          </w:p>
        </w:tc>
        <w:tc>
          <w:tcPr>
            <w:tcW w:w="3580" w:type="dxa"/>
            <w:vAlign w:val="bottom"/>
          </w:tcPr>
          <w:p>
            <w:pPr>
              <w:jc w:val="right"/>
              <w:ind w:right="697"/>
              <w:spacing w:after="0"/>
              <w:rPr>
                <w:sz w:val="20"/>
                <w:szCs w:val="20"/>
                <w:color w:val="auto"/>
              </w:rPr>
            </w:pPr>
            <w:r>
              <w:rPr>
                <w:rFonts w:ascii="Arial" w:cs="Arial" w:eastAsia="Arial" w:hAnsi="Arial"/>
                <w:sz w:val="16"/>
                <w:szCs w:val="16"/>
                <w:b w:val="1"/>
                <w:bCs w:val="1"/>
                <w:color w:val="auto"/>
              </w:rPr>
              <w:t>(Principal Executive Officer)</w:t>
            </w:r>
          </w:p>
        </w:tc>
      </w:tr>
    </w:tbl>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July 29, 2021</w:t>
            </w:r>
          </w:p>
        </w:tc>
        <w:tc>
          <w:tcPr>
            <w:tcW w:w="358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ind w:right="77"/>
              <w:spacing w:after="0"/>
              <w:rPr>
                <w:sz w:val="20"/>
                <w:szCs w:val="20"/>
                <w:color w:val="auto"/>
              </w:rPr>
            </w:pPr>
            <w:r>
              <w:rPr>
                <w:rFonts w:ascii="Arial" w:cs="Arial" w:eastAsia="Arial" w:hAnsi="Arial"/>
                <w:sz w:val="16"/>
                <w:szCs w:val="16"/>
                <w:b w:val="1"/>
                <w:bCs w:val="1"/>
                <w:color w:val="auto"/>
                <w:w w:val="91"/>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1042670</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Q2 2021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lvl w:ilvl="1">
      <w:lvlJc w:val="left"/>
      <w:lvlText w:val="(%2)"/>
      <w:numFmt w:val="decimal"/>
      <w:start w:val="1"/>
    </w:lvl>
  </w:abstractNum>
  <w:abstractNum w:abstractNumId="8">
    <w:nsid w:val="62BBD95A"/>
    <w:multiLevelType w:val="hybridMultilevel"/>
    <w:lvl w:ilvl="0">
      <w:lvlJc w:val="left"/>
      <w:lvlText w:val="%1."/>
      <w:numFmt w:val="decimal"/>
      <w:start w:val="7"/>
    </w:lvl>
    <w:lvl w:ilvl="1">
      <w:lvlJc w:val="left"/>
      <w:lvlText w:val="%2"/>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50" Type="http://schemas.openxmlformats.org/officeDocument/2006/relationships/image" Target="media/image141.jpeg"/><Relationship Id="rId151" Type="http://schemas.openxmlformats.org/officeDocument/2006/relationships/image" Target="media/image142.png"/><Relationship Id="rId152" Type="http://schemas.openxmlformats.org/officeDocument/2006/relationships/image" Target="media/image143.jpeg"/><Relationship Id="rId153" Type="http://schemas.openxmlformats.org/officeDocument/2006/relationships/image" Target="media/image144.png"/><Relationship Id="rId154" Type="http://schemas.openxmlformats.org/officeDocument/2006/relationships/image" Target="media/image145.jpe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jpeg"/><Relationship Id="rId148" Type="http://schemas.openxmlformats.org/officeDocument/2006/relationships/hyperlink" Target="http://www.sec.gov/Archives/edgar/data/47111/000004711105000159/exhibit3.htm?_sm_byp=iVV7PRrr5tFtD2T5" TargetMode="External"/><Relationship Id="rId149"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2021-07-29T08:29:47Z</dcterms:created>
  <dcterms:modified xsi:type="dcterms:W3CDTF">2021-07-29T08:29:47Z</dcterms:modified>
</cp:coreProperties>
</file>