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4"/>
          <w:szCs w:val="34"/>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10-Q</w:t>
      </w:r>
    </w:p>
    <w:p>
      <w:pPr>
        <w:spacing w:after="0" w:line="47"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3, 2022</w:t>
      </w: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5"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______to_______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7138670" cy="769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THE HERSHEY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jc w:val="center"/>
              <w:ind w:left="17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jc w:val="right"/>
              <w:ind w:right="2194"/>
              <w:spacing w:after="0"/>
              <w:rPr>
                <w:sz w:val="20"/>
                <w:szCs w:val="20"/>
                <w:color w:val="auto"/>
              </w:rPr>
            </w:pPr>
            <w:r>
              <w:rPr>
                <w:rFonts w:ascii="Times New Roman" w:cs="Times New Roman" w:eastAsia="Times New Roman" w:hAnsi="Times New Roman"/>
                <w:sz w:val="17"/>
                <w:szCs w:val="17"/>
                <w:b w:val="1"/>
                <w:bCs w:val="1"/>
                <w:color w:val="auto"/>
              </w:rPr>
              <w:t>23-0691590</w:t>
            </w:r>
          </w:p>
        </w:tc>
      </w:tr>
      <w:tr>
        <w:trPr>
          <w:trHeight w:val="223"/>
        </w:trPr>
        <w:tc>
          <w:tcPr>
            <w:tcW w:w="6920" w:type="dxa"/>
            <w:vAlign w:val="bottom"/>
            <w:gridSpan w:val="5"/>
          </w:tcPr>
          <w:p>
            <w:pPr>
              <w:jc w:val="center"/>
              <w:ind w:right="14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428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32"/>
        </w:trPr>
        <w:tc>
          <w:tcPr>
            <w:tcW w:w="3600" w:type="dxa"/>
            <w:vAlign w:val="bottom"/>
          </w:tcPr>
          <w:p>
            <w:pPr>
              <w:spacing w:after="0"/>
              <w:rPr>
                <w:sz w:val="20"/>
                <w:szCs w:val="20"/>
                <w:color w:val="auto"/>
              </w:rPr>
            </w:pPr>
          </w:p>
        </w:tc>
        <w:tc>
          <w:tcPr>
            <w:tcW w:w="7600" w:type="dxa"/>
            <w:vAlign w:val="bottom"/>
            <w:gridSpan w:val="5"/>
          </w:tcPr>
          <w:p>
            <w:pPr>
              <w:jc w:val="center"/>
              <w:ind w:right="3434"/>
              <w:spacing w:after="0"/>
              <w:rPr>
                <w:sz w:val="20"/>
                <w:szCs w:val="20"/>
                <w:color w:val="auto"/>
              </w:rPr>
            </w:pPr>
            <w:r>
              <w:rPr>
                <w:rFonts w:ascii="Times New Roman" w:cs="Times New Roman" w:eastAsia="Times New Roman" w:hAnsi="Times New Roman"/>
                <w:sz w:val="17"/>
                <w:szCs w:val="17"/>
                <w:b w:val="1"/>
                <w:bCs w:val="1"/>
                <w:color w:val="auto"/>
                <w:w w:val="99"/>
              </w:rPr>
              <w:t>19 East Chocolate Avenue, Hershey, PA 17033</w:t>
            </w:r>
          </w:p>
        </w:tc>
      </w:tr>
      <w:tr>
        <w:trPr>
          <w:trHeight w:val="168"/>
        </w:trPr>
        <w:tc>
          <w:tcPr>
            <w:tcW w:w="3600" w:type="dxa"/>
            <w:vAlign w:val="bottom"/>
          </w:tcPr>
          <w:p>
            <w:pPr>
              <w:spacing w:after="0"/>
              <w:rPr>
                <w:sz w:val="14"/>
                <w:szCs w:val="14"/>
                <w:color w:val="auto"/>
              </w:rPr>
            </w:pPr>
          </w:p>
        </w:tc>
        <w:tc>
          <w:tcPr>
            <w:tcW w:w="7600" w:type="dxa"/>
            <w:vAlign w:val="bottom"/>
            <w:gridSpan w:val="5"/>
          </w:tcPr>
          <w:p>
            <w:pPr>
              <w:jc w:val="center"/>
              <w:ind w:right="3414"/>
              <w:spacing w:after="0" w:line="167" w:lineRule="exact"/>
              <w:rPr>
                <w:sz w:val="20"/>
                <w:szCs w:val="20"/>
                <w:color w:val="auto"/>
              </w:rPr>
            </w:pPr>
            <w:r>
              <w:rPr>
                <w:rFonts w:ascii="Times New Roman" w:cs="Times New Roman" w:eastAsia="Times New Roman" w:hAnsi="Times New Roman"/>
                <w:sz w:val="17"/>
                <w:szCs w:val="17"/>
                <w:color w:val="auto"/>
              </w:rPr>
              <w:t>(Address of principal executive offices and Zip Code)</w:t>
            </w:r>
          </w:p>
        </w:tc>
      </w:tr>
      <w:tr>
        <w:trPr>
          <w:trHeight w:val="177"/>
        </w:trPr>
        <w:tc>
          <w:tcPr>
            <w:tcW w:w="3600" w:type="dxa"/>
            <w:vAlign w:val="bottom"/>
          </w:tcPr>
          <w:p>
            <w:pPr>
              <w:spacing w:after="0"/>
              <w:rPr>
                <w:sz w:val="15"/>
                <w:szCs w:val="15"/>
                <w:color w:val="auto"/>
              </w:rPr>
            </w:pPr>
          </w:p>
        </w:tc>
        <w:tc>
          <w:tcPr>
            <w:tcW w:w="3220" w:type="dxa"/>
            <w:vAlign w:val="bottom"/>
            <w:gridSpan w:val="3"/>
          </w:tcPr>
          <w:p>
            <w:pPr>
              <w:jc w:val="center"/>
              <w:ind w:left="734"/>
              <w:spacing w:after="0" w:line="177" w:lineRule="exact"/>
              <w:rPr>
                <w:sz w:val="20"/>
                <w:szCs w:val="20"/>
                <w:color w:val="auto"/>
              </w:rPr>
            </w:pPr>
            <w:r>
              <w:rPr>
                <w:rFonts w:ascii="Times New Roman" w:cs="Times New Roman" w:eastAsia="Times New Roman" w:hAnsi="Times New Roman"/>
                <w:sz w:val="17"/>
                <w:szCs w:val="17"/>
                <w:b w:val="1"/>
                <w:bCs w:val="1"/>
                <w:color w:val="auto"/>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1"/>
        </w:trPr>
        <w:tc>
          <w:tcPr>
            <w:tcW w:w="3600" w:type="dxa"/>
            <w:vAlign w:val="bottom"/>
          </w:tcPr>
          <w:p>
            <w:pPr>
              <w:spacing w:after="0"/>
              <w:rPr>
                <w:sz w:val="14"/>
                <w:szCs w:val="14"/>
                <w:color w:val="auto"/>
              </w:rPr>
            </w:pPr>
          </w:p>
        </w:tc>
        <w:tc>
          <w:tcPr>
            <w:tcW w:w="7600" w:type="dxa"/>
            <w:vAlign w:val="bottom"/>
            <w:gridSpan w:val="5"/>
          </w:tcPr>
          <w:p>
            <w:pPr>
              <w:jc w:val="center"/>
              <w:ind w:right="3454"/>
              <w:spacing w:after="0" w:line="172" w:lineRule="exact"/>
              <w:rPr>
                <w:sz w:val="20"/>
                <w:szCs w:val="20"/>
                <w:color w:val="auto"/>
              </w:rPr>
            </w:pPr>
            <w:r>
              <w:rPr>
                <w:rFonts w:ascii="Times New Roman" w:cs="Times New Roman" w:eastAsia="Times New Roman" w:hAnsi="Times New Roman"/>
                <w:sz w:val="17"/>
                <w:szCs w:val="17"/>
                <w:color w:val="auto"/>
              </w:rPr>
              <w:t>(Registrant's telephone number, including area code)</w:t>
            </w:r>
          </w:p>
        </w:tc>
      </w:tr>
      <w:tr>
        <w:trPr>
          <w:trHeight w:val="212"/>
        </w:trPr>
        <w:tc>
          <w:tcPr>
            <w:tcW w:w="69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4280" w:type="dxa"/>
            <w:vAlign w:val="bottom"/>
          </w:tcPr>
          <w:p>
            <w:pPr>
              <w:spacing w:after="0"/>
              <w:rPr>
                <w:sz w:val="18"/>
                <w:szCs w:val="18"/>
                <w:color w:val="auto"/>
              </w:rPr>
            </w:pPr>
          </w:p>
        </w:tc>
      </w:tr>
      <w:tr>
        <w:trPr>
          <w:trHeight w:val="227"/>
        </w:trPr>
        <w:tc>
          <w:tcPr>
            <w:tcW w:w="3600" w:type="dxa"/>
            <w:vAlign w:val="bottom"/>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600" w:type="dxa"/>
            <w:vAlign w:val="bottom"/>
            <w:tcBorders>
              <w:top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color w:val="auto"/>
              </w:rPr>
              <w:t>Common Stock, one dollar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HSY</w:t>
            </w:r>
          </w:p>
        </w:tc>
        <w:tc>
          <w:tcPr>
            <w:tcW w:w="10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89"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ind w:right="60"/>
        <w:spacing w:after="0" w:line="20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w:t>
      </w:r>
    </w:p>
    <w:p>
      <w:pPr>
        <w:spacing w:after="0" w:line="3" w:lineRule="exact"/>
        <w:rPr>
          <w:sz w:val="24"/>
          <w:szCs w:val="24"/>
          <w:color w:val="auto"/>
        </w:rPr>
      </w:pPr>
    </w:p>
    <w:p>
      <w:pPr>
        <w:ind w:right="120"/>
        <w:spacing w:after="0" w:line="228" w:lineRule="auto"/>
        <w:rPr>
          <w:sz w:val="20"/>
          <w:szCs w:val="20"/>
          <w:color w:val="auto"/>
        </w:rPr>
      </w:pPr>
      <w:r>
        <w:rPr>
          <w:rFonts w:ascii="Times New Roman" w:cs="Times New Roman" w:eastAsia="Times New Roman" w:hAnsi="Times New Roman"/>
          <w:sz w:val="17"/>
          <w:szCs w:val="17"/>
          <w:color w:val="auto"/>
        </w:rPr>
        <w:t>growth company. See the definitions of “large accelerated filer,” “accelerated filer,” “smaller reporting company” and “emerging growth company” in Rule 12b-2 of the Exchange Act. (Check one):</w:t>
      </w:r>
    </w:p>
    <w:p>
      <w:pPr>
        <w:spacing w:after="0" w:line="59" w:lineRule="exact"/>
        <w:rPr>
          <w:sz w:val="24"/>
          <w:szCs w:val="24"/>
          <w:color w:val="auto"/>
        </w:rPr>
      </w:pPr>
    </w:p>
    <w:p>
      <w:pPr>
        <w:ind w:left="180"/>
        <w:spacing w:after="0" w:line="196" w:lineRule="exact"/>
        <w:tabs>
          <w:tab w:leader="none" w:pos="1980" w:val="left"/>
          <w:tab w:leader="none" w:pos="2320" w:val="left"/>
          <w:tab w:leader="none" w:pos="3680" w:val="left"/>
          <w:tab w:leader="none" w:pos="4080" w:val="left"/>
          <w:tab w:leader="none" w:pos="5760" w:val="left"/>
          <w:tab w:leader="none" w:pos="6180" w:val="left"/>
          <w:tab w:leader="none" w:pos="8320" w:val="left"/>
          <w:tab w:leader="none" w:pos="8780" w:val="left"/>
          <w:tab w:leader="none" w:pos="1094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23" w:lineRule="exact"/>
        <w:rPr>
          <w:sz w:val="24"/>
          <w:szCs w:val="24"/>
          <w:color w:val="auto"/>
        </w:rPr>
      </w:pPr>
    </w:p>
    <w:p>
      <w:pPr>
        <w:ind w:right="480"/>
        <w:spacing w:after="0" w:line="20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2"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x</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ind w:left="620"/>
        <w:spacing w:after="0" w:line="209" w:lineRule="auto"/>
        <w:rPr>
          <w:sz w:val="20"/>
          <w:szCs w:val="20"/>
          <w:color w:val="auto"/>
        </w:rPr>
      </w:pPr>
      <w:r>
        <w:rPr>
          <w:rFonts w:ascii="Times New Roman" w:cs="Times New Roman" w:eastAsia="Times New Roman" w:hAnsi="Times New Roman"/>
          <w:sz w:val="17"/>
          <w:szCs w:val="17"/>
          <w:color w:val="auto"/>
        </w:rPr>
        <w:t>Common Stock, one dollar par value—146,869,652 shares, as of July 22, 2022.</w:t>
      </w:r>
    </w:p>
    <w:p>
      <w:pPr>
        <w:ind w:left="620"/>
        <w:spacing w:after="0"/>
        <w:rPr>
          <w:sz w:val="20"/>
          <w:szCs w:val="20"/>
          <w:color w:val="auto"/>
        </w:rPr>
      </w:pPr>
      <w:r>
        <w:rPr>
          <w:rFonts w:ascii="Times New Roman" w:cs="Times New Roman" w:eastAsia="Times New Roman" w:hAnsi="Times New Roman"/>
          <w:sz w:val="17"/>
          <w:szCs w:val="17"/>
          <w:color w:val="auto"/>
        </w:rPr>
        <w:t>Class B Common Stock, one dollar par value—58,113,777 shares, as of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238760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Period Ended July 3, 2022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2500" w:type="dxa"/>
            <w:vAlign w:val="bottom"/>
            <w:tcBorders>
              <w:left w:val="single" w:sz="8" w:color="CCEEFF"/>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w w:val="99"/>
              </w:rPr>
              <w:t>PART I. FINANCIAL INFORMATION</w:t>
            </w:r>
          </w:p>
        </w:tc>
        <w:tc>
          <w:tcPr>
            <w:tcW w:w="6820" w:type="dxa"/>
            <w:vAlign w:val="bottom"/>
            <w:gridSpan w:val="15"/>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w:t>
            </w:r>
          </w:p>
        </w:tc>
      </w:tr>
      <w:tr>
        <w:trPr>
          <w:trHeight w:val="39"/>
        </w:trPr>
        <w:tc>
          <w:tcPr>
            <w:tcW w:w="14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500" w:type="dxa"/>
            <w:vAlign w:val="bottom"/>
            <w:gridSpan w:val="13"/>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1. Financial Statements</w:t>
            </w:r>
          </w:p>
        </w:tc>
        <w:tc>
          <w:tcPr>
            <w:tcW w:w="6820" w:type="dxa"/>
            <w:vAlign w:val="bottom"/>
            <w:gridSpan w:val="15"/>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9180" w:type="dxa"/>
            <w:vAlign w:val="bottom"/>
            <w:gridSpan w:val="27"/>
            <w:shd w:val="clear" w:color="auto" w:fill="CCEEFF"/>
          </w:tcPr>
          <w:p>
            <w:pPr>
              <w:ind w:left="80"/>
              <w:spacing w:after="0"/>
              <w:rPr>
                <w:sz w:val="20"/>
                <w:szCs w:val="20"/>
                <w:color w:val="auto"/>
              </w:rPr>
            </w:pPr>
            <w:r>
              <w:rPr>
                <w:rFonts w:ascii="Times New Roman" w:cs="Times New Roman" w:eastAsia="Times New Roman" w:hAnsi="Times New Roman"/>
                <w:sz w:val="15"/>
                <w:szCs w:val="15"/>
                <w:color w:val="0000FF"/>
              </w:rPr>
              <w:t>Consolidated Statements of Income for the Three and Six Months Ended July 3, 2022 and July 4, 2021</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20" w:type="dxa"/>
            <w:vAlign w:val="bottom"/>
            <w:tcBorders>
              <w:left w:val="single" w:sz="8" w:color="0000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9180" w:type="dxa"/>
            <w:vAlign w:val="bottom"/>
            <w:gridSpan w:val="27"/>
          </w:tcPr>
          <w:p>
            <w:pPr>
              <w:ind w:left="80"/>
              <w:spacing w:after="0" w:line="168" w:lineRule="exact"/>
              <w:rPr>
                <w:sz w:val="20"/>
                <w:szCs w:val="20"/>
                <w:color w:val="auto"/>
              </w:rPr>
            </w:pPr>
            <w:r>
              <w:rPr>
                <w:rFonts w:ascii="Times New Roman" w:cs="Times New Roman" w:eastAsia="Times New Roman" w:hAnsi="Times New Roman"/>
                <w:sz w:val="15"/>
                <w:szCs w:val="15"/>
                <w:color w:val="0000FF"/>
              </w:rPr>
              <w:t>Consolidated Statements of Comprehensive Income for the Three and Six Months Ended July 3, 2022 and July 4, 2021</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9180" w:type="dxa"/>
            <w:vAlign w:val="bottom"/>
            <w:gridSpan w:val="27"/>
            <w:shd w:val="clear" w:color="auto" w:fill="CCEEFF"/>
          </w:tcPr>
          <w:p>
            <w:pPr>
              <w:ind w:left="80"/>
              <w:spacing w:after="0"/>
              <w:rPr>
                <w:sz w:val="20"/>
                <w:szCs w:val="20"/>
                <w:color w:val="auto"/>
              </w:rPr>
            </w:pPr>
            <w:r>
              <w:rPr>
                <w:rFonts w:ascii="Times New Roman" w:cs="Times New Roman" w:eastAsia="Times New Roman" w:hAnsi="Times New Roman"/>
                <w:sz w:val="15"/>
                <w:szCs w:val="15"/>
                <w:color w:val="0000FF"/>
              </w:rPr>
              <w:t>Consolidated Balance Sheets as of July 3, 2022 and December 31, 2021</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4</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9180" w:type="dxa"/>
            <w:vAlign w:val="bottom"/>
            <w:gridSpan w:val="27"/>
          </w:tcPr>
          <w:p>
            <w:pPr>
              <w:ind w:left="80"/>
              <w:spacing w:after="0" w:line="168" w:lineRule="exact"/>
              <w:rPr>
                <w:sz w:val="20"/>
                <w:szCs w:val="20"/>
                <w:color w:val="auto"/>
              </w:rPr>
            </w:pPr>
            <w:r>
              <w:rPr>
                <w:rFonts w:ascii="Times New Roman" w:cs="Times New Roman" w:eastAsia="Times New Roman" w:hAnsi="Times New Roman"/>
                <w:sz w:val="15"/>
                <w:szCs w:val="15"/>
                <w:color w:val="0000FF"/>
              </w:rPr>
              <w:t>Consolidated Statements of Cash Flows for the Six Months Ended July 3, 2022 and July 4, 2021</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20" w:type="dxa"/>
            <w:vAlign w:val="bottom"/>
            <w:tcBorders>
              <w:left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9180" w:type="dxa"/>
            <w:vAlign w:val="bottom"/>
            <w:gridSpan w:val="27"/>
            <w:shd w:val="clear" w:color="auto" w:fill="CCEEFF"/>
          </w:tcPr>
          <w:p>
            <w:pPr>
              <w:ind w:left="80"/>
              <w:spacing w:after="0"/>
              <w:rPr>
                <w:sz w:val="20"/>
                <w:szCs w:val="20"/>
                <w:color w:val="auto"/>
              </w:rPr>
            </w:pPr>
            <w:r>
              <w:rPr>
                <w:rFonts w:ascii="Times New Roman" w:cs="Times New Roman" w:eastAsia="Times New Roman" w:hAnsi="Times New Roman"/>
                <w:sz w:val="15"/>
                <w:szCs w:val="15"/>
                <w:color w:val="0000FF"/>
              </w:rPr>
              <w:t>Consolidated Statement of Stockholders’ Equity for the Three and Six Months Ended July 3, 2022 and July 4, 2021</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6</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20" w:type="dxa"/>
            <w:vAlign w:val="bottom"/>
            <w:tcBorders>
              <w:lef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9180" w:type="dxa"/>
            <w:vAlign w:val="bottom"/>
            <w:gridSpan w:val="27"/>
          </w:tcPr>
          <w:p>
            <w:pPr>
              <w:ind w:left="80"/>
              <w:spacing w:after="0" w:line="168" w:lineRule="exact"/>
              <w:rPr>
                <w:sz w:val="20"/>
                <w:szCs w:val="20"/>
                <w:color w:val="auto"/>
              </w:rPr>
            </w:pPr>
            <w:r>
              <w:rPr>
                <w:rFonts w:ascii="Times New Roman" w:cs="Times New Roman" w:eastAsia="Times New Roman" w:hAnsi="Times New Roman"/>
                <w:sz w:val="15"/>
                <w:szCs w:val="15"/>
                <w:color w:val="0000FF"/>
              </w:rPr>
              <w:t>Notes to Unaudited Consolidated Financial Statements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8</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1 - Summary of Significant Accounting Policies</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8</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17"/>
          </w:tcPr>
          <w:p>
            <w:pPr>
              <w:spacing w:after="0" w:line="168" w:lineRule="exact"/>
              <w:rPr>
                <w:sz w:val="20"/>
                <w:szCs w:val="20"/>
                <w:color w:val="auto"/>
              </w:rPr>
            </w:pPr>
            <w:r>
              <w:rPr>
                <w:rFonts w:ascii="Times New Roman" w:cs="Times New Roman" w:eastAsia="Times New Roman" w:hAnsi="Times New Roman"/>
                <w:sz w:val="15"/>
                <w:szCs w:val="15"/>
                <w:color w:val="0000FF"/>
              </w:rPr>
              <w:t>Note 2 - Business Acquisitions and Divestiture</w:t>
            </w:r>
          </w:p>
        </w:tc>
        <w:tc>
          <w:tcPr>
            <w:tcW w:w="5480" w:type="dxa"/>
            <w:vAlign w:val="bottom"/>
            <w:gridSpan w:val="8"/>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9</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9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3 - Goodwill and Intangible Assets</w:t>
            </w:r>
          </w:p>
        </w:tc>
        <w:tc>
          <w:tcPr>
            <w:tcW w:w="5900" w:type="dxa"/>
            <w:vAlign w:val="bottom"/>
            <w:gridSpan w:val="11"/>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12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sz w:val="20"/>
                <w:szCs w:val="20"/>
                <w:color w:val="auto"/>
              </w:rPr>
            </w:pPr>
            <w:r>
              <w:rPr>
                <w:rFonts w:ascii="Times New Roman" w:cs="Times New Roman" w:eastAsia="Times New Roman" w:hAnsi="Times New Roman"/>
                <w:sz w:val="15"/>
                <w:szCs w:val="15"/>
                <w:color w:val="0000FF"/>
              </w:rPr>
              <w:t>Note 4 - Short and Long-Term Debt</w:t>
            </w:r>
          </w:p>
        </w:tc>
        <w:tc>
          <w:tcPr>
            <w:tcW w:w="6240" w:type="dxa"/>
            <w:vAlign w:val="bottom"/>
            <w:gridSpan w:val="12"/>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12</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5 - Derivative Instruments</w:t>
            </w:r>
          </w:p>
        </w:tc>
        <w:tc>
          <w:tcPr>
            <w:tcW w:w="240" w:type="dxa"/>
            <w:vAlign w:val="bottom"/>
            <w:gridSpan w:val="2"/>
            <w:shd w:val="clear" w:color="auto" w:fill="CCEEFF"/>
          </w:tcPr>
          <w:p>
            <w:pPr>
              <w:spacing w:after="0"/>
              <w:rPr>
                <w:sz w:val="15"/>
                <w:szCs w:val="15"/>
                <w:color w:val="auto"/>
              </w:rPr>
            </w:pPr>
          </w:p>
        </w:tc>
        <w:tc>
          <w:tcPr>
            <w:tcW w:w="6580" w:type="dxa"/>
            <w:vAlign w:val="bottom"/>
            <w:tcBorders>
              <w:left w:val="single" w:sz="8" w:color="CCEEFF"/>
            </w:tcBorders>
            <w:gridSpan w:val="13"/>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13</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0" w:type="dxa"/>
            <w:vAlign w:val="bottom"/>
            <w:gridSpan w:val="25"/>
          </w:tcPr>
          <w:p>
            <w:pPr>
              <w:spacing w:after="0" w:line="168" w:lineRule="exact"/>
              <w:rPr>
                <w:sz w:val="20"/>
                <w:szCs w:val="20"/>
                <w:color w:val="auto"/>
              </w:rPr>
            </w:pPr>
            <w:r>
              <w:rPr>
                <w:rFonts w:ascii="Times New Roman" w:cs="Times New Roman" w:eastAsia="Times New Roman" w:hAnsi="Times New Roman"/>
                <w:sz w:val="15"/>
                <w:szCs w:val="15"/>
                <w:color w:val="0000FF"/>
              </w:rPr>
              <w:t>Note 6 - Fair Value Measurements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16</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7 - Leases</w:t>
            </w:r>
          </w:p>
        </w:tc>
        <w:tc>
          <w:tcPr>
            <w:tcW w:w="6700" w:type="dxa"/>
            <w:vAlign w:val="bottom"/>
            <w:tcBorders>
              <w:left w:val="single" w:sz="8" w:color="CCEEFF"/>
            </w:tcBorders>
            <w:gridSpan w:val="14"/>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18</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CCEE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0" w:type="dxa"/>
            <w:vAlign w:val="bottom"/>
            <w:gridSpan w:val="25"/>
          </w:tcPr>
          <w:p>
            <w:pPr>
              <w:spacing w:after="0" w:line="168" w:lineRule="exact"/>
              <w:rPr>
                <w:sz w:val="20"/>
                <w:szCs w:val="20"/>
                <w:color w:val="auto"/>
              </w:rPr>
            </w:pPr>
            <w:r>
              <w:rPr>
                <w:rFonts w:ascii="Times New Roman" w:cs="Times New Roman" w:eastAsia="Times New Roman" w:hAnsi="Times New Roman"/>
                <w:sz w:val="15"/>
                <w:szCs w:val="15"/>
                <w:color w:val="0000FF"/>
              </w:rPr>
              <w:t>Note 8 - Investments in Unconsolidated Affiliates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21</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9 - Business Realignment Activities</w:t>
            </w:r>
          </w:p>
        </w:tc>
        <w:tc>
          <w:tcPr>
            <w:tcW w:w="5720" w:type="dxa"/>
            <w:vAlign w:val="bottom"/>
            <w:gridSpan w:val="10"/>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21</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sz w:val="20"/>
                <w:szCs w:val="20"/>
                <w:color w:val="auto"/>
              </w:rPr>
            </w:pPr>
            <w:r>
              <w:rPr>
                <w:rFonts w:ascii="Times New Roman" w:cs="Times New Roman" w:eastAsia="Times New Roman" w:hAnsi="Times New Roman"/>
                <w:sz w:val="15"/>
                <w:szCs w:val="15"/>
                <w:color w:val="0000FF"/>
              </w:rPr>
              <w:t>Note 10 - Income Taxes</w:t>
            </w:r>
          </w:p>
        </w:tc>
        <w:tc>
          <w:tcPr>
            <w:tcW w:w="6240" w:type="dxa"/>
            <w:vAlign w:val="bottom"/>
            <w:gridSpan w:val="12"/>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22</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11 - Pension and Other Post-Retirement Benefit Plans</w:t>
            </w:r>
          </w:p>
        </w:tc>
        <w:tc>
          <w:tcPr>
            <w:tcW w:w="5120" w:type="dxa"/>
            <w:vAlign w:val="bottom"/>
            <w:gridSpan w:val="7"/>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23</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gridSpan w:val="18"/>
          </w:tcPr>
          <w:p>
            <w:pPr>
              <w:spacing w:after="0" w:line="168" w:lineRule="exact"/>
              <w:rPr>
                <w:sz w:val="20"/>
                <w:szCs w:val="20"/>
                <w:color w:val="auto"/>
              </w:rPr>
            </w:pPr>
            <w:r>
              <w:rPr>
                <w:rFonts w:ascii="Times New Roman" w:cs="Times New Roman" w:eastAsia="Times New Roman" w:hAnsi="Times New Roman"/>
                <w:sz w:val="15"/>
                <w:szCs w:val="15"/>
                <w:color w:val="0000FF"/>
              </w:rPr>
              <w:t>Note 12 - Stock Compensation Plans</w:t>
            </w:r>
          </w:p>
        </w:tc>
        <w:tc>
          <w:tcPr>
            <w:tcW w:w="5120" w:type="dxa"/>
            <w:vAlign w:val="bottom"/>
            <w:gridSpan w:val="7"/>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24</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13 - Segment Information</w:t>
            </w:r>
          </w:p>
        </w:tc>
        <w:tc>
          <w:tcPr>
            <w:tcW w:w="6580" w:type="dxa"/>
            <w:vAlign w:val="bottom"/>
            <w:tcBorders>
              <w:left w:val="single" w:sz="8" w:color="CCEEFF"/>
            </w:tcBorders>
            <w:gridSpan w:val="13"/>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26</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0" w:type="dxa"/>
            <w:vAlign w:val="bottom"/>
            <w:gridSpan w:val="25"/>
          </w:tcPr>
          <w:p>
            <w:pPr>
              <w:spacing w:after="0" w:line="168" w:lineRule="exact"/>
              <w:rPr>
                <w:sz w:val="20"/>
                <w:szCs w:val="20"/>
                <w:color w:val="auto"/>
              </w:rPr>
            </w:pPr>
            <w:r>
              <w:rPr>
                <w:rFonts w:ascii="Times New Roman" w:cs="Times New Roman" w:eastAsia="Times New Roman" w:hAnsi="Times New Roman"/>
                <w:sz w:val="15"/>
                <w:szCs w:val="15"/>
                <w:color w:val="0000FF"/>
              </w:rPr>
              <w:t>Note 14 - Treasury Stock Activity</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29</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0000FF"/>
                <w:w w:val="98"/>
              </w:rPr>
              <w:t>Note 15 - Contingencies</w:t>
            </w:r>
          </w:p>
        </w:tc>
        <w:tc>
          <w:tcPr>
            <w:tcW w:w="620" w:type="dxa"/>
            <w:vAlign w:val="bottom"/>
            <w:tcBorders>
              <w:left w:val="single" w:sz="8" w:color="CCEEFF"/>
            </w:tcBorders>
            <w:gridSpan w:val="5"/>
            <w:shd w:val="clear" w:color="auto" w:fill="CCEEFF"/>
          </w:tcPr>
          <w:p>
            <w:pPr>
              <w:spacing w:after="0"/>
              <w:rPr>
                <w:sz w:val="15"/>
                <w:szCs w:val="15"/>
                <w:color w:val="auto"/>
              </w:rPr>
            </w:pPr>
          </w:p>
        </w:tc>
        <w:tc>
          <w:tcPr>
            <w:tcW w:w="6700" w:type="dxa"/>
            <w:vAlign w:val="bottom"/>
            <w:tcBorders>
              <w:left w:val="single" w:sz="8" w:color="CCEEFF"/>
            </w:tcBorders>
            <w:gridSpan w:val="14"/>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29</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9"/>
          </w:tcPr>
          <w:p>
            <w:pPr>
              <w:spacing w:after="0" w:line="168" w:lineRule="exact"/>
              <w:rPr>
                <w:sz w:val="20"/>
                <w:szCs w:val="20"/>
                <w:color w:val="auto"/>
              </w:rPr>
            </w:pPr>
            <w:r>
              <w:rPr>
                <w:rFonts w:ascii="Times New Roman" w:cs="Times New Roman" w:eastAsia="Times New Roman" w:hAnsi="Times New Roman"/>
                <w:sz w:val="15"/>
                <w:szCs w:val="15"/>
                <w:color w:val="0000FF"/>
              </w:rPr>
              <w:t>Note 16 - Earnings Per Share</w:t>
            </w:r>
          </w:p>
        </w:tc>
        <w:tc>
          <w:tcPr>
            <w:tcW w:w="6980" w:type="dxa"/>
            <w:vAlign w:val="bottom"/>
            <w:gridSpan w:val="16"/>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30</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17 - Other (Income) Expense, Net</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32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sz w:val="20"/>
                <w:szCs w:val="20"/>
                <w:color w:val="auto"/>
              </w:rPr>
            </w:pPr>
            <w:r>
              <w:rPr>
                <w:rFonts w:ascii="Times New Roman" w:cs="Times New Roman" w:eastAsia="Times New Roman" w:hAnsi="Times New Roman"/>
                <w:sz w:val="15"/>
                <w:szCs w:val="15"/>
                <w:color w:val="0000FF"/>
              </w:rPr>
              <w:t>Note 18 - Related Party Transactions</w:t>
            </w:r>
          </w:p>
        </w:tc>
        <w:tc>
          <w:tcPr>
            <w:tcW w:w="6240" w:type="dxa"/>
            <w:vAlign w:val="bottom"/>
            <w:gridSpan w:val="12"/>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32</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19 - Supplemental Balance Sheet Information</w:t>
            </w:r>
          </w:p>
        </w:tc>
        <w:tc>
          <w:tcPr>
            <w:tcW w:w="5620" w:type="dxa"/>
            <w:vAlign w:val="bottom"/>
            <w:gridSpan w:val="9"/>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33</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932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2. Management’s Discussion and Analysis of Financial Condition and Results of Operations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34</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932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3. Quantitative and Qualitative Disclosures About Market Risk</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48</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932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4. Controls and Procedures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49</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240" w:type="dxa"/>
            <w:vAlign w:val="bottom"/>
            <w:tcBorders>
              <w:left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PART II. OTHER INFORMATION</w:t>
            </w:r>
          </w:p>
        </w:tc>
        <w:tc>
          <w:tcPr>
            <w:tcW w:w="7080" w:type="dxa"/>
            <w:vAlign w:val="bottom"/>
            <w:gridSpan w:val="17"/>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50</w:t>
            </w:r>
          </w:p>
        </w:tc>
      </w:tr>
      <w:tr>
        <w:trPr>
          <w:trHeight w:val="39"/>
        </w:trPr>
        <w:tc>
          <w:tcPr>
            <w:tcW w:w="14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240" w:type="dxa"/>
            <w:vAlign w:val="bottom"/>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1. Legal Proceedings</w:t>
            </w:r>
          </w:p>
        </w:tc>
        <w:tc>
          <w:tcPr>
            <w:tcW w:w="7080" w:type="dxa"/>
            <w:vAlign w:val="bottom"/>
            <w:gridSpan w:val="17"/>
          </w:tcPr>
          <w:p>
            <w:pPr>
              <w:spacing w:after="0"/>
              <w:rPr>
                <w:sz w:val="14"/>
                <w:szCs w:val="14"/>
                <w:color w:val="auto"/>
              </w:rPr>
            </w:pP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50</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932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1A. Risk Factors</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50</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932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2. Unregistered Sales of Equity Securities and Use of Proceeds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50</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932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3. Defaults Upon Senior Securities</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50</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932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4. Mine Safety Disclosures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50</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932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5. Other Information</w:t>
            </w: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50</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932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6. Exhibits</w:t>
            </w:r>
          </w:p>
        </w:tc>
        <w:tc>
          <w:tcPr>
            <w:tcW w:w="19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51</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68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Signatures</w:t>
            </w:r>
          </w:p>
        </w:tc>
        <w:tc>
          <w:tcPr>
            <w:tcW w:w="8640" w:type="dxa"/>
            <w:vAlign w:val="bottom"/>
            <w:gridSpan w:val="24"/>
            <w:shd w:val="clear" w:color="auto" w:fill="CCEEFF"/>
          </w:tcPr>
          <w:p>
            <w:pPr>
              <w:spacing w:after="0"/>
              <w:rPr>
                <w:sz w:val="15"/>
                <w:szCs w:val="15"/>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52</w:t>
            </w:r>
          </w:p>
        </w:tc>
      </w:tr>
      <w:tr>
        <w:trPr>
          <w:trHeight w:val="39"/>
        </w:trPr>
        <w:tc>
          <w:tcPr>
            <w:tcW w:w="14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614045</wp:posOffset>
            </wp:positionV>
            <wp:extent cx="188595" cy="163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180340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60" w:type="dxa"/>
            <w:vAlign w:val="bottom"/>
          </w:tcPr>
          <w:p>
            <w:pPr>
              <w:spacing w:after="0"/>
              <w:rPr>
                <w:sz w:val="19"/>
                <w:szCs w:val="19"/>
                <w:color w:val="auto"/>
              </w:rPr>
            </w:pPr>
          </w:p>
        </w:tc>
        <w:tc>
          <w:tcPr>
            <w:tcW w:w="2480" w:type="dxa"/>
            <w:vAlign w:val="bottom"/>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12"/>
        </w:trPr>
        <w:tc>
          <w:tcPr>
            <w:tcW w:w="5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July 3, 2022</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July 4, 2021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July 3, 2022</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July 4, 2021</w:t>
            </w:r>
          </w:p>
        </w:tc>
      </w:tr>
      <w:tr>
        <w:trPr>
          <w:trHeight w:val="21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2,372,582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1,989,422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5,038,803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4,285,370</w:t>
            </w:r>
          </w:p>
        </w:tc>
      </w:tr>
      <w:tr>
        <w:trPr>
          <w:trHeight w:val="219"/>
        </w:trPr>
        <w:tc>
          <w:tcPr>
            <w:tcW w:w="5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1,372,583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1,063,977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2,793,324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2,310,974</w:t>
            </w:r>
          </w:p>
        </w:tc>
      </w:tr>
      <w:tr>
        <w:trPr>
          <w:trHeight w:val="212"/>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999,999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2,245,479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1,974,396</w:t>
            </w:r>
          </w:p>
        </w:tc>
      </w:tr>
      <w:tr>
        <w:trPr>
          <w:trHeight w:val="219"/>
        </w:trPr>
        <w:tc>
          <w:tcPr>
            <w:tcW w:w="5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marketing and administrative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962,294</w:t>
            </w:r>
          </w:p>
        </w:tc>
      </w:tr>
      <w:tr>
        <w:trPr>
          <w:trHeight w:val="219"/>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Business realignment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w:t>
            </w:r>
          </w:p>
        </w:tc>
      </w:tr>
      <w:tr>
        <w:trPr>
          <w:trHeight w:val="212"/>
        </w:trPr>
        <w:tc>
          <w:tcPr>
            <w:tcW w:w="56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Operating profit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456,531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456,675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1,177,521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1,009,719</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67,501</w:t>
            </w:r>
          </w:p>
        </w:tc>
      </w:tr>
      <w:tr>
        <w:trPr>
          <w:trHeight w:val="219"/>
        </w:trPr>
        <w:tc>
          <w:tcPr>
            <w:tcW w:w="5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9,608</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1,080,864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932,610</w:t>
            </w:r>
          </w:p>
        </w:tc>
      </w:tr>
      <w:tr>
        <w:trPr>
          <w:trHeight w:val="219"/>
        </w:trPr>
        <w:tc>
          <w:tcPr>
            <w:tcW w:w="5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117,186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234,509</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including noncontrolling interest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315,556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698,101</w:t>
            </w:r>
          </w:p>
        </w:tc>
      </w:tr>
      <w:tr>
        <w:trPr>
          <w:trHeight w:val="219"/>
        </w:trPr>
        <w:tc>
          <w:tcPr>
            <w:tcW w:w="5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Net gain attributable to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37"/>
        </w:trPr>
        <w:tc>
          <w:tcPr>
            <w:tcW w:w="56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 attributable to The Hershey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315,556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697,029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share—basic:</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Class B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58"/>
        </w:trPr>
        <w:tc>
          <w:tcPr>
            <w:tcW w:w="5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share—diluted: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Class B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58"/>
        </w:trPr>
        <w:tc>
          <w:tcPr>
            <w:tcW w:w="5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Dividends paid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Class B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429260</wp:posOffset>
            </wp:positionV>
            <wp:extent cx="188595" cy="163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180340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3, 2022</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July 4, 2021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3, 2022</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4, 2021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300" w:type="dxa"/>
            <w:vAlign w:val="bottom"/>
            <w:gridSpan w:val="4"/>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After-Tax  Pre-Tax</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85"/>
              </w:rPr>
              <w:t>Tax</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After-Tax</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2640" w:type="dxa"/>
            <w:vAlign w:val="bottom"/>
            <w:gridSpan w:val="8"/>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After-Tax  Pre-Tax  (Expense)  After-Tax</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13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including noncontrolling interest</w:t>
            </w: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$ 315,556</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$ 301,230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$ 849,034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$ 698,101</w:t>
            </w:r>
          </w:p>
        </w:tc>
        <w:tc>
          <w:tcPr>
            <w:tcW w:w="0" w:type="dxa"/>
            <w:vAlign w:val="bottom"/>
          </w:tcPr>
          <w:p>
            <w:pPr>
              <w:spacing w:after="0"/>
              <w:rPr>
                <w:sz w:val="1"/>
                <w:szCs w:val="1"/>
                <w:color w:val="auto"/>
              </w:rPr>
            </w:pPr>
          </w:p>
        </w:tc>
      </w:tr>
      <w:tr>
        <w:trPr>
          <w:trHeight w:val="16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0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Foreign currency translation (losses) gains during</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 (16,758)</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(16,758)</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$ 12,996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12,996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0" w:type="dxa"/>
            <w:vAlign w:val="bottom"/>
          </w:tcPr>
          <w:p>
            <w:pPr>
              <w:spacing w:after="0"/>
              <w:rPr>
                <w:sz w:val="1"/>
                <w:szCs w:val="1"/>
                <w:color w:val="auto"/>
              </w:rPr>
            </w:pPr>
          </w:p>
        </w:tc>
      </w:tr>
      <w:tr>
        <w:trPr>
          <w:trHeight w:val="183"/>
        </w:trPr>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period</w:t>
            </w:r>
          </w:p>
        </w:tc>
        <w:tc>
          <w:tcPr>
            <w:tcW w:w="6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to earnings due to the sale of</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businesses</w:t>
            </w:r>
          </w:p>
        </w:tc>
        <w:tc>
          <w:tcPr>
            <w:tcW w:w="6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post-retirement benefit plans: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actuarial (loss) gain and service cost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186"/>
        </w:trPr>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11,721</w:t>
            </w: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(losses) on cash flow hedging derivatives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(8,138)</w:t>
            </w: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0" w:type="dxa"/>
            <w:vAlign w:val="bottom"/>
          </w:tcPr>
          <w:p>
            <w:pPr>
              <w:spacing w:after="0"/>
              <w:rPr>
                <w:sz w:val="1"/>
                <w:szCs w:val="1"/>
                <w:color w:val="auto"/>
              </w:rPr>
            </w:pPr>
          </w:p>
        </w:tc>
      </w:tr>
      <w:tr>
        <w:trPr>
          <w:trHeight w:val="18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net of tax</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(30,047)</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(26,371)</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$ 39,750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56,737</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47,200</w:t>
            </w:r>
          </w:p>
        </w:tc>
        <w:tc>
          <w:tcPr>
            <w:tcW w:w="0" w:type="dxa"/>
            <w:vAlign w:val="bottom"/>
          </w:tcPr>
          <w:p>
            <w:pPr>
              <w:spacing w:after="0"/>
              <w:rPr>
                <w:sz w:val="1"/>
                <w:szCs w:val="1"/>
                <w:color w:val="auto"/>
              </w:rPr>
            </w:pPr>
          </w:p>
        </w:tc>
      </w:tr>
      <w:tr>
        <w:trPr>
          <w:trHeight w:val="45"/>
        </w:trPr>
        <w:tc>
          <w:tcPr>
            <w:tcW w:w="30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3080" w:type="dxa"/>
            <w:vAlign w:val="bottom"/>
            <w:tcBorders>
              <w:top w:val="single" w:sz="8" w:color="CCEEFF"/>
            </w:tcBorders>
            <w:shd w:val="clear" w:color="auto" w:fill="CCEEFF"/>
          </w:tcPr>
          <w:p>
            <w:pPr>
              <w:ind w:left="20"/>
              <w:spacing w:after="0" w:line="76" w:lineRule="exact"/>
              <w:rPr>
                <w:sz w:val="20"/>
                <w:szCs w:val="20"/>
                <w:color w:val="auto"/>
              </w:rPr>
            </w:pPr>
            <w:r>
              <w:rPr>
                <w:rFonts w:ascii="Times New Roman" w:cs="Times New Roman" w:eastAsia="Times New Roman" w:hAnsi="Times New Roman"/>
                <w:sz w:val="8"/>
                <w:szCs w:val="8"/>
                <w:b w:val="1"/>
                <w:bCs w:val="1"/>
                <w:color w:val="auto"/>
              </w:rPr>
              <w:t>Total comprehensive income including</w:t>
            </w:r>
          </w:p>
        </w:tc>
        <w:tc>
          <w:tcPr>
            <w:tcW w:w="6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$ 289,185</w:t>
            </w: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$ 334,092</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$ 829,868</w:t>
            </w: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$ 745,301</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3080" w:type="dxa"/>
            <w:vAlign w:val="bottom"/>
          </w:tcPr>
          <w:p>
            <w:pPr>
              <w:ind w:left="140"/>
              <w:spacing w:after="0" w:line="114" w:lineRule="exact"/>
              <w:rPr>
                <w:sz w:val="20"/>
                <w:szCs w:val="20"/>
                <w:color w:val="auto"/>
              </w:rPr>
            </w:pPr>
            <w:r>
              <w:rPr>
                <w:rFonts w:ascii="Times New Roman" w:cs="Times New Roman" w:eastAsia="Times New Roman" w:hAnsi="Times New Roman"/>
                <w:sz w:val="13"/>
                <w:szCs w:val="13"/>
                <w:color w:val="auto"/>
              </w:rPr>
              <w:t>Comprehensive (loss) income attributable to</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6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 income attributable to The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$ 289,185</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$ 334,100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$ 829,868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$ 738,975</w:t>
            </w:r>
          </w:p>
        </w:tc>
        <w:tc>
          <w:tcPr>
            <w:tcW w:w="0" w:type="dxa"/>
            <w:vAlign w:val="bottom"/>
          </w:tcPr>
          <w:p>
            <w:pPr>
              <w:spacing w:after="0"/>
              <w:rPr>
                <w:sz w:val="1"/>
                <w:szCs w:val="1"/>
                <w:color w:val="auto"/>
              </w:rPr>
            </w:pPr>
          </w:p>
        </w:tc>
      </w:tr>
      <w:tr>
        <w:trPr>
          <w:trHeight w:val="18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Hershey Company</w:t>
            </w: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281940</wp:posOffset>
            </wp:positionV>
            <wp:extent cx="188595" cy="16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48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19"/>
        </w:trPr>
        <w:tc>
          <w:tcPr>
            <w:tcW w:w="6740" w:type="dxa"/>
            <w:vAlign w:val="bottom"/>
          </w:tcPr>
          <w:p>
            <w:pPr>
              <w:jc w:val="center"/>
              <w:ind w:left="4134"/>
              <w:spacing w:after="0"/>
              <w:rPr>
                <w:sz w:val="20"/>
                <w:szCs w:val="20"/>
                <w:color w:val="auto"/>
              </w:rPr>
            </w:pPr>
            <w:r>
              <w:rPr>
                <w:rFonts w:ascii="Times New Roman" w:cs="Times New Roman" w:eastAsia="Times New Roman" w:hAnsi="Times New Roman"/>
                <w:sz w:val="17"/>
                <w:szCs w:val="17"/>
                <w:b w:val="1"/>
                <w:bCs w:val="1"/>
                <w:color w:val="auto"/>
                <w:w w:val="99"/>
              </w:rPr>
              <w:t>THE HERSHEY COMPANY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gridSpan w:val="2"/>
          </w:tcPr>
          <w:p>
            <w:pPr>
              <w:jc w:val="center"/>
              <w:ind w:left="371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40" w:type="dxa"/>
            <w:vAlign w:val="bottom"/>
          </w:tcPr>
          <w:p>
            <w:pPr>
              <w:jc w:val="center"/>
              <w:ind w:left="4134"/>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July 3, 2022</w:t>
            </w:r>
          </w:p>
        </w:tc>
        <w:tc>
          <w:tcPr>
            <w:tcW w:w="240" w:type="dxa"/>
            <w:vAlign w:val="bottom"/>
          </w:tcPr>
          <w:p>
            <w:pPr>
              <w:spacing w:after="0"/>
              <w:rPr>
                <w:sz w:val="22"/>
                <w:szCs w:val="22"/>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2"/>
        </w:trPr>
        <w:tc>
          <w:tcPr>
            <w:tcW w:w="67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329,266</w:t>
            </w: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receivable—trade,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654,399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671,464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988,511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226,105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256,965</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2,428,465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2,246,206</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2,590,826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2,586,187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2,633,174</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Other intangibles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2,007,748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2,037,588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904,822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868,203</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40,873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10,588,874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10,412,231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876,193</w:t>
            </w:r>
          </w:p>
        </w:tc>
        <w:tc>
          <w:tcPr>
            <w:tcW w:w="12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692,338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855,638</w:t>
            </w: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income taxes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debt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939,423</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752,573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3,300,910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2,493,313</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Long-term debt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3,340,472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4,086,627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764,041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787,058</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291,711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288,004</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7,697,134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7,655,002</w:t>
            </w: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Hershey Company stockholders’ equity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shares issued: none in 2022 and 2021</w:t>
            </w: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shares issued: 163,439,248 at July 3, 2022 and 160,939,248 at</w:t>
            </w: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4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160,939</w:t>
            </w:r>
          </w:p>
        </w:tc>
        <w:tc>
          <w:tcPr>
            <w:tcW w:w="0" w:type="dxa"/>
            <w:vAlign w:val="bottom"/>
          </w:tcPr>
          <w:p>
            <w:pPr>
              <w:spacing w:after="0"/>
              <w:rPr>
                <w:sz w:val="1"/>
                <w:szCs w:val="1"/>
                <w:color w:val="auto"/>
              </w:rPr>
            </w:pPr>
          </w:p>
        </w:tc>
      </w:tr>
      <w:tr>
        <w:trPr>
          <w:trHeight w:val="168"/>
        </w:trPr>
        <w:tc>
          <w:tcPr>
            <w:tcW w:w="674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B common stock, shares issued: 58,113,777 at July 3, 2022 and 60,613,777 at</w:t>
            </w:r>
          </w:p>
        </w:tc>
        <w:tc>
          <w:tcPr>
            <w:tcW w:w="4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60,614</w:t>
            </w: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1,258,091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1,260,331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3,208,598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2,719,936</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Treasury—common stock shares, at cost: 16,581,634 at July 3, 2022 and 15,444,011 at</w:t>
            </w: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4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(1,528,121)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(1,195,376)</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(249,215)</w:t>
            </w:r>
          </w:p>
        </w:tc>
        <w:tc>
          <w:tcPr>
            <w:tcW w:w="0" w:type="dxa"/>
            <w:vAlign w:val="bottom"/>
          </w:tcPr>
          <w:p>
            <w:pPr>
              <w:spacing w:after="0"/>
              <w:rPr>
                <w:sz w:val="1"/>
                <w:szCs w:val="1"/>
                <w:color w:val="auto"/>
              </w:rPr>
            </w:pPr>
          </w:p>
        </w:tc>
      </w:tr>
      <w:tr>
        <w:trPr>
          <w:trHeight w:val="212"/>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2,891,740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2,757,229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10,588,874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10,412,231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6931025</wp:posOffset>
            </wp:positionH>
            <wp:positionV relativeFrom="paragraph">
              <wp:posOffset>281940</wp:posOffset>
            </wp:positionV>
            <wp:extent cx="188595" cy="16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327660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02" w:right="3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Pr>
          <w:p>
            <w:pPr>
              <w:spacing w:after="0"/>
              <w:rPr>
                <w:sz w:val="17"/>
                <w:szCs w:val="17"/>
                <w:color w:val="auto"/>
              </w:rPr>
            </w:pPr>
          </w:p>
        </w:tc>
        <w:tc>
          <w:tcPr>
            <w:tcW w:w="12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187"/>
        </w:trPr>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4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Net income including noncontrolling interest</w:t>
            </w:r>
          </w:p>
        </w:tc>
        <w:tc>
          <w:tcPr>
            <w:tcW w:w="42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849,034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698,101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184,882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153,929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Deferred income taxes</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Write-down of equity investments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Other</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66,235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51,355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Changes in assets and liabilities, net of business acquisitions and divestitures: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Accounts receivable—trade, net</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19,216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88,945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Inventories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123,335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Accrued income taxes</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51,927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68,317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Contributions to pension and other benefit plans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(9,338)</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5"/>
                <w:szCs w:val="15"/>
                <w:color w:val="auto"/>
              </w:rPr>
              <w:t>Other assets and liabilities</w:t>
            </w:r>
          </w:p>
        </w:tc>
        <w:tc>
          <w:tcPr>
            <w:tcW w:w="4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8,075</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4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1,113,773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1,017,652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Capital additions (including software)</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(240,960)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Equity investments in tax credit qualifying partnerships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(57,445)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Business acquisitions, net of cash and cash equivalents acquired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(418,191)</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4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6,166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3,123</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(350,985)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(700,120)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(decrease) increase in short-term debt</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Repayment of long-term debt and finance leases</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(436,957)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Cash dividends paid</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(360,984)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(355,271)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(434,346)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Proceeds from exercised stock options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31,749</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5"/>
                <w:szCs w:val="15"/>
                <w:color w:val="auto"/>
              </w:rPr>
              <w:t>Taxes withheld and paid on employee stock awards</w:t>
            </w:r>
          </w:p>
        </w:tc>
        <w:tc>
          <w:tcPr>
            <w:tcW w:w="4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(33,940)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(14,860)</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4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(755,405)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(1,041,691)</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4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3,073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(5,061)</w:t>
            </w:r>
          </w:p>
        </w:tc>
        <w:tc>
          <w:tcPr>
            <w:tcW w:w="0" w:type="dxa"/>
            <w:vAlign w:val="bottom"/>
          </w:tcPr>
          <w:p>
            <w:pPr>
              <w:spacing w:after="0"/>
              <w:rPr>
                <w:sz w:val="1"/>
                <w:szCs w:val="1"/>
                <w:color w:val="auto"/>
              </w:rPr>
            </w:pPr>
          </w:p>
        </w:tc>
      </w:tr>
      <w:tr>
        <w:trPr>
          <w:trHeight w:val="202"/>
        </w:trPr>
        <w:tc>
          <w:tcPr>
            <w:tcW w:w="8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Increase (decrease) in cash and cash equivalents, including cash classified as held for sale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(729,220)</w:t>
            </w:r>
          </w:p>
        </w:tc>
        <w:tc>
          <w:tcPr>
            <w:tcW w:w="0" w:type="dxa"/>
            <w:vAlign w:val="bottom"/>
          </w:tcPr>
          <w:p>
            <w:pPr>
              <w:spacing w:after="0"/>
              <w:rPr>
                <w:sz w:val="1"/>
                <w:szCs w:val="1"/>
                <w:color w:val="auto"/>
              </w:rPr>
            </w:pPr>
          </w:p>
        </w:tc>
      </w:tr>
      <w:tr>
        <w:trPr>
          <w:trHeight w:val="203"/>
        </w:trPr>
        <w:tc>
          <w:tcPr>
            <w:tcW w:w="81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Less: Increase in cash and cash equivalents classified as held for sale</w:t>
            </w:r>
          </w:p>
        </w:tc>
        <w:tc>
          <w:tcPr>
            <w:tcW w:w="2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11,434</w:t>
            </w:r>
          </w:p>
        </w:tc>
        <w:tc>
          <w:tcPr>
            <w:tcW w:w="0" w:type="dxa"/>
            <w:vAlign w:val="bottom"/>
          </w:tcPr>
          <w:p>
            <w:pPr>
              <w:spacing w:after="0"/>
              <w:rPr>
                <w:sz w:val="1"/>
                <w:szCs w:val="1"/>
                <w:color w:val="auto"/>
              </w:rPr>
            </w:pPr>
          </w:p>
        </w:tc>
      </w:tr>
      <w:tr>
        <w:trPr>
          <w:trHeight w:val="202"/>
        </w:trPr>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4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10,456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(717,786)</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4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329,266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1,143,987</w:t>
            </w:r>
          </w:p>
        </w:tc>
        <w:tc>
          <w:tcPr>
            <w:tcW w:w="0" w:type="dxa"/>
            <w:vAlign w:val="bottom"/>
          </w:tcPr>
          <w:p>
            <w:pPr>
              <w:spacing w:after="0"/>
              <w:rPr>
                <w:sz w:val="1"/>
                <w:szCs w:val="1"/>
                <w:color w:val="auto"/>
              </w:rPr>
            </w:pPr>
          </w:p>
        </w:tc>
      </w:tr>
      <w:tr>
        <w:trPr>
          <w:trHeight w:val="227"/>
        </w:trPr>
        <w:tc>
          <w:tcPr>
            <w:tcW w:w="3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4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339,722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426,201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Supplemental Disclosure</w:t>
            </w:r>
          </w:p>
        </w:tc>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paid</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61,657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68,345</w:t>
            </w:r>
          </w:p>
        </w:tc>
        <w:tc>
          <w:tcPr>
            <w:tcW w:w="0" w:type="dxa"/>
            <w:vAlign w:val="bottom"/>
          </w:tcPr>
          <w:p>
            <w:pPr>
              <w:spacing w:after="0"/>
              <w:rPr>
                <w:sz w:val="1"/>
                <w:szCs w:val="1"/>
                <w:color w:val="auto"/>
              </w:rPr>
            </w:pPr>
          </w:p>
        </w:tc>
      </w:tr>
      <w:tr>
        <w:trPr>
          <w:trHeight w:val="201"/>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taxes paid</w:t>
            </w: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172,888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139,078</w:t>
            </w: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20" w:type="dxa"/>
            <w:vAlign w:val="bottom"/>
            <w:gridSpan w:val="2"/>
          </w:tcPr>
          <w:p>
            <w:pPr>
              <w:jc w:val="center"/>
              <w:ind w:left="1914"/>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4200" w:type="dxa"/>
            <w:vAlign w:val="bottom"/>
          </w:tcPr>
          <w:p>
            <w:pPr>
              <w:jc w:val="center"/>
              <w:ind w:right="743"/>
              <w:spacing w:after="0"/>
              <w:rPr>
                <w:sz w:val="20"/>
                <w:szCs w:val="20"/>
                <w:color w:val="auto"/>
              </w:rPr>
            </w:pPr>
            <w:r>
              <w:rPr>
                <w:rFonts w:ascii="Times New Roman" w:cs="Times New Roman" w:eastAsia="Times New Roman" w:hAnsi="Times New Roman"/>
                <w:sz w:val="15"/>
                <w:szCs w:val="15"/>
                <w:color w:val="auto"/>
              </w:rPr>
              <w:t>The Hershey Company | Q2 2022 Form 10-Q | Page 5</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-506730</wp:posOffset>
            </wp:positionV>
            <wp:extent cx="188595"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jc w:val="center"/>
        <w:ind w:right="-119"/>
        <w:spacing w:after="0" w:line="221" w:lineRule="auto"/>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jc w:val="center"/>
        <w:ind w:right="-119"/>
        <w:spacing w:after="0" w:line="206" w:lineRule="auto"/>
        <w:rPr>
          <w:sz w:val="20"/>
          <w:szCs w:val="20"/>
          <w:color w:val="auto"/>
        </w:rPr>
      </w:pPr>
      <w:r>
        <w:rPr>
          <w:rFonts w:ascii="Times New Roman" w:cs="Times New Roman" w:eastAsia="Times New Roman" w:hAnsi="Times New Roman"/>
          <w:sz w:val="17"/>
          <w:szCs w:val="17"/>
          <w:b w:val="1"/>
          <w:bCs w:val="1"/>
          <w:color w:val="auto"/>
        </w:rPr>
        <w:t>For the Three Months Ended July 3, 2022 and July 4, 2021</w:t>
      </w:r>
    </w:p>
    <w:p>
      <w:pPr>
        <w:ind w:left="5160"/>
        <w:spacing w:after="0" w:line="206" w:lineRule="auto"/>
        <w:rPr>
          <w:sz w:val="20"/>
          <w:szCs w:val="20"/>
          <w:color w:val="auto"/>
        </w:rPr>
      </w:pPr>
      <w:r>
        <w:rPr>
          <w:rFonts w:ascii="Times New Roman" w:cs="Times New Roman" w:eastAsia="Times New Roman" w:hAnsi="Times New Roman"/>
          <w:sz w:val="17"/>
          <w:szCs w:val="17"/>
          <w:b w:val="1"/>
          <w:bCs w:val="1"/>
          <w:color w:val="auto"/>
        </w:rPr>
        <w:t>(in thousands)</w:t>
      </w: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3,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59,614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1,243,240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3,071,416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(1,378,651)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(242,009)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2,915,549</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315,556</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(26,372)</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$0.901 per share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(129,551)</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$0.819 per share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(48,823)</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Class B Common Stock into Common Stock</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7"/>
              </w:rPr>
              <w:t>(1,500)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17,146</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(151,921)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(151,921)</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2,891,740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April 4, 2021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Common Stock, $0.804 per share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Class B Common Stock, $0.731 per share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32"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3" w:lineRule="exact"/>
        <w:rPr>
          <w:sz w:val="20"/>
          <w:szCs w:val="20"/>
          <w:color w:val="auto"/>
        </w:rPr>
      </w:pPr>
    </w:p>
    <w:p>
      <w:pPr>
        <w:ind w:left="20" w:right="1180"/>
        <w:spacing w:after="0" w:line="371" w:lineRule="auto"/>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4"/>
          <w:szCs w:val="14"/>
          <w:b w:val="1"/>
          <w:bCs w:val="1"/>
          <w:color w:val="auto"/>
        </w:rPr>
        <w:t>Balance, July 4, 2021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7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 w:type="dxa"/>
            <w:vAlign w:val="bottom"/>
          </w:tcPr>
          <w:p>
            <w:pPr>
              <w:spacing w:after="0"/>
              <w:rPr>
                <w:sz w:val="12"/>
                <w:szCs w:val="12"/>
                <w:color w:val="auto"/>
              </w:rPr>
            </w:pPr>
          </w:p>
        </w:tc>
        <w:tc>
          <w:tcPr>
            <w:tcW w:w="9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9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1,195,748</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2,162,464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(994,765)</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(329,006)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2,264,846</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32,862</w:t>
            </w:r>
          </w:p>
        </w:tc>
        <w:tc>
          <w:tcPr>
            <w:tcW w:w="0" w:type="dxa"/>
            <w:vAlign w:val="bottom"/>
          </w:tcPr>
          <w:p>
            <w:pPr>
              <w:spacing w:after="0"/>
              <w:rPr>
                <w:sz w:val="1"/>
                <w:szCs w:val="1"/>
                <w:color w:val="auto"/>
              </w:rPr>
            </w:pPr>
          </w:p>
        </w:tc>
      </w:tr>
      <w:tr>
        <w:trPr>
          <w:trHeight w:val="38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(117,581)</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(44,308)</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17,121</w:t>
            </w: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(193,987)</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1,218,708</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2,301,805</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(1,180,881)</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(296,136)</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8,844</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2,273,893</w:t>
            </w:r>
          </w:p>
        </w:tc>
        <w:tc>
          <w:tcPr>
            <w:tcW w:w="0" w:type="dxa"/>
            <w:vAlign w:val="bottom"/>
          </w:tcPr>
          <w:p>
            <w:pPr>
              <w:spacing w:after="0"/>
              <w:rPr>
                <w:sz w:val="1"/>
                <w:szCs w:val="1"/>
                <w:color w:val="auto"/>
              </w:rPr>
            </w:pPr>
          </w:p>
        </w:tc>
      </w:tr>
      <w:tr>
        <w:trPr>
          <w:trHeight w:val="26"/>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-1358265</wp:posOffset>
            </wp:positionV>
            <wp:extent cx="7138670" cy="130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-1104265</wp:posOffset>
            </wp:positionV>
            <wp:extent cx="7138670"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-859155</wp:posOffset>
            </wp:positionV>
            <wp:extent cx="7138670" cy="122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-613410</wp:posOffset>
            </wp:positionV>
            <wp:extent cx="7138670"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-285750</wp:posOffset>
            </wp:positionV>
            <wp:extent cx="7138670" cy="122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2820" w:space="100"/>
            <w:col w:w="8320"/>
          </w:cols>
          <w:pgMar w:left="320" w:top="1183"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421005</wp:posOffset>
            </wp:positionV>
            <wp:extent cx="188595" cy="163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8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jc w:val="center"/>
        <w:ind w:right="-119"/>
        <w:spacing w:after="0" w:line="221" w:lineRule="auto"/>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jc w:val="center"/>
        <w:ind w:right="-119"/>
        <w:spacing w:after="0" w:line="206" w:lineRule="auto"/>
        <w:rPr>
          <w:sz w:val="20"/>
          <w:szCs w:val="20"/>
          <w:color w:val="auto"/>
        </w:rPr>
      </w:pPr>
      <w:r>
        <w:rPr>
          <w:rFonts w:ascii="Times New Roman" w:cs="Times New Roman" w:eastAsia="Times New Roman" w:hAnsi="Times New Roman"/>
          <w:sz w:val="17"/>
          <w:szCs w:val="17"/>
          <w:b w:val="1"/>
          <w:bCs w:val="1"/>
          <w:color w:val="auto"/>
        </w:rPr>
        <w:t>For the Six Months Ended July 3, 2022 and July 4, 2021</w:t>
      </w:r>
    </w:p>
    <w:p>
      <w:pPr>
        <w:ind w:left="5160"/>
        <w:spacing w:after="0" w:line="206" w:lineRule="auto"/>
        <w:rPr>
          <w:sz w:val="20"/>
          <w:szCs w:val="20"/>
          <w:color w:val="auto"/>
        </w:rPr>
      </w:pPr>
      <w:r>
        <w:rPr>
          <w:rFonts w:ascii="Times New Roman" w:cs="Times New Roman" w:eastAsia="Times New Roman" w:hAnsi="Times New Roman"/>
          <w:sz w:val="17"/>
          <w:szCs w:val="17"/>
          <w:b w:val="1"/>
          <w:bCs w:val="1"/>
          <w:color w:val="auto"/>
        </w:rPr>
        <w:t>(in thousands)</w:t>
      </w: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1,260,331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2,719,936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(1,195,376)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2,757,229</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849,034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849,034</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(19,166)</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$1.802 per share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(262,725)</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$1.638 per share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(97,647)</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Class B Common Stock into Common Stock</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7"/>
              </w:rPr>
              <w:t>(2,500)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32,460</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(12,174)</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(355,271)</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2,891,740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Common Stock, $1.608 per share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Class B Common Stock, $1.462 per share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32"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3" w:lineRule="exact"/>
        <w:rPr>
          <w:sz w:val="20"/>
          <w:szCs w:val="20"/>
          <w:color w:val="auto"/>
        </w:rPr>
      </w:pPr>
    </w:p>
    <w:p>
      <w:pPr>
        <w:ind w:left="20" w:right="760"/>
        <w:spacing w:after="0" w:line="338" w:lineRule="auto"/>
        <w:rPr>
          <w:sz w:val="20"/>
          <w:szCs w:val="20"/>
          <w:color w:val="auto"/>
        </w:rPr>
      </w:pPr>
      <w:r>
        <w:rPr>
          <w:rFonts w:ascii="Times New Roman" w:cs="Times New Roman" w:eastAsia="Times New Roman" w:hAnsi="Times New Roman"/>
          <w:sz w:val="13"/>
          <w:szCs w:val="13"/>
          <w:color w:val="auto"/>
        </w:rPr>
        <w:t>Repurchase of common stock Divestiture of noncontrolling interest</w:t>
      </w:r>
    </w:p>
    <w:p>
      <w:pPr>
        <w:ind w:left="20"/>
        <w:spacing w:after="0"/>
        <w:rPr>
          <w:sz w:val="20"/>
          <w:szCs w:val="20"/>
          <w:color w:val="auto"/>
        </w:rPr>
      </w:pPr>
      <w:r>
        <w:rPr>
          <w:rFonts w:ascii="Times New Roman" w:cs="Times New Roman" w:eastAsia="Times New Roman" w:hAnsi="Times New Roman"/>
          <w:sz w:val="14"/>
          <w:szCs w:val="14"/>
          <w:b w:val="1"/>
          <w:bCs w:val="1"/>
          <w:color w:val="auto"/>
        </w:rPr>
        <w:t>Balance, July 4, 2021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7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 w:type="dxa"/>
            <w:vAlign w:val="bottom"/>
          </w:tcPr>
          <w:p>
            <w:pPr>
              <w:spacing w:after="0"/>
              <w:rPr>
                <w:sz w:val="12"/>
                <w:szCs w:val="12"/>
                <w:color w:val="auto"/>
              </w:rPr>
            </w:pPr>
          </w:p>
        </w:tc>
        <w:tc>
          <w:tcPr>
            <w:tcW w:w="9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9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1,191,200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1,928,673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(768,992)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(338,082)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5"/>
              </w:rPr>
              <w:t>3,531</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2,237,883</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w w:val="95"/>
              </w:rPr>
              <w:t>1,072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698,101</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w w:val="95"/>
              </w:rPr>
              <w:t>5,254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47,200</w:t>
            </w:r>
          </w:p>
        </w:tc>
        <w:tc>
          <w:tcPr>
            <w:tcW w:w="0" w:type="dxa"/>
            <w:vAlign w:val="bottom"/>
          </w:tcPr>
          <w:p>
            <w:pPr>
              <w:spacing w:after="0"/>
              <w:rPr>
                <w:sz w:val="1"/>
                <w:szCs w:val="1"/>
                <w:color w:val="auto"/>
              </w:rPr>
            </w:pPr>
          </w:p>
        </w:tc>
      </w:tr>
      <w:tr>
        <w:trPr>
          <w:trHeight w:val="38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(235,280)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(88,617)</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33,076</w:t>
            </w: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(434,346)</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w w:val="97"/>
              </w:rPr>
              <w:t>(1,013)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1,218,708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2,301,805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(1,180,881)</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(296,136)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5"/>
              </w:rPr>
              <w:t>8,844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2,273,893</w:t>
            </w:r>
          </w:p>
        </w:tc>
        <w:tc>
          <w:tcPr>
            <w:tcW w:w="0" w:type="dxa"/>
            <w:vAlign w:val="bottom"/>
          </w:tcPr>
          <w:p>
            <w:pPr>
              <w:spacing w:after="0"/>
              <w:rPr>
                <w:sz w:val="1"/>
                <w:szCs w:val="1"/>
                <w:color w:val="auto"/>
              </w:rPr>
            </w:pPr>
          </w:p>
        </w:tc>
      </w:tr>
      <w:tr>
        <w:trPr>
          <w:trHeight w:val="26"/>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-1480820</wp:posOffset>
            </wp:positionV>
            <wp:extent cx="7138670"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-1227455</wp:posOffset>
            </wp:positionV>
            <wp:extent cx="7138670" cy="122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-981710</wp:posOffset>
            </wp:positionV>
            <wp:extent cx="7138670"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-735965</wp:posOffset>
            </wp:positionV>
            <wp:extent cx="7138670"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-408940</wp:posOffset>
            </wp:positionV>
            <wp:extent cx="7138670"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-163195</wp:posOffset>
            </wp:positionV>
            <wp:extent cx="7138670" cy="147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100"/>
            <w:col w:w="8320"/>
          </w:cols>
          <w:pgMar w:left="320" w:top="1183" w:right="339" w:bottom="1440" w:gutter="0" w:footer="0" w:header="0"/>
          <w:type w:val="continuous"/>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568325</wp:posOffset>
            </wp:positionV>
            <wp:extent cx="188595" cy="16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8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5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Operating results for the quarter ended July 3, 2022 may not be indicative of the results that may be expected for the year ending December 31, 2022 because of seasonal effects on our business. These financial statements should be read in conjunction with our Annual Report on Form 10-K for the year ended December 31, 2021 (our “2021 Annual Report on Form 10-K”), which provides a more complete understanding of our accounting policies, financial position, operating results and other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However, beginning in 2021 and continuing into 2022, ongoing strong demand for consumer goods and the effects of COVID-19 mitigation strategies have led to broad-based supply chain disruptions across the U.S. and globally, including inflation on many consumer products, labor shortages and demand outpacing supply. We continue to work closely with our business units, contract manufacturers, distributors, contractors and other external business partners to minimize the potential impact on our business.</w:t>
      </w:r>
    </w:p>
    <w:p>
      <w:pPr>
        <w:spacing w:after="0" w:line="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ultimate impact that COVID-19 will have on our consolidated financial statements remains uncertain and ultimately will be dictated by the length and severity of the pandemic, including broad-based supply chain disruptions, rising levels of inflation, the spread of COVID-19 variants or resurgences, as well as the economic recovery and actions taken in response by local, state and national governments around the world, including the distribution of vaccinations. We will continue to evaluate the nature and extent of these potential and evolving impacts to our business and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 xml:space="preserve">In March 2020, the Financial Accounting Standards Board (“FASB”) issued Accounting Standards Update (“ASU”) No. 2020-04, </w:t>
      </w:r>
      <w:r>
        <w:rPr>
          <w:rFonts w:ascii="Times New Roman" w:cs="Times New Roman" w:eastAsia="Times New Roman" w:hAnsi="Times New Roman"/>
          <w:sz w:val="17"/>
          <w:szCs w:val="17"/>
          <w:i w:val="1"/>
          <w:iCs w:val="1"/>
          <w:color w:val="auto"/>
        </w:rPr>
        <w:t>Reference Rate Reform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848): Facilitation of the Effects of Reference Rate Reform on Financial Reporting</w:t>
      </w:r>
      <w:r>
        <w:rPr>
          <w:rFonts w:ascii="Times New Roman" w:cs="Times New Roman" w:eastAsia="Times New Roman" w:hAnsi="Times New Roman"/>
          <w:sz w:val="17"/>
          <w:szCs w:val="17"/>
          <w:color w:val="auto"/>
        </w:rPr>
        <w:t>. The ASU is intended to provide temporary optional expedients and exceptions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GAAP guidance on contract modifications and hedge accounting to ease the financial reporting burdens related to the expected market transition from the London Interbank Offered Rate (LIBOR) and other interbank offered rates to alternative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248285</wp:posOffset>
            </wp:positionV>
            <wp:extent cx="188595" cy="163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rates. Entities may apply this ASU upon issuance through December 31, 2022 on a prospective basis. We early adopted the provisions of this ASU in the first quarter of 2022. Adoption of the new standard did not have a material impact on our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In October 2021, the FASB issued ASU No. 2021-08,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with Customers. </w:t>
      </w:r>
      <w:r>
        <w:rPr>
          <w:rFonts w:ascii="Times New Roman" w:cs="Times New Roman" w:eastAsia="Times New Roman" w:hAnsi="Times New Roman"/>
          <w:sz w:val="17"/>
          <w:szCs w:val="17"/>
          <w:color w:val="auto"/>
        </w:rPr>
        <w:t>This ASU requires an acquirer to recognize and measure contract assets and contract liabilities acquired in a business combination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Evaluation of this new standard is dependent on multiple circumstances including the timing and complexity of completed business combinations. As a result, we intend to adopt the provisions of this ASU in the first quarter of 2023.</w:t>
      </w:r>
    </w:p>
    <w:p>
      <w:pPr>
        <w:spacing w:after="0" w:line="12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No other new accounting pronouncement issued or effective during the fiscal year had or is expected to have a material impact on our consolidated financial statements or disclosures.</w:t>
      </w:r>
    </w:p>
    <w:p>
      <w:pPr>
        <w:spacing w:after="0" w:line="186" w:lineRule="exact"/>
        <w:rPr>
          <w:sz w:val="20"/>
          <w:szCs w:val="20"/>
          <w:color w:val="auto"/>
        </w:rPr>
      </w:pPr>
    </w:p>
    <w:p>
      <w:pPr>
        <w:ind w:right="7280" w:firstLine="3"/>
        <w:spacing w:after="0" w:line="445" w:lineRule="auto"/>
        <w:tabs>
          <w:tab w:leader="none" w:pos="17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AND DIVESTITURE 2021 Activity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Pretzels Inc.</w:t>
      </w:r>
    </w:p>
    <w:p>
      <w:pPr>
        <w:spacing w:after="0" w:line="16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initial cash consideration paid for Pretzels totaled $304,334 and consisted of cash on hand and short-term borrowings. Acquisition-related costs for the Pretzels acquisition were immaterial.</w:t>
      </w:r>
    </w:p>
    <w:p>
      <w:pPr>
        <w:spacing w:after="0" w:line="122"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Initial Allocation (1)</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Updated Allocation</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165,301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166,191</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26,100</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acquired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30,835</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96,099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100,716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 primarily operating lease ROU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111,787</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 assumed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(22,713)</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primarily operating lease liabilities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(109,355)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(109,355)</w:t>
            </w:r>
          </w:p>
        </w:tc>
      </w:tr>
      <w:tr>
        <w:trPr>
          <w:trHeight w:val="237"/>
        </w:trPr>
        <w:tc>
          <w:tcPr>
            <w:tcW w:w="5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304,334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As reported in the Company’s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778510</wp:posOffset>
            </wp:positionV>
            <wp:extent cx="188595" cy="163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purchase price allocation presented above is preliminary. The measurement period adjustments to the initial allocation are based on more detailed information obtained about the specific assets acquired. We are in the process of evaluating additional information necessary to finalize the valuation of assets acquired and liabilities assumed as of the acquisition date including, but not limited to, post-closing adjustments to the working capital acquired including certain holdbacks. The final fair value determination could result in material adjustments to the values presented in the preliminary purchase price allocation, including other intangible assets, goodwill and the related tax impact of such adjustments. We expect to finalize the purchase price allocation by the end of the third quarter of 2022.</w:t>
      </w:r>
    </w:p>
    <w:p>
      <w:pPr>
        <w:spacing w:after="0" w:line="33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Goodwill was determined as the excess of the purchase price over the fair value of the net assets acquired (including the identifiable intangible assets). A portion of goodwill derived from this acquisition is expected to be deductible for tax purposes and reflects the value of leveraging our brand building expertise, supply chain capabilities and retail relationships to accelerate growth and access to the portfolio of Pretzels’ products.</w:t>
      </w:r>
    </w:p>
    <w:p>
      <w:pPr>
        <w:spacing w:after="0" w:line="11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Dot's Pretzels, LLC</w:t>
      </w:r>
    </w:p>
    <w:p>
      <w:pPr>
        <w:spacing w:after="0" w:line="16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7"/>
          <w:szCs w:val="17"/>
          <w:i w:val="1"/>
          <w:iCs w:val="1"/>
          <w:color w:val="auto"/>
        </w:rPr>
        <w:t>Dot’s Homestyle Pretzels</w:t>
      </w:r>
      <w:r>
        <w:rPr>
          <w:rFonts w:ascii="Times New Roman" w:cs="Times New Roman" w:eastAsia="Times New Roman" w:hAnsi="Times New Roman"/>
          <w:sz w:val="17"/>
          <w:szCs w:val="17"/>
          <w:color w:val="auto"/>
        </w:rPr>
        <w:t xml:space="preserve"> snacks as its primary product. Dot’s is the fastest-growing scale brand in the pretzel category and complements Hershey’s snacks portfolio. The initial cash consideration paid for Dot’s totaled $894,166 and consisted of cash on hand and short-term borrowings. Acquisition-related costs for the Dot’s acquisition were immaterial.</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Initial Allocation (1)</w:t>
            </w:r>
          </w:p>
        </w:tc>
        <w:tc>
          <w:tcPr>
            <w:tcW w:w="32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220" w:type="dxa"/>
            <w:vAlign w:val="bottom"/>
          </w:tcPr>
          <w:p>
            <w:pPr>
              <w:spacing w:after="0"/>
              <w:rPr>
                <w:sz w:val="17"/>
                <w:szCs w:val="17"/>
                <w:color w:val="auto"/>
              </w:rPr>
            </w:pPr>
          </w:p>
        </w:tc>
        <w:tc>
          <w:tcPr>
            <w:tcW w:w="1700" w:type="dxa"/>
            <w:vAlign w:val="bottom"/>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Updated Allocation</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303,345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288,385</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543,100</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acquired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51,121</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40,266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r>
      <w:tr>
        <w:trPr>
          <w:trHeight w:val="21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 assumed, primarily 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(30,907)</w:t>
            </w:r>
          </w:p>
        </w:tc>
      </w:tr>
      <w:tr>
        <w:trPr>
          <w:trHeight w:val="237"/>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894,166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894,166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As reported in the Company’s 2021 Annual Report on Form 10-K.</w:t>
      </w:r>
    </w:p>
    <w:p>
      <w:pPr>
        <w:spacing w:after="0" w:line="1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purchase price allocation presented above is preliminary. The measurement period adjustments, specifically to other intangible assets and resulting impact on the valuation of goodwill, are principally related to the refinement of certain assumptions in the value of customer relationships based on an analysis of historical customer-specific data. The remaining measurement period adjustments to the initial allocation are based on more detailed information obtained about the specific assets acquired and liabilities assumed. We are in the process of evaluating additional information necessary to finalize the valuation of assets acquired and liabilities assumed as of the acquisition date including, but not limited to, post-closing adjustments to the working capital acquired including certain holdbacks. The final fair value determination could result in material adjustments to the values presented in the preliminary purchase price allocation, including other intangible assets and goodwill. We expect to finalize the purchase price allocation by the end of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255270</wp:posOffset>
            </wp:positionV>
            <wp:extent cx="188595" cy="163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Dot’s products.</w:t>
      </w:r>
    </w:p>
    <w:p>
      <w:pPr>
        <w:spacing w:after="0" w:line="11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Other intangible assets include trademarks valued at $336,600 and customer relationships valued at $206,500. Trademarks were assigned an estimated useful life of 33 years and customer relationships were assigned an estimated useful life of 18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Lily's Sweets, LLC</w:t>
      </w:r>
    </w:p>
    <w:p>
      <w:pPr>
        <w:spacing w:after="0" w:line="16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cash consideration paid for Lily’s totaled $422,210 and the Company may be required to pay additional cash consideration if certain defined targets related to net sales and gross margin were exceeded during the period from the closing date through December 31, 2021. As of the acquisition date, the estimated fair value of the contingent consideration obligation was classified as a liability of $5,000 and was determined using a scenario-based analysis on forecasted future results. Based on financial results through December 31, 2021, the fair value was reduced during the fourth quarter of 2021 to $1,250, with the adjustment to fair value recorded in the selling, marketing and administrative (“SM&amp;A”) expense caption within the Consolidated Statements of Income. We paid this contingent consideration during the second quarter of 2022. Acquisition-related costs for the Lily’s acquisition were immaterial.</w:t>
      </w:r>
    </w:p>
    <w:p>
      <w:pPr>
        <w:spacing w:after="0" w:line="205"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Lily’s has been included within the North America Confectionery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175,826</w:t>
            </w:r>
          </w:p>
        </w:tc>
      </w:tr>
      <w:tr>
        <w:trPr>
          <w:trHeight w:val="219"/>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235,800</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acquired, primarily current assets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33,092</w:t>
            </w:r>
          </w:p>
        </w:tc>
      </w:tr>
      <w:tr>
        <w:trPr>
          <w:trHeight w:val="219"/>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 assumed, primarily current liabilities</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(9,620)</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(7,888)</w:t>
            </w:r>
          </w:p>
        </w:tc>
      </w:tr>
      <w:tr>
        <w:trPr>
          <w:trHeight w:val="212"/>
        </w:trPr>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assets acquired</w:t>
            </w: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427,210</w:t>
            </w: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purchase price allocation presented above has been finalized as of the fourth quarter of 2021 and includes an immaterial amount of measurement period adjustments. The measurement period adjustments to the initial allocation were based on more detailed information obtained about the specific assets acquired and liabilities assumed.</w:t>
      </w:r>
    </w:p>
    <w:p>
      <w:pPr>
        <w:spacing w:after="0" w:line="19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Goodwill was determined as the excess of the purchase price over the fair value of the net assets acquired (including the identifiable intangible assets). The majority of goodwill derived from this acquisition is expected to be deductible for tax purposes and reflects the value of leveraging our brand building expertise, supply chain capabilities and retail relationships to accelerate growth and access to the portfolio of Lily’s products.</w:t>
      </w:r>
    </w:p>
    <w:p>
      <w:pPr>
        <w:spacing w:after="0" w:line="19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Lotte Shanghai Foods Co., Ltd.</w:t>
      </w:r>
    </w:p>
    <w:p>
      <w:pPr>
        <w:spacing w:after="0" w:line="16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January 2021, we completed the divestiture of Lotte Shanghai Foods Co., Ltd., which was previously included within the International segment results in our consolidated financial statements. Total proceeds from the divestiture and the impact on our consolidated financial statements were immaterial and were recorded in the SM&amp;A expense caption within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250825</wp:posOffset>
            </wp:positionV>
            <wp:extent cx="188595" cy="163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3. GOODWILL AND INTANGIBLE ASSETS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44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The changes in the carrying value of goodwill by reportable segment for the six months ended July 3, 2022 are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North America</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North America Salty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International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vMerge w:val="restart"/>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Confectionery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Snacks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2,026,006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589,798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2,633,174</w:t>
            </w:r>
          </w:p>
        </w:tc>
        <w:tc>
          <w:tcPr>
            <w:tcW w:w="0" w:type="dxa"/>
            <w:vAlign w:val="bottom"/>
          </w:tcPr>
          <w:p>
            <w:pPr>
              <w:spacing w:after="0"/>
              <w:rPr>
                <w:sz w:val="1"/>
                <w:szCs w:val="1"/>
                <w:color w:val="auto"/>
              </w:rPr>
            </w:pPr>
          </w:p>
        </w:tc>
      </w:tr>
      <w:tr>
        <w:trPr>
          <w:trHeight w:val="190"/>
        </w:trPr>
        <w:tc>
          <w:tcPr>
            <w:tcW w:w="36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Measurement period adjustments (see </w:t>
            </w:r>
            <w:r>
              <w:rPr>
                <w:rFonts w:ascii="Times New Roman" w:cs="Times New Roman" w:eastAsia="Times New Roman" w:hAnsi="Times New Roman"/>
                <w:sz w:val="17"/>
                <w:szCs w:val="17"/>
                <w:color w:val="0000FF"/>
              </w:rPr>
              <w:t>Note 2</w:t>
            </w:r>
            <w:r>
              <w:rPr>
                <w:rFonts w:ascii="Times New Roman" w:cs="Times New Roman" w:eastAsia="Times New Roman" w:hAnsi="Times New Roman"/>
                <w:sz w:val="17"/>
                <w:szCs w:val="17"/>
                <w:color w:val="auto"/>
              </w:rPr>
              <w: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(14,070)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(14,070)</w:t>
            </w: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460" w:type="dxa"/>
            <w:vAlign w:val="bottom"/>
            <w:tcBorders>
              <w:top w:val="single" w:sz="8" w:color="0000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97"/>
              </w:rPr>
              <w:t>(411)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0" w:type="dxa"/>
            <w:vAlign w:val="bottom"/>
          </w:tcPr>
          <w:p>
            <w:pPr>
              <w:spacing w:after="0"/>
              <w:rPr>
                <w:sz w:val="1"/>
                <w:szCs w:val="1"/>
                <w:color w:val="auto"/>
              </w:rPr>
            </w:pPr>
          </w:p>
        </w:tc>
      </w:tr>
      <w:tr>
        <w:trPr>
          <w:trHeight w:val="212"/>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July 3,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2,023,810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575,728</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2,616,497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44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The following table provides the gross carrying amount and accumulated amortization for each major class of intangible asset: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July 3, 2022</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40" w:type="dxa"/>
            <w:vAlign w:val="bottom"/>
            <w:gridSpan w:val="4"/>
          </w:tcPr>
          <w:p>
            <w:pPr>
              <w:jc w:val="right"/>
              <w:ind w:right="94"/>
              <w:spacing w:after="0" w:line="161"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jc w:val="right"/>
              <w:ind w:right="194"/>
              <w:spacing w:after="0" w:line="16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
              <w:spacing w:after="0" w:line="161"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194"/>
              <w:spacing w:after="0" w:line="16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0" w:type="dxa"/>
            <w:vAlign w:val="bottom"/>
          </w:tcPr>
          <w:p>
            <w:pPr>
              <w:spacing w:after="0"/>
              <w:rPr>
                <w:sz w:val="1"/>
                <w:szCs w:val="1"/>
                <w:color w:val="auto"/>
              </w:rPr>
            </w:pPr>
          </w:p>
        </w:tc>
      </w:tr>
      <w:tr>
        <w:trPr>
          <w:trHeight w:val="202"/>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Trademarks</w:t>
            </w:r>
          </w:p>
        </w:tc>
        <w:tc>
          <w:tcPr>
            <w:tcW w:w="180" w:type="dxa"/>
            <w:vAlign w:val="bottom"/>
          </w:tcPr>
          <w:p>
            <w:pPr>
              <w:spacing w:after="0"/>
              <w:rPr>
                <w:sz w:val="19"/>
                <w:szCs w:val="19"/>
                <w:color w:val="auto"/>
              </w:rPr>
            </w:pPr>
          </w:p>
        </w:tc>
        <w:tc>
          <w:tcPr>
            <w:tcW w:w="1620" w:type="dxa"/>
            <w:vAlign w:val="bottom"/>
            <w:gridSpan w:val="2"/>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6"/>
              </w:rPr>
              <w:t>1,703,938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(166,207)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1,705,390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(141,760)</w:t>
            </w:r>
          </w:p>
        </w:tc>
        <w:tc>
          <w:tcPr>
            <w:tcW w:w="0" w:type="dxa"/>
            <w:vAlign w:val="bottom"/>
          </w:tcPr>
          <w:p>
            <w:pPr>
              <w:spacing w:after="0"/>
              <w:rPr>
                <w:sz w:val="1"/>
                <w:szCs w:val="1"/>
                <w:color w:val="auto"/>
              </w:rPr>
            </w:pPr>
          </w:p>
        </w:tc>
      </w:tr>
      <w:tr>
        <w:trPr>
          <w:trHeight w:val="219"/>
        </w:trPr>
        <w:tc>
          <w:tcPr>
            <w:tcW w:w="3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Customer-related</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(65,131)</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Patents</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8,458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(8,458)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0" w:type="dxa"/>
            <w:vAlign w:val="bottom"/>
          </w:tcPr>
          <w:p>
            <w:pPr>
              <w:spacing w:after="0"/>
              <w:rPr>
                <w:sz w:val="1"/>
                <w:szCs w:val="1"/>
                <w:color w:val="auto"/>
              </w:rPr>
            </w:pPr>
          </w:p>
        </w:tc>
      </w:tr>
      <w:tr>
        <w:trPr>
          <w:trHeight w:val="212"/>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2,227,203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2,218,680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(215,514)</w:t>
            </w:r>
          </w:p>
        </w:tc>
        <w:tc>
          <w:tcPr>
            <w:tcW w:w="0" w:type="dxa"/>
            <w:vAlign w:val="bottom"/>
          </w:tcPr>
          <w:p>
            <w:pPr>
              <w:spacing w:after="0"/>
              <w:rPr>
                <w:sz w:val="1"/>
                <w:szCs w:val="1"/>
                <w:color w:val="auto"/>
              </w:rPr>
            </w:pPr>
          </w:p>
        </w:tc>
      </w:tr>
      <w:tr>
        <w:trPr>
          <w:trHeight w:val="258"/>
        </w:trPr>
        <w:tc>
          <w:tcPr>
            <w:tcW w:w="3680" w:type="dxa"/>
            <w:vAlign w:val="bottom"/>
            <w:gridSpan w:val="3"/>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not subject to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Trademarks</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34,851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34,422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2,007,748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2,037,588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 xml:space="preserve">Total amortization expense for the three months ended July 3, 2022 and July 4, 2021 was $20,060 and $11,635, respectively. Total amortization expense for the six months ended July 3, 2022 and July 4, 2021 was $39,918 and $23,256, respectively. In 2022, our amortization expense increased as a result of our 2021 business combination activity (see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SHORT AND LONG-TERM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 Debt</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5"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financial and other covenants, customary representations, warranties and events of default. As of July 3, 2022, we were in compliance with all covenants pertaining to the credit agreement, and we had no significant compensating balance agreements that legally restricted these funds. For more information, refer to the Consolidated Financial Statements included in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450850</wp:posOffset>
            </wp:positionV>
            <wp:extent cx="188595" cy="163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348" w:lineRule="exact"/>
        <w:rPr>
          <w:sz w:val="20"/>
          <w:szCs w:val="20"/>
          <w:color w:val="auto"/>
        </w:rPr>
      </w:pPr>
    </w:p>
    <w:p>
      <w:pPr>
        <w:ind w:left="20" w:right="640"/>
        <w:spacing w:after="0" w:line="277" w:lineRule="auto"/>
        <w:rPr>
          <w:sz w:val="20"/>
          <w:szCs w:val="20"/>
          <w:color w:val="auto"/>
        </w:rPr>
      </w:pPr>
      <w:r>
        <w:rPr>
          <w:rFonts w:ascii="Times New Roman" w:cs="Times New Roman" w:eastAsia="Times New Roman" w:hAnsi="Times New Roman"/>
          <w:sz w:val="17"/>
          <w:szCs w:val="17"/>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foreign bank borrowings against lines of credit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130,919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119,038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U.S. commercial paper</w:t>
            </w:r>
          </w:p>
        </w:tc>
        <w:tc>
          <w:tcPr>
            <w:tcW w:w="1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783,997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820,385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debt</w:t>
            </w: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914,916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939,423</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bottom w:val="single" w:sz="8" w:color="CCEEFF"/>
            </w:tcBorders>
            <w:gridSpan w:val="9"/>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on outstanding commercial paper</w:t>
            </w: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gridSpan w:val="9"/>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Long-term Debt</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Long-term debt consisted of the following:</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7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Debt Type and Rate</w:t>
            </w: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2.625%</w:t>
            </w:r>
          </w:p>
        </w:tc>
        <w:tc>
          <w:tcPr>
            <w:tcW w:w="21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jc w:val="center"/>
              <w:ind w:right="214"/>
              <w:spacing w:after="0"/>
              <w:rPr>
                <w:sz w:val="20"/>
                <w:szCs w:val="20"/>
                <w:color w:val="auto"/>
              </w:rPr>
            </w:pPr>
            <w:r>
              <w:rPr>
                <w:rFonts w:ascii="Times New Roman" w:cs="Times New Roman" w:eastAsia="Times New Roman" w:hAnsi="Times New Roman"/>
                <w:sz w:val="17"/>
                <w:szCs w:val="17"/>
                <w:color w:val="auto"/>
              </w:rPr>
              <w:t>May 1, 2023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3.375%</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color w:val="auto"/>
              </w:rPr>
              <w:t>May 15,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2.050%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November 15, 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0.900%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color w:val="auto"/>
              </w:rPr>
              <w:t>June 1, 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3.200%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rPr>
              <w:t>August 21, 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2.300%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color w:val="auto"/>
              </w:rPr>
              <w:t>August 15, 2026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7.200%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Debentures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rPr>
              <w:t>August 15, 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193,639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2.450%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color w:val="auto"/>
              </w:rPr>
              <w:t>November 15, 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1.700%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June 1, 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3.375%</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color w:val="auto"/>
              </w:rPr>
              <w:t>August 15, 2046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3.125%</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November 15, 2049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2.650%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color w:val="auto"/>
              </w:rPr>
              <w:t>June 1, 2050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Finance lease obligations (see </w:t>
            </w:r>
            <w:r>
              <w:rPr>
                <w:rFonts w:ascii="Times New Roman" w:cs="Times New Roman" w:eastAsia="Times New Roman" w:hAnsi="Times New Roman"/>
                <w:sz w:val="17"/>
                <w:szCs w:val="17"/>
                <w:color w:val="0000FF"/>
              </w:rPr>
              <w:t>Note 7</w:t>
            </w: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7"/>
                <w:szCs w:val="17"/>
                <w:color w:val="auto"/>
              </w:rPr>
              <w:t>70,622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69,146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08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7"/>
                <w:szCs w:val="17"/>
                <w:color w:val="auto"/>
              </w:rPr>
              <w:t>Net impact of interest rate swaps, debt issuance costs and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unamortized debt discounts</w:t>
            </w:r>
          </w:p>
        </w:tc>
        <w:tc>
          <w:tcPr>
            <w:tcW w:w="1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(21,216)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4,093,045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4,089,471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Less—current portion</w:t>
            </w:r>
          </w:p>
        </w:tc>
        <w:tc>
          <w:tcPr>
            <w:tcW w:w="1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752,573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portion</w:t>
            </w: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3,340,472</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4,086,627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76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interest expense consists of the following:</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80" w:type="dxa"/>
            <w:vAlign w:val="bottom"/>
            <w:gridSpan w:val="9"/>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8"/>
          </w:tcPr>
          <w:p>
            <w:pPr>
              <w:ind w:left="12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top w:val="single" w:sz="8" w:color="auto"/>
            </w:tcBorders>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1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320" w:type="dxa"/>
            <w:vAlign w:val="bottom"/>
            <w:tcBorders>
              <w:top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35,635</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34,768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71,006</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73,531</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(1,833)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(3,084)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7"/>
                <w:szCs w:val="17"/>
                <w:color w:val="auto"/>
              </w:rPr>
              <w:t>(4,801)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33,802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31,684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68,730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7"/>
                <w:szCs w:val="17"/>
                <w:color w:val="auto"/>
              </w:rPr>
              <w:t>(1,229)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320" w:type="dxa"/>
            <w:vAlign w:val="bottom"/>
            <w:tcBorders>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33,413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31,065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66,592</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67,501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6956425</wp:posOffset>
            </wp:positionH>
            <wp:positionV relativeFrom="paragraph">
              <wp:posOffset>761365</wp:posOffset>
            </wp:positionV>
            <wp:extent cx="188595" cy="163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DERIVATIVE INSTRUMENTS</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14" w:lineRule="exact"/>
        <w:rPr>
          <w:sz w:val="20"/>
          <w:szCs w:val="20"/>
          <w:color w:val="auto"/>
        </w:rPr>
      </w:pPr>
    </w:p>
    <w:p>
      <w:pPr>
        <w:jc w:val="both"/>
        <w:ind w:right="340"/>
        <w:spacing w:after="0" w:line="264" w:lineRule="auto"/>
        <w:rPr>
          <w:sz w:val="20"/>
          <w:szCs w:val="20"/>
          <w:color w:val="auto"/>
        </w:rPr>
      </w:pPr>
      <w:r>
        <w:rPr>
          <w:rFonts w:ascii="Times New Roman" w:cs="Times New Roman" w:eastAsia="Times New Roman" w:hAnsi="Times New Roman"/>
          <w:sz w:val="17"/>
          <w:szCs w:val="17"/>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16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$479,441 as of July 3, 2022 and $313,200 as of December 31, 2021.</w:t>
      </w:r>
    </w:p>
    <w:p>
      <w:pPr>
        <w:spacing w:after="0" w:line="114"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7"/>
          <w:szCs w:val="17"/>
          <w:u w:val="single" w:color="auto"/>
          <w:color w:val="0000FF"/>
        </w:rPr>
        <w:t>Note 13</w:t>
      </w:r>
      <w:r>
        <w:rPr>
          <w:rFonts w:ascii="Times New Roman" w:cs="Times New Roman" w:eastAsia="Times New Roman" w:hAnsi="Times New Roman"/>
          <w:sz w:val="17"/>
          <w:szCs w:val="17"/>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Exchange Price Risk</w:t>
      </w:r>
    </w:p>
    <w:p>
      <w:pPr>
        <w:spacing w:after="0" w:line="9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$111,898 at July 3, 2022 and $94,623 at December 31, 2021.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$358 at July 3, 2022 and $2,993 at December 31, 2021. The change in fair value on these instruments is recorded directly in cost of sales or selling, marketing and administrative expense, depending on the nature of the underlying exposure.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Price Risk</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July 3, 2022 and December 31, 2021 was $23,934 and $24,975,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252095</wp:posOffset>
            </wp:positionV>
            <wp:extent cx="188595" cy="163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classification of derivative assets and liabilities within the Consolidated Balance Sheets as of July 3, 2022 and December 31,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July 3, 2022</w:t>
            </w:r>
          </w:p>
        </w:tc>
        <w:tc>
          <w:tcPr>
            <w:tcW w:w="260" w:type="dxa"/>
            <w:vAlign w:val="bottom"/>
          </w:tcPr>
          <w:p>
            <w:pPr>
              <w:spacing w:after="0"/>
              <w:rPr>
                <w:sz w:val="19"/>
                <w:szCs w:val="19"/>
                <w:color w:val="auto"/>
              </w:rPr>
            </w:pPr>
          </w:p>
        </w:tc>
        <w:tc>
          <w:tcPr>
            <w:tcW w:w="298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4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Liabilities (1)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Liabilities (1)</w:t>
            </w:r>
          </w:p>
        </w:tc>
      </w:tr>
      <w:tr>
        <w:trPr>
          <w:trHeight w:val="19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58"/>
        </w:trPr>
        <w:tc>
          <w:tcPr>
            <w:tcW w:w="4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derivatives</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460" w:right="540" w:hanging="302"/>
        <w:spacing w:after="0" w:line="284" w:lineRule="auto"/>
        <w:tabs>
          <w:tab w:leader="none" w:pos="45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7"/>
          <w:szCs w:val="17"/>
          <w:color w:val="auto"/>
        </w:rPr>
      </w:pPr>
    </w:p>
    <w:p>
      <w:pPr>
        <w:ind w:left="460" w:right="80" w:hanging="302"/>
        <w:spacing w:after="0" w:line="264" w:lineRule="auto"/>
        <w:tabs>
          <w:tab w:leader="none" w:pos="45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July 3, 2022, amounts reflected on a net basis in liabilities were assets of $44,546 and liabilities of $50,192, which are associated with cash transfers receivable or payable on commodities futures contracts reflecting the change in quoted market prices on the last trading day for the period. The comparable amounts reflected on a net basis in liabilities at December 31, 2021 were assets of $31,774 and liabilities of $32,701. At July 3, 2022 and December 31, 2021, the remaining amount reflected in assets and liabilities related to the fair value of other non-exchange traded derivative instruments,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Statement Impact of Derivative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derivative instruments on the Consolidated Statements of Income for the three months ended July 3, 2022 and July 4, 2021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5"/>
                <w:szCs w:val="15"/>
                <w:b w:val="1"/>
                <w:bCs w:val="1"/>
                <w:color w:val="auto"/>
              </w:rPr>
              <w:t>Non-designated Hedges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Cash Flow Hedges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Gains (losses) recognized in income</w:t>
            </w:r>
          </w:p>
        </w:tc>
        <w:tc>
          <w:tcPr>
            <w:tcW w:w="140" w:type="dxa"/>
            <w:vAlign w:val="bottom"/>
          </w:tcPr>
          <w:p>
            <w:pPr>
              <w:spacing w:after="0"/>
              <w:rPr>
                <w:sz w:val="13"/>
                <w:szCs w:val="13"/>
                <w:color w:val="auto"/>
              </w:rPr>
            </w:pPr>
          </w:p>
        </w:tc>
        <w:tc>
          <w:tcPr>
            <w:tcW w:w="248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Gains (losses) recognized in other</w:t>
            </w:r>
          </w:p>
        </w:tc>
        <w:tc>
          <w:tcPr>
            <w:tcW w:w="120" w:type="dxa"/>
            <w:vAlign w:val="bottom"/>
          </w:tcPr>
          <w:p>
            <w:pPr>
              <w:spacing w:after="0"/>
              <w:rPr>
                <w:sz w:val="13"/>
                <w:szCs w:val="13"/>
                <w:color w:val="auto"/>
              </w:rPr>
            </w:pPr>
          </w:p>
        </w:tc>
        <w:tc>
          <w:tcPr>
            <w:tcW w:w="2360" w:type="dxa"/>
            <w:vAlign w:val="bottom"/>
            <w:gridSpan w:val="4"/>
          </w:tcPr>
          <w:p>
            <w:pPr>
              <w:jc w:val="center"/>
              <w:ind w:right="36"/>
              <w:spacing w:after="0" w:line="151" w:lineRule="exact"/>
              <w:rPr>
                <w:sz w:val="20"/>
                <w:szCs w:val="20"/>
                <w:color w:val="auto"/>
              </w:rPr>
            </w:pPr>
            <w:r>
              <w:rPr>
                <w:rFonts w:ascii="Times New Roman" w:cs="Times New Roman" w:eastAsia="Times New Roman" w:hAnsi="Times New Roman"/>
                <w:sz w:val="15"/>
                <w:szCs w:val="15"/>
                <w:b w:val="1"/>
                <w:bCs w:val="1"/>
                <w:color w:val="auto"/>
              </w:rPr>
              <w:t>Gains (losses) reclassified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accumulated OCI (“AOCI”) into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center"/>
              <w:ind w:left="558"/>
              <w:spacing w:after="0"/>
              <w:rPr>
                <w:sz w:val="20"/>
                <w:szCs w:val="20"/>
                <w:color w:val="auto"/>
              </w:rPr>
            </w:pPr>
            <w:r>
              <w:rPr>
                <w:rFonts w:ascii="Times New Roman" w:cs="Times New Roman" w:eastAsia="Times New Roman" w:hAnsi="Times New Roman"/>
                <w:sz w:val="15"/>
                <w:szCs w:val="15"/>
                <w:b w:val="1"/>
                <w:bCs w:val="1"/>
                <w:color w:val="auto"/>
              </w:rPr>
              <w:t>(a)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comprehensive income (“OCI”)</w:t>
            </w:r>
          </w:p>
        </w:tc>
        <w:tc>
          <w:tcPr>
            <w:tcW w:w="120" w:type="dxa"/>
            <w:vAlign w:val="bottom"/>
          </w:tcPr>
          <w:p>
            <w:pPr>
              <w:spacing w:after="0"/>
              <w:rPr>
                <w:sz w:val="17"/>
                <w:szCs w:val="17"/>
                <w:color w:val="auto"/>
              </w:rPr>
            </w:pPr>
          </w:p>
        </w:tc>
        <w:tc>
          <w:tcPr>
            <w:tcW w:w="1540" w:type="dxa"/>
            <w:vAlign w:val="bottom"/>
            <w:gridSpan w:val="3"/>
          </w:tcPr>
          <w:p>
            <w:pPr>
              <w:jc w:val="center"/>
              <w:ind w:left="598"/>
              <w:spacing w:after="0"/>
              <w:rPr>
                <w:sz w:val="20"/>
                <w:szCs w:val="20"/>
                <w:color w:val="auto"/>
              </w:rPr>
            </w:pPr>
            <w:r>
              <w:rPr>
                <w:rFonts w:ascii="Times New Roman" w:cs="Times New Roman" w:eastAsia="Times New Roman" w:hAnsi="Times New Roman"/>
                <w:sz w:val="15"/>
                <w:szCs w:val="15"/>
                <w:b w:val="1"/>
                <w:bCs w:val="1"/>
                <w:color w:val="auto"/>
              </w:rPr>
              <w:t>income (b)</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Commodities futures and options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agreements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Deferred compensation derivatives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280" w:type="dxa"/>
            <w:vAlign w:val="bottom"/>
          </w:tcPr>
          <w:p>
            <w:pPr>
              <w:spacing w:after="0"/>
              <w:rPr>
                <w:sz w:val="24"/>
                <w:szCs w:val="24"/>
                <w:color w:val="auto"/>
              </w:rPr>
            </w:pPr>
          </w:p>
        </w:tc>
        <w:tc>
          <w:tcPr>
            <w:tcW w:w="3640" w:type="dxa"/>
            <w:vAlign w:val="bottom"/>
            <w:gridSpan w:val="8"/>
          </w:tcPr>
          <w:p>
            <w:pPr>
              <w:ind w:left="160"/>
              <w:spacing w:after="0"/>
              <w:rPr>
                <w:sz w:val="20"/>
                <w:szCs w:val="20"/>
                <w:color w:val="auto"/>
              </w:rPr>
            </w:pPr>
            <w:r>
              <w:rPr>
                <w:rFonts w:ascii="Times New Roman" w:cs="Times New Roman" w:eastAsia="Times New Roman" w:hAnsi="Times New Roman"/>
                <w:sz w:val="15"/>
                <w:szCs w:val="15"/>
                <w:color w:val="auto"/>
              </w:rPr>
              <w:t>The Hershey Company | Q2 2022 Form 10-Q | Page 15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-498475</wp:posOffset>
            </wp:positionV>
            <wp:extent cx="188595" cy="163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derivative instruments on the Consolidated Statements of Income for the six months ended July 3, 2022 and July 4, 2021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5"/>
                <w:szCs w:val="15"/>
                <w:b w:val="1"/>
                <w:bCs w:val="1"/>
                <w:color w:val="auto"/>
              </w:rPr>
              <w:t>Non-designated Hedges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Cash Flow Hedges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Gains (losses) recognized in income</w:t>
            </w:r>
          </w:p>
        </w:tc>
        <w:tc>
          <w:tcPr>
            <w:tcW w:w="140" w:type="dxa"/>
            <w:vAlign w:val="bottom"/>
          </w:tcPr>
          <w:p>
            <w:pPr>
              <w:spacing w:after="0"/>
              <w:rPr>
                <w:sz w:val="13"/>
                <w:szCs w:val="13"/>
                <w:color w:val="auto"/>
              </w:rPr>
            </w:pPr>
          </w:p>
        </w:tc>
        <w:tc>
          <w:tcPr>
            <w:tcW w:w="248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Gains (losses) recognized in other</w:t>
            </w:r>
          </w:p>
        </w:tc>
        <w:tc>
          <w:tcPr>
            <w:tcW w:w="120" w:type="dxa"/>
            <w:vAlign w:val="bottom"/>
          </w:tcPr>
          <w:p>
            <w:pPr>
              <w:spacing w:after="0"/>
              <w:rPr>
                <w:sz w:val="13"/>
                <w:szCs w:val="13"/>
                <w:color w:val="auto"/>
              </w:rPr>
            </w:pPr>
          </w:p>
        </w:tc>
        <w:tc>
          <w:tcPr>
            <w:tcW w:w="2360" w:type="dxa"/>
            <w:vAlign w:val="bottom"/>
            <w:gridSpan w:val="4"/>
          </w:tcPr>
          <w:p>
            <w:pPr>
              <w:jc w:val="center"/>
              <w:ind w:right="36"/>
              <w:spacing w:after="0" w:line="151" w:lineRule="exact"/>
              <w:rPr>
                <w:sz w:val="20"/>
                <w:szCs w:val="20"/>
                <w:color w:val="auto"/>
              </w:rPr>
            </w:pPr>
            <w:r>
              <w:rPr>
                <w:rFonts w:ascii="Times New Roman" w:cs="Times New Roman" w:eastAsia="Times New Roman" w:hAnsi="Times New Roman"/>
                <w:sz w:val="15"/>
                <w:szCs w:val="15"/>
                <w:b w:val="1"/>
                <w:bCs w:val="1"/>
                <w:color w:val="auto"/>
              </w:rPr>
              <w:t>Gains (losses) reclassified from</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4"/>
          </w:tcPr>
          <w:p>
            <w:pPr>
              <w:jc w:val="center"/>
              <w:ind w:right="36"/>
              <w:spacing w:after="0" w:line="155" w:lineRule="exact"/>
              <w:rPr>
                <w:sz w:val="20"/>
                <w:szCs w:val="20"/>
                <w:color w:val="auto"/>
              </w:rPr>
            </w:pPr>
            <w:r>
              <w:rPr>
                <w:rFonts w:ascii="Times New Roman" w:cs="Times New Roman" w:eastAsia="Times New Roman" w:hAnsi="Times New Roman"/>
                <w:sz w:val="15"/>
                <w:szCs w:val="15"/>
                <w:b w:val="1"/>
                <w:bCs w:val="1"/>
                <w:color w:val="auto"/>
              </w:rPr>
              <w:t>accumulated OCI (“AOCI”) into</w:t>
            </w:r>
          </w:p>
        </w:tc>
        <w:tc>
          <w:tcPr>
            <w:tcW w:w="0" w:type="dxa"/>
            <w:vAlign w:val="bottom"/>
          </w:tcPr>
          <w:p>
            <w:pPr>
              <w:spacing w:after="0"/>
              <w:rPr>
                <w:sz w:val="1"/>
                <w:szCs w:val="1"/>
                <w:color w:val="auto"/>
              </w:rPr>
            </w:pPr>
          </w:p>
        </w:tc>
      </w:tr>
      <w:tr>
        <w:trPr>
          <w:trHeight w:val="205"/>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center"/>
              <w:ind w:left="557"/>
              <w:spacing w:after="0"/>
              <w:rPr>
                <w:sz w:val="20"/>
                <w:szCs w:val="20"/>
                <w:color w:val="auto"/>
              </w:rPr>
            </w:pPr>
            <w:r>
              <w:rPr>
                <w:rFonts w:ascii="Times New Roman" w:cs="Times New Roman" w:eastAsia="Times New Roman" w:hAnsi="Times New Roman"/>
                <w:sz w:val="15"/>
                <w:szCs w:val="15"/>
                <w:b w:val="1"/>
                <w:bCs w:val="1"/>
                <w:color w:val="auto"/>
              </w:rPr>
              <w:t>(a)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comprehensive income (“OCI”)</w:t>
            </w:r>
          </w:p>
        </w:tc>
        <w:tc>
          <w:tcPr>
            <w:tcW w:w="120" w:type="dxa"/>
            <w:vAlign w:val="bottom"/>
          </w:tcPr>
          <w:p>
            <w:pPr>
              <w:spacing w:after="0"/>
              <w:rPr>
                <w:sz w:val="17"/>
                <w:szCs w:val="17"/>
                <w:color w:val="auto"/>
              </w:rPr>
            </w:pPr>
          </w:p>
        </w:tc>
        <w:tc>
          <w:tcPr>
            <w:tcW w:w="1540" w:type="dxa"/>
            <w:vAlign w:val="bottom"/>
            <w:gridSpan w:val="3"/>
          </w:tcPr>
          <w:p>
            <w:pPr>
              <w:jc w:val="center"/>
              <w:ind w:left="598"/>
              <w:spacing w:after="0"/>
              <w:rPr>
                <w:sz w:val="20"/>
                <w:szCs w:val="20"/>
                <w:color w:val="auto"/>
              </w:rPr>
            </w:pPr>
            <w:r>
              <w:rPr>
                <w:rFonts w:ascii="Times New Roman" w:cs="Times New Roman" w:eastAsia="Times New Roman" w:hAnsi="Times New Roman"/>
                <w:sz w:val="15"/>
                <w:szCs w:val="15"/>
                <w:b w:val="1"/>
                <w:bCs w:val="1"/>
                <w:color w:val="auto"/>
              </w:rPr>
              <w:t>income (b)</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Commodities futures and options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agreements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derivatives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320" w:hanging="317"/>
        <w:spacing w:after="0" w:line="270" w:lineRule="auto"/>
        <w:tabs>
          <w:tab w:leader="none" w:pos="3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0" w:lineRule="exact"/>
        <w:rPr>
          <w:rFonts w:ascii="Times New Roman" w:cs="Times New Roman" w:eastAsia="Times New Roman" w:hAnsi="Times New Roman"/>
          <w:sz w:val="17"/>
          <w:szCs w:val="17"/>
          <w:color w:val="auto"/>
        </w:rPr>
      </w:pPr>
    </w:p>
    <w:p>
      <w:pPr>
        <w:ind w:left="320" w:right="220" w:hanging="317"/>
        <w:spacing w:after="0" w:line="287" w:lineRule="auto"/>
        <w:tabs>
          <w:tab w:leader="none" w:pos="3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1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amount of pre-tax net losses on derivative instruments, including interest rate swap agreements and foreign currency forward exchange contracts expected to be reclassified into earnings in the next 12 months was approximately $8,048 as of July 3, 2022. This amount is primarily associated with 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FAIR VALUE MEASUREMENTS</w:t>
      </w:r>
    </w:p>
    <w:p>
      <w:pPr>
        <w:spacing w:after="0" w:line="10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Based on unadjusted quoted prices for identical assets or liabilities in an active market.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Based on observable market-based inputs or unobservable inputs that are corroborated by market data.</w:t>
      </w:r>
    </w:p>
    <w:p>
      <w:pPr>
        <w:spacing w:after="0" w:line="24" w:lineRule="exact"/>
        <w:rPr>
          <w:sz w:val="20"/>
          <w:szCs w:val="20"/>
          <w:color w:val="auto"/>
        </w:rPr>
      </w:pPr>
    </w:p>
    <w:p>
      <w:pPr>
        <w:ind w:left="20" w:right="60"/>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Based on unobservable inputs that reflect the entity’s own assumptions about the assumptions that a market participant would use in pricing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assets and liabilities that were measured at fair value in the Consolidated Balance Sheets on a recurring basis as of July 3, 2022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Assets (Liabilities)</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1"/>
        </w:trPr>
        <w:tc>
          <w:tcPr>
            <w:tcW w:w="4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6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July 3, 2022:</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1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5,413</w:t>
            </w:r>
          </w:p>
        </w:tc>
        <w:tc>
          <w:tcPr>
            <w:tcW w:w="120" w:type="dxa"/>
            <w:vAlign w:val="bottom"/>
          </w:tcPr>
          <w:p>
            <w:pPr>
              <w:spacing w:after="0"/>
              <w:rPr>
                <w:sz w:val="19"/>
                <w:szCs w:val="19"/>
                <w:color w:val="auto"/>
              </w:rPr>
            </w:pP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5,413</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r>
      <w:tr>
        <w:trPr>
          <w:trHeight w:val="219"/>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Liabilities: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Deferred compensation derivatives (2)</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5,646</w:t>
            </w:r>
          </w:p>
        </w:tc>
      </w:tr>
      <w:tr>
        <w:trPr>
          <w:trHeight w:val="458"/>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w:t>
            </w:r>
          </w:p>
        </w:tc>
        <w:tc>
          <w:tcPr>
            <w:tcW w:w="120" w:type="dxa"/>
            <w:vAlign w:val="bottom"/>
          </w:tcPr>
          <w:p>
            <w:pPr>
              <w:spacing w:after="0"/>
              <w:rPr>
                <w:sz w:val="19"/>
                <w:szCs w:val="19"/>
                <w:color w:val="auto"/>
              </w:rPr>
            </w:pP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r>
      <w:tr>
        <w:trPr>
          <w:trHeight w:val="21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r>
    </w:tbl>
    <w:p>
      <w:pPr>
        <w:spacing w:after="0" w:line="61" w:lineRule="exact"/>
        <w:rPr>
          <w:sz w:val="20"/>
          <w:szCs w:val="20"/>
          <w:color w:val="auto"/>
        </w:rPr>
      </w:pPr>
    </w:p>
    <w:p>
      <w:pPr>
        <w:ind w:left="620" w:right="20" w:hanging="307"/>
        <w:spacing w:after="0" w:line="270" w:lineRule="auto"/>
        <w:tabs>
          <w:tab w:leader="none" w:pos="6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0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deferred compensation derivatives is based on quoted prices for market interest rates and a broad market equity index.</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598805</wp:posOffset>
            </wp:positionV>
            <wp:extent cx="188595" cy="163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Financial Instruments</w:t>
      </w:r>
    </w:p>
    <w:p>
      <w:pPr>
        <w:spacing w:after="0" w:line="15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accounts payable and short-term debt approximated fair values as of July 3, 2022 and December 31, 2021 because of the relatively short maturity of these instruments.</w:t>
      </w:r>
    </w:p>
    <w:p>
      <w:pPr>
        <w:spacing w:after="0" w:line="7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4"/>
          </w:tcPr>
          <w:p>
            <w:pPr>
              <w:jc w:val="right"/>
              <w:ind w:right="1336"/>
              <w:spacing w:after="0"/>
              <w:rPr>
                <w:sz w:val="20"/>
                <w:szCs w:val="20"/>
                <w:color w:val="auto"/>
              </w:rPr>
            </w:pPr>
            <w:r>
              <w:rPr>
                <w:rFonts w:ascii="Times New Roman" w:cs="Times New Roman" w:eastAsia="Times New Roman" w:hAnsi="Times New Roman"/>
                <w:sz w:val="15"/>
                <w:szCs w:val="15"/>
                <w:b w:val="1"/>
                <w:bCs w:val="1"/>
                <w:color w:val="auto"/>
              </w:rPr>
              <w:t>Carrying Value</w:t>
            </w:r>
          </w:p>
        </w:tc>
      </w:tr>
      <w:tr>
        <w:trPr>
          <w:trHeight w:val="201"/>
        </w:trPr>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300" w:type="dxa"/>
            <w:vAlign w:val="bottom"/>
          </w:tcPr>
          <w:p>
            <w:pPr>
              <w:spacing w:after="0"/>
              <w:rPr>
                <w:sz w:val="17"/>
                <w:szCs w:val="17"/>
                <w:color w:val="auto"/>
              </w:rPr>
            </w:pPr>
          </w:p>
        </w:tc>
        <w:tc>
          <w:tcPr>
            <w:tcW w:w="1580" w:type="dxa"/>
            <w:vAlign w:val="bottom"/>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Pr>
          <w:p>
            <w:pPr>
              <w:spacing w:after="0"/>
              <w:rPr>
                <w:sz w:val="17"/>
                <w:szCs w:val="17"/>
                <w:color w:val="auto"/>
              </w:rPr>
            </w:pPr>
          </w:p>
        </w:tc>
        <w:tc>
          <w:tcPr>
            <w:tcW w:w="1640" w:type="dxa"/>
            <w:vAlign w:val="bottom"/>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754,596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752,573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w:t>
            </w:r>
          </w:p>
        </w:tc>
      </w:tr>
      <w:tr>
        <w:trPr>
          <w:trHeight w:val="21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3,021,621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4,274,304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3,340,472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4,086,627</w:t>
            </w: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3,776,217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4,277,148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4,093,045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4,089,471</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Fair Value Measurements</w:t>
      </w:r>
    </w:p>
    <w:p>
      <w:pPr>
        <w:spacing w:after="0" w:line="3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In addition to assets and liabilities that are recorded at fair value on a recurring basis, GAAP requires that, under certain circumstances, we also record assets and liabilities at fair value on a nonrecurring basis.</w:t>
      </w:r>
    </w:p>
    <w:p>
      <w:pPr>
        <w:spacing w:after="0" w:line="9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In connection with the acquisitions of Pretzels, Dot’s and Lily’s during 2021, as discussed in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six months ended July 3, 2022 and July 4, 2021, we recorded no impairment charges.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44"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8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estimated incremental borrowing rate in determining the present value of lease payments. The estimated incremental borrowing rate is derived from information available at the lease commencement date.</w:t>
      </w:r>
    </w:p>
    <w:p>
      <w:pPr>
        <w:spacing w:after="0" w:line="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340360</wp:posOffset>
            </wp:positionV>
            <wp:extent cx="188595" cy="163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for the three months ended July 3, 2022 and July 4,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40" w:type="dxa"/>
            <w:vAlign w:val="bottom"/>
            <w:tcBorders>
              <w:bottom w:val="single" w:sz="8" w:color="auto"/>
            </w:tcBorders>
          </w:tcPr>
          <w:p>
            <w:pPr>
              <w:spacing w:after="0"/>
              <w:rPr>
                <w:sz w:val="17"/>
                <w:szCs w:val="17"/>
                <w:color w:val="auto"/>
              </w:rPr>
            </w:pPr>
          </w:p>
        </w:tc>
      </w:tr>
      <w:tr>
        <w:trPr>
          <w:trHeight w:val="20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Lease expense</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48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640" w:type="dxa"/>
            <w:vAlign w:val="bottom"/>
          </w:tcPr>
          <w:p>
            <w:pPr>
              <w:spacing w:after="0"/>
              <w:rPr>
                <w:sz w:val="17"/>
                <w:szCs w:val="17"/>
                <w:color w:val="auto"/>
              </w:rPr>
            </w:pPr>
          </w:p>
        </w:tc>
        <w:tc>
          <w:tcPr>
            <w:tcW w:w="1440" w:type="dxa"/>
            <w:vAlign w:val="bottom"/>
          </w:tcPr>
          <w:p>
            <w:pPr>
              <w:jc w:val="right"/>
              <w:ind w:right="55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 or SM&amp;A (1)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12,710</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11,088</w:t>
            </w:r>
          </w:p>
        </w:tc>
      </w:tr>
      <w:tr>
        <w:trPr>
          <w:trHeight w:val="21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(1)</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w:t>
            </w:r>
          </w:p>
        </w:tc>
      </w:tr>
      <w:tr>
        <w:trPr>
          <w:trHeight w:val="219"/>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lease cost (2)</w:t>
            </w: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74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components of lease expense for the six months ended July 3, 2022 and July 4, 2021 were as follows: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440" w:type="dxa"/>
            <w:vAlign w:val="bottom"/>
            <w:tcBorders>
              <w:bottom w:val="single" w:sz="8" w:color="auto"/>
            </w:tcBorders>
          </w:tcPr>
          <w:p>
            <w:pPr>
              <w:spacing w:after="0"/>
              <w:rPr>
                <w:sz w:val="24"/>
                <w:szCs w:val="24"/>
                <w:color w:val="auto"/>
              </w:rPr>
            </w:pPr>
          </w:p>
        </w:tc>
      </w:tr>
      <w:tr>
        <w:trPr>
          <w:trHeight w:val="20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Lease expense</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48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640" w:type="dxa"/>
            <w:vAlign w:val="bottom"/>
          </w:tcPr>
          <w:p>
            <w:pPr>
              <w:spacing w:after="0"/>
              <w:rPr>
                <w:sz w:val="17"/>
                <w:szCs w:val="17"/>
                <w:color w:val="auto"/>
              </w:rPr>
            </w:pPr>
          </w:p>
        </w:tc>
        <w:tc>
          <w:tcPr>
            <w:tcW w:w="1440" w:type="dxa"/>
            <w:vAlign w:val="bottom"/>
          </w:tcPr>
          <w:p>
            <w:pPr>
              <w:jc w:val="right"/>
              <w:ind w:right="55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 or SM&amp;A (1)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25,497</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22,554</w:t>
            </w:r>
          </w:p>
        </w:tc>
      </w:tr>
      <w:tr>
        <w:trPr>
          <w:trHeight w:val="21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(1)</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4,061</w:t>
            </w:r>
          </w:p>
        </w:tc>
      </w:tr>
      <w:tr>
        <w:trPr>
          <w:trHeight w:val="219"/>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lease cost (2)</w:t>
            </w: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460" w:hanging="302"/>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chain-related amounts were included in cost of sales.</w:t>
      </w:r>
    </w:p>
    <w:p>
      <w:pPr>
        <w:spacing w:after="0" w:line="62" w:lineRule="exact"/>
        <w:rPr>
          <w:rFonts w:ascii="Times New Roman" w:cs="Times New Roman" w:eastAsia="Times New Roman" w:hAnsi="Times New Roman"/>
          <w:sz w:val="17"/>
          <w:szCs w:val="17"/>
          <w:color w:val="auto"/>
        </w:rPr>
      </w:pPr>
    </w:p>
    <w:p>
      <w:pPr>
        <w:ind w:right="2680" w:firstLine="158"/>
        <w:spacing w:after="0" w:line="308" w:lineRule="auto"/>
        <w:tabs>
          <w:tab w:leader="none" w:pos="45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9"/>
        </w:trPr>
        <w:tc>
          <w:tcPr>
            <w:tcW w:w="8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8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58"/>
        </w:trPr>
        <w:tc>
          <w:tcPr>
            <w:tcW w:w="7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19"/>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19"/>
        </w:trPr>
        <w:tc>
          <w:tcPr>
            <w:tcW w:w="8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19"/>
        </w:trPr>
        <w:tc>
          <w:tcPr>
            <w:tcW w:w="8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466725</wp:posOffset>
            </wp:positionV>
            <wp:extent cx="188595" cy="163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were as follows:</w:t>
      </w:r>
    </w:p>
    <w:p>
      <w:pPr>
        <w:spacing w:after="0" w:line="50" w:lineRule="exact"/>
        <w:rPr>
          <w:sz w:val="20"/>
          <w:szCs w:val="20"/>
          <w:color w:val="auto"/>
        </w:rPr>
      </w:pPr>
    </w:p>
    <w:p>
      <w:pPr>
        <w:ind w:left="20"/>
        <w:spacing w:after="0"/>
        <w:tabs>
          <w:tab w:leader="none" w:pos="3540" w:val="left"/>
          <w:tab w:leader="none" w:pos="7840" w:val="left"/>
          <w:tab w:leader="none" w:pos="9640" w:val="left"/>
        </w:tabs>
        <w:rPr>
          <w:sz w:val="20"/>
          <w:szCs w:val="20"/>
          <w:color w:val="auto"/>
        </w:rPr>
      </w:pPr>
      <w:r>
        <w:rPr>
          <w:rFonts w:ascii="Times New Roman" w:cs="Times New Roman" w:eastAsia="Times New Roman" w:hAnsi="Times New Roman"/>
          <w:sz w:val="15"/>
          <w:szCs w:val="15"/>
          <w:b w:val="1"/>
          <w:bCs w:val="1"/>
          <w:color w:val="auto"/>
        </w:rPr>
        <w:t>Leases</w:t>
      </w:r>
      <w:r>
        <w:rPr>
          <w:sz w:val="20"/>
          <w:szCs w:val="20"/>
          <w:color w:val="auto"/>
        </w:rPr>
        <w:tab/>
      </w:r>
      <w:r>
        <w:rPr>
          <w:rFonts w:ascii="Times New Roman" w:cs="Times New Roman" w:eastAsia="Times New Roman" w:hAnsi="Times New Roman"/>
          <w:sz w:val="15"/>
          <w:szCs w:val="15"/>
          <w:b w:val="1"/>
          <w:bCs w:val="1"/>
          <w:color w:val="auto"/>
        </w:rPr>
        <w:t>Classification</w:t>
      </w:r>
      <w:r>
        <w:rPr>
          <w:sz w:val="20"/>
          <w:szCs w:val="20"/>
          <w:color w:val="auto"/>
        </w:rPr>
        <w:tab/>
      </w:r>
      <w:r>
        <w:rPr>
          <w:rFonts w:ascii="Times New Roman" w:cs="Times New Roman" w:eastAsia="Times New Roman" w:hAnsi="Times New Roman"/>
          <w:sz w:val="15"/>
          <w:szCs w:val="15"/>
          <w:b w:val="1"/>
          <w:bCs w:val="1"/>
          <w:color w:val="auto"/>
        </w:rPr>
        <w:t>July 3, 2022</w:t>
      </w:r>
      <w:r>
        <w:rPr>
          <w:sz w:val="20"/>
          <w:szCs w:val="20"/>
          <w:color w:val="auto"/>
        </w:rPr>
        <w:tab/>
      </w:r>
      <w:r>
        <w:rPr>
          <w:rFonts w:ascii="Times New Roman" w:cs="Times New Roman" w:eastAsia="Times New Roman" w:hAnsi="Times New Roman"/>
          <w:sz w:val="15"/>
          <w:szCs w:val="15"/>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38670" cy="147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Operating lease ROU assets</w:t>
      </w: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Accumulated amortization</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net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leased assets</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Current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Operating</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Finance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Non-current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Operating</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lease liabilities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337,311</w:t>
            </w:r>
          </w:p>
        </w:tc>
        <w:tc>
          <w:tcPr>
            <w:tcW w:w="120" w:type="dxa"/>
            <w:vAlign w:val="bottom"/>
          </w:tcPr>
          <w:p>
            <w:pPr>
              <w:spacing w:after="0"/>
              <w:rPr>
                <w:sz w:val="19"/>
                <w:szCs w:val="19"/>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351,712</w:t>
            </w:r>
          </w:p>
        </w:tc>
      </w:tr>
      <w:tr>
        <w:trPr>
          <w:trHeight w:val="47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85,347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89,190</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(13,512)</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72,496</w:t>
            </w:r>
          </w:p>
        </w:tc>
      </w:tr>
      <w:tr>
        <w:trPr>
          <w:trHeight w:val="254"/>
        </w:trPr>
        <w:tc>
          <w:tcPr>
            <w:tcW w:w="374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12"/>
        </w:trPr>
        <w:tc>
          <w:tcPr>
            <w:tcW w:w="374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409,146</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424,208</w:t>
            </w:r>
          </w:p>
        </w:tc>
      </w:tr>
      <w:tr>
        <w:trPr>
          <w:trHeight w:val="20"/>
        </w:trPr>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7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32,468</w:t>
            </w:r>
          </w:p>
        </w:tc>
        <w:tc>
          <w:tcPr>
            <w:tcW w:w="120" w:type="dxa"/>
            <w:vAlign w:val="bottom"/>
          </w:tcPr>
          <w:p>
            <w:pPr>
              <w:spacing w:after="0"/>
              <w:rPr>
                <w:sz w:val="24"/>
                <w:szCs w:val="24"/>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36,292</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w:t>
            </w:r>
          </w:p>
        </w:tc>
      </w:tr>
      <w:tr>
        <w:trPr>
          <w:trHeight w:val="434"/>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302,954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310,899</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67,350</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65,582</w:t>
            </w:r>
          </w:p>
        </w:tc>
      </w:tr>
      <w:tr>
        <w:trPr>
          <w:trHeight w:val="212"/>
        </w:trPr>
        <w:tc>
          <w:tcPr>
            <w:tcW w:w="374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406,044</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416,337</w:t>
            </w:r>
          </w:p>
        </w:tc>
      </w:tr>
      <w:tr>
        <w:trPr>
          <w:trHeight w:val="20"/>
        </w:trPr>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-2233930</wp:posOffset>
            </wp:positionV>
            <wp:extent cx="7138670" cy="163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-1931035</wp:posOffset>
            </wp:positionV>
            <wp:extent cx="7138670" cy="139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-1644650</wp:posOffset>
            </wp:positionV>
            <wp:extent cx="7138670" cy="163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-1317625</wp:posOffset>
            </wp:positionV>
            <wp:extent cx="7138670" cy="163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-1014730</wp:posOffset>
            </wp:positionV>
            <wp:extent cx="7138670"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-735965</wp:posOffset>
            </wp:positionV>
            <wp:extent cx="713867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-457835</wp:posOffset>
            </wp:positionV>
            <wp:extent cx="7138670" cy="139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-179705</wp:posOffset>
            </wp:positionV>
            <wp:extent cx="7138670" cy="163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9"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maturity of our lease liabilities as of July 3,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jc w:val="right"/>
              <w:ind w:right="91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(rest of year)</w:t>
            </w: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4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24,871</w:t>
            </w: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40,199</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46,694</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42,731</w:t>
            </w: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26,070</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30,467</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26,296</w:t>
            </w:r>
          </w:p>
        </w:tc>
      </w:tr>
      <w:tr>
        <w:trPr>
          <w:trHeight w:val="21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284,609</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146,085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430,694</w:t>
            </w:r>
          </w:p>
        </w:tc>
      </w:tr>
      <w:tr>
        <w:trPr>
          <w:trHeight w:val="212"/>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431,433</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601,753</w:t>
            </w:r>
          </w:p>
        </w:tc>
      </w:tr>
      <w:tr>
        <w:trPr>
          <w:trHeight w:val="21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96,011</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99,698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195,709</w:t>
            </w:r>
          </w:p>
        </w:tc>
      </w:tr>
      <w:tr>
        <w:trPr>
          <w:trHeight w:val="237"/>
        </w:trPr>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liabilities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335,422</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4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70,622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406,044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380" w:type="dxa"/>
            <w:vAlign w:val="bottom"/>
            <w:tcBorders>
              <w:bottom w:val="single" w:sz="8" w:color="auto"/>
            </w:tcBorders>
          </w:tcPr>
          <w:p>
            <w:pPr>
              <w:spacing w:after="0"/>
              <w:rPr>
                <w:sz w:val="17"/>
                <w:szCs w:val="17"/>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00"/>
        </w:trPr>
        <w:tc>
          <w:tcPr>
            <w:tcW w:w="7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4800" w:type="dxa"/>
            <w:vAlign w:val="bottom"/>
            <w:gridSpan w:val="2"/>
          </w:tcPr>
          <w:p>
            <w:pPr>
              <w:jc w:val="right"/>
              <w:ind w:right="12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23,783</w:t>
            </w:r>
          </w:p>
        </w:tc>
        <w:tc>
          <w:tcPr>
            <w:tcW w:w="12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21,773</w:t>
            </w: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3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19"/>
        </w:trPr>
        <w:tc>
          <w:tcPr>
            <w:tcW w:w="20" w:type="dxa"/>
            <w:vAlign w:val="bottom"/>
          </w:tcPr>
          <w:p>
            <w:pPr>
              <w:spacing w:after="0"/>
              <w:rPr>
                <w:sz w:val="19"/>
                <w:szCs w:val="19"/>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3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w:t>
            </w:r>
          </w:p>
        </w:tc>
      </w:tr>
      <w:tr>
        <w:trPr>
          <w:trHeight w:val="258"/>
        </w:trPr>
        <w:tc>
          <w:tcPr>
            <w:tcW w:w="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9"/>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lease liabilities:</w:t>
            </w:r>
          </w:p>
        </w:tc>
        <w:tc>
          <w:tcPr>
            <w:tcW w:w="3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480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w:t>
            </w:r>
          </w:p>
        </w:tc>
      </w:tr>
      <w:tr>
        <w:trPr>
          <w:trHeight w:val="223"/>
        </w:trPr>
        <w:tc>
          <w:tcPr>
            <w:tcW w:w="20" w:type="dxa"/>
            <w:vAlign w:val="bottom"/>
          </w:tcPr>
          <w:p>
            <w:pPr>
              <w:spacing w:after="0"/>
              <w:rPr>
                <w:sz w:val="19"/>
                <w:szCs w:val="19"/>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731"/>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4800" w:type="dxa"/>
            <w:vAlign w:val="bottom"/>
            <w:gridSpan w:val="2"/>
          </w:tcPr>
          <w:p>
            <w:pPr>
              <w:jc w:val="right"/>
              <w:ind w:right="1183"/>
              <w:spacing w:after="0"/>
              <w:rPr>
                <w:sz w:val="20"/>
                <w:szCs w:val="20"/>
                <w:color w:val="auto"/>
              </w:rPr>
            </w:pPr>
            <w:r>
              <w:rPr>
                <w:rFonts w:ascii="Times New Roman" w:cs="Times New Roman" w:eastAsia="Times New Roman" w:hAnsi="Times New Roman"/>
                <w:sz w:val="15"/>
                <w:szCs w:val="15"/>
                <w:color w:val="auto"/>
              </w:rPr>
              <w:t>The Hershey Company | Q2 2022 Form 10-Q | Page 20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-506730</wp:posOffset>
            </wp:positionV>
            <wp:extent cx="188595" cy="163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 IN UNCONSOLIDATED AFFILIATES</w:t>
      </w:r>
    </w:p>
    <w:p>
      <w:pPr>
        <w:spacing w:after="0" w:line="9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7"/>
          <w:szCs w:val="17"/>
          <w:u w:val="single" w:color="auto"/>
          <w:color w:val="0000FF"/>
        </w:rPr>
        <w:t>Note 17</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$139,731 and $93,089 as of July 3, 2022 and December 31,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BUSINESS REALIGNMENT ACTIVITIES</w:t>
      </w:r>
    </w:p>
    <w:p>
      <w:pPr>
        <w:spacing w:after="0" w:line="16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7"/>
                <w:szCs w:val="17"/>
                <w:color w:val="auto"/>
              </w:rPr>
            </w:pPr>
          </w:p>
        </w:tc>
        <w:tc>
          <w:tcPr>
            <w:tcW w:w="2760" w:type="dxa"/>
            <w:vAlign w:val="bottom"/>
            <w:gridSpan w:val="4"/>
          </w:tcPr>
          <w:p>
            <w:pPr>
              <w:jc w:val="right"/>
              <w:ind w:right="79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5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marketing and administrative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Business realignment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associated with business realignment activities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10,396</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recorded by program during the three and six months ended July 3, 2022 and July 4, 2021 related to these activities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7"/>
                <w:szCs w:val="17"/>
                <w:color w:val="auto"/>
              </w:rPr>
            </w:pPr>
          </w:p>
        </w:tc>
        <w:tc>
          <w:tcPr>
            <w:tcW w:w="2760" w:type="dxa"/>
            <w:vAlign w:val="bottom"/>
            <w:gridSpan w:val="4"/>
          </w:tcPr>
          <w:p>
            <w:pPr>
              <w:jc w:val="right"/>
              <w:ind w:right="79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5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 Optimization Program:</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9"/>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Severance and employee benefit costs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w:t>
            </w: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program costs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10,396</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Amounts classified as liabilities qualifying as exit and disposal costs primarily represent employee-related and certain third-party service provider charges, however, such amounts at July 3, 2022 are not significant.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2020 International Optimization Program</w:t>
      </w:r>
    </w:p>
    <w:p>
      <w:pPr>
        <w:spacing w:after="0" w:line="1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1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International Optimization Program is expected to be completed in early 2023,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303530</wp:posOffset>
            </wp:positionV>
            <wp:extent cx="188595" cy="163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Program relate to the International segment. However, segment operating results do not include these business realignment expenses because we evaluate segment performance excluding such costs.</w:t>
      </w:r>
    </w:p>
    <w:p>
      <w:pPr>
        <w:spacing w:after="0" w:line="10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For the six months ended July 3, 2022 and July 4, 2021, we recognized total costs associated with the International Optimization Program of $1,980 and $10,396, respectively. These charges predominantly included third-party charges in support of our initiative to transform our China operating model, as well as severance and employee benefit costs. Since inception, we have incurred pre-tax charges to execute the program totaling $47,922.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majority of our taxable income is generated in the United States and taxed at the United States statutory rate of 21%. The effective tax rates for the six months ended July 3, 2022 and July 4, 2021 were 21.4% and 25.1%, respectively. Relative to the statutory rate, the 2022 effective tax rate was impacted by state taxes, tax reserves and unfavorable foreign rate differential, partially offset by investment tax credits and the benefit of employee share-based payments.</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China,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$14,970 within the next 12 months because of the expiration of statutes of limitations and settlements of tax audits.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American Rescue Plan Act</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March 11, 2021, the American Rescue Plan Act (“ARPA”) was signed into law. The ARPA strengthens and extends certain federal programs enacted through the Coronavirus Aid, Relief, and Economic Security (“CARES”) Act and other COVID-19 relief measures, and establishes new federal programs, including provisions on taxes, healthcare and unemployment benefits. The ARPA did not have a material impact on our consolidated financial statements for the six months ended July 4,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Coronavirus Aid, Relief, and Economic Security Act</w:t>
      </w:r>
    </w:p>
    <w:p>
      <w:pPr>
        <w:spacing w:after="0" w:line="1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On March 27, 2020, the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six months ended July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PENSION AND OTHER POST-RETIREMENT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Periodic Benefit Cost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net periodic benefit cost for the three months ended July 3, 2022 and July 4, 2021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Pension Benefits</w:t>
            </w:r>
          </w:p>
        </w:tc>
        <w:tc>
          <w:tcPr>
            <w:tcW w:w="220" w:type="dxa"/>
            <w:vAlign w:val="bottom"/>
          </w:tcPr>
          <w:p>
            <w:pPr>
              <w:spacing w:after="0"/>
              <w:rPr>
                <w:sz w:val="17"/>
                <w:szCs w:val="17"/>
                <w:color w:val="auto"/>
              </w:rPr>
            </w:pPr>
          </w:p>
        </w:tc>
        <w:tc>
          <w:tcPr>
            <w:tcW w:w="2940" w:type="dxa"/>
            <w:vAlign w:val="bottom"/>
            <w:gridSpan w:val="4"/>
          </w:tcPr>
          <w:p>
            <w:pPr>
              <w:jc w:val="right"/>
              <w:ind w:right="1015"/>
              <w:spacing w:after="0"/>
              <w:rPr>
                <w:sz w:val="20"/>
                <w:szCs w:val="20"/>
                <w:color w:val="auto"/>
              </w:rPr>
            </w:pPr>
            <w:r>
              <w:rPr>
                <w:rFonts w:ascii="Times New Roman" w:cs="Times New Roman" w:eastAsia="Times New Roman" w:hAnsi="Times New Roman"/>
                <w:sz w:val="15"/>
                <w:szCs w:val="15"/>
                <w:b w:val="1"/>
                <w:bCs w:val="1"/>
                <w:color w:val="auto"/>
              </w:rPr>
              <w:t>Other Benefits</w:t>
            </w:r>
          </w:p>
        </w:tc>
      </w:tr>
      <w:tr>
        <w:trPr>
          <w:trHeight w:val="201"/>
        </w:trPr>
        <w:tc>
          <w:tcPr>
            <w:tcW w:w="47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940" w:type="dxa"/>
            <w:vAlign w:val="bottom"/>
            <w:tcBorders>
              <w:top w:val="single" w:sz="8" w:color="auto"/>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940" w:type="dxa"/>
            <w:vAlign w:val="bottom"/>
            <w:tcBorders>
              <w:top w:val="single" w:sz="8" w:color="auto"/>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Pr>
          <w:p>
            <w:pPr>
              <w:spacing w:after="0"/>
              <w:rPr>
                <w:sz w:val="17"/>
                <w:szCs w:val="17"/>
                <w:color w:val="auto"/>
              </w:rPr>
            </w:pP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4,758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5,433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net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benefit cost</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made contributions of $289 and $5,584 to the pension plans and other benefits plans, respectively, during the second quarter of 2022. In the second quarter of 2021, we made contributions of $325 and $4,000 to our pension plans and other benefit plans, respectively. The contributions in 2022 and 2021 also included benefit payments from our non-qualified pension plans and post-retirement benefit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net periodic benefit cost for the six months ended July 3, 2022 and July 4, 2021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Pension Benefits</w:t>
            </w:r>
          </w:p>
        </w:tc>
        <w:tc>
          <w:tcPr>
            <w:tcW w:w="220" w:type="dxa"/>
            <w:vAlign w:val="bottom"/>
          </w:tcPr>
          <w:p>
            <w:pPr>
              <w:spacing w:after="0"/>
              <w:rPr>
                <w:sz w:val="17"/>
                <w:szCs w:val="17"/>
                <w:color w:val="auto"/>
              </w:rPr>
            </w:pPr>
          </w:p>
        </w:tc>
        <w:tc>
          <w:tcPr>
            <w:tcW w:w="2940" w:type="dxa"/>
            <w:vAlign w:val="bottom"/>
            <w:gridSpan w:val="4"/>
          </w:tcPr>
          <w:p>
            <w:pPr>
              <w:jc w:val="right"/>
              <w:ind w:right="1015"/>
              <w:spacing w:after="0"/>
              <w:rPr>
                <w:sz w:val="20"/>
                <w:szCs w:val="20"/>
                <w:color w:val="auto"/>
              </w:rPr>
            </w:pPr>
            <w:r>
              <w:rPr>
                <w:rFonts w:ascii="Times New Roman" w:cs="Times New Roman" w:eastAsia="Times New Roman" w:hAnsi="Times New Roman"/>
                <w:sz w:val="15"/>
                <w:szCs w:val="15"/>
                <w:b w:val="1"/>
                <w:bCs w:val="1"/>
                <w:color w:val="auto"/>
              </w:rPr>
              <w:t>Other Benefits</w:t>
            </w:r>
          </w:p>
        </w:tc>
      </w:tr>
      <w:tr>
        <w:trPr>
          <w:trHeight w:val="201"/>
        </w:trPr>
        <w:tc>
          <w:tcPr>
            <w:tcW w:w="47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940" w:type="dxa"/>
            <w:vAlign w:val="bottom"/>
            <w:tcBorders>
              <w:top w:val="single" w:sz="8" w:color="auto"/>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940" w:type="dxa"/>
            <w:vAlign w:val="bottom"/>
            <w:tcBorders>
              <w:top w:val="single" w:sz="8" w:color="auto"/>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199"/>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Pr>
          <w:p>
            <w:pPr>
              <w:spacing w:after="0"/>
              <w:rPr>
                <w:sz w:val="17"/>
                <w:szCs w:val="17"/>
                <w:color w:val="auto"/>
              </w:rPr>
            </w:pP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9,611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net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benefit cost</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made contributions of $3,756 and $10,575 to the pension plans and other benefits plans, respectively, during the first six months of 2022. In the first six months of 2021, we made contributions of $1,183 and $8,155 to our pension plans and other benefit plans, respectively. The contributions in 2022 and 2021 also included benefit payments from our non-qualified pension plans and post-retirement benefit plans.</w:t>
      </w:r>
    </w:p>
    <w:p>
      <w:pPr>
        <w:spacing w:after="0" w:line="11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7"/>
          <w:szCs w:val="17"/>
          <w:u w:val="single" w:color="auto"/>
          <w:color w:val="0000FF"/>
        </w:rPr>
        <w:t>Note 17</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During the first six months of 2022, we recognized pension settlement charges in our hourly retirement plan and salaried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second quarter 2022 settlements, the related plan assets and liabilities were remeasured using a discount rate as of the remeasurement date that was 204 basis points higher than the rate as of December 31, 2021 and an expected rate of return on plan assets of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252095</wp:posOffset>
            </wp:positionV>
            <wp:extent cx="188595" cy="163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 COMPENSATION PLANS</w:t>
      </w:r>
    </w:p>
    <w:p>
      <w:pPr>
        <w:spacing w:after="0" w:line="16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14"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Non-qualified stock options (“stock options”);</w:t>
      </w:r>
    </w:p>
    <w:p>
      <w:pPr>
        <w:spacing w:after="0" w:line="3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Performance stock units (“PSUs”) and performance stock;</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Stock appreciation rights;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Restricted stock units (“RSUs”) and restricted stock; and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Other stock-based awards.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1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7"/>
          <w:szCs w:val="17"/>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3400" w:type="dxa"/>
            <w:vAlign w:val="bottom"/>
            <w:tcBorders>
              <w:bottom w:val="single" w:sz="8" w:color="auto"/>
            </w:tcBorders>
            <w:gridSpan w:val="4"/>
          </w:tcPr>
          <w:p>
            <w:pPr>
              <w:jc w:val="right"/>
              <w:ind w:right="638"/>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360" w:type="dxa"/>
            <w:vAlign w:val="bottom"/>
            <w:tcBorders>
              <w:bottom w:val="single" w:sz="8" w:color="auto"/>
            </w:tcBorders>
          </w:tcPr>
          <w:p>
            <w:pPr>
              <w:spacing w:after="0"/>
              <w:rPr>
                <w:sz w:val="17"/>
                <w:szCs w:val="17"/>
                <w:color w:val="auto"/>
              </w:rPr>
            </w:pPr>
          </w:p>
        </w:tc>
      </w:tr>
      <w:tr>
        <w:trPr>
          <w:trHeight w:val="201"/>
        </w:trPr>
        <w:tc>
          <w:tcPr>
            <w:tcW w:w="31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Pre-tax compensation expense</w:t>
            </w:r>
          </w:p>
        </w:tc>
        <w:tc>
          <w:tcPr>
            <w:tcW w:w="1360" w:type="dxa"/>
            <w:vAlign w:val="bottom"/>
            <w:shd w:val="clear" w:color="auto" w:fill="CCEEFF"/>
          </w:tcPr>
          <w:p>
            <w:pPr>
              <w:jc w:val="right"/>
              <w:ind w:right="11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17,224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32,561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32,482</w:t>
            </w: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8,023</w:t>
            </w:r>
          </w:p>
        </w:tc>
      </w:tr>
    </w:tbl>
    <w:p>
      <w:pPr>
        <w:spacing w:after="0" w:line="22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Compensation expenses for stock compensation plans are primarily included in selling, marketing and administrative expense. As of July 3, 2022, total stock-based compensation expense related to non-vested awards not yet recognized was $102,149 and the weighted-average period over which this amount is expected to be recognized was approximately 2.0 years.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exercise price of each stock option awarded under the EICP equals the closing price of our Common Stock on the New York Stock Exchange on the date of</w:t>
      </w:r>
    </w:p>
    <w:p>
      <w:pPr>
        <w:spacing w:after="0" w:line="4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491490</wp:posOffset>
            </wp:positionV>
            <wp:extent cx="188595" cy="163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relating to grants of stock options for the period ended July 3, 2022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200" w:type="dxa"/>
            <w:vAlign w:val="bottom"/>
          </w:tcPr>
          <w:p>
            <w:pPr>
              <w:spacing w:after="0"/>
              <w:rPr>
                <w:sz w:val="17"/>
                <w:szCs w:val="17"/>
                <w:color w:val="auto"/>
              </w:rPr>
            </w:pPr>
          </w:p>
        </w:tc>
        <w:tc>
          <w:tcPr>
            <w:tcW w:w="158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70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7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5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 Term</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1,332,956</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$102.78</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 years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$202.03</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(225,811)</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$97.25</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$102.97</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$103.07</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July 3, 2022</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1,105,439</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$104.26</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129,044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exercisable as of July 3,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1,067,113</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$102.53</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126,416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The weighted-average fair value of options granted was $37.28 and $24.12 per share for the periods ended July 3, 2022 and July 4, 2021, respectively. The fair value was estimated on the date of grant using a Black-Scholes option-pricing model and the following weighted-average assumptions:</w:t>
      </w:r>
    </w:p>
    <w:p>
      <w:pPr>
        <w:ind w:left="83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Borders>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yields</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21.8 %</w:t>
            </w:r>
          </w:p>
        </w:tc>
      </w:tr>
      <w:tr>
        <w:trPr>
          <w:trHeight w:val="21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intrinsic value of options exercised was $24,870 and $21,453 for the periods ended July 3, 2022 and July 4,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 Units and Restricted Stock Units</w:t>
      </w:r>
    </w:p>
    <w:p>
      <w:pPr>
        <w:spacing w:after="0" w:line="16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July 3, 2022 and July 4, 2021 can range from 0% to 250% of the targeted amounts.</w:t>
      </w:r>
    </w:p>
    <w:p>
      <w:pPr>
        <w:spacing w:after="0" w:line="1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0"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During the six months ended July 3, 2022 and July 4, 2021, we awarded RSUs to certain executive officers and other key employees under the EICP. We also awarded RSUs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237490</wp:posOffset>
            </wp:positionV>
            <wp:extent cx="188595" cy="163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We recognize the compensation expenses associated with employee RSUs over a specified award vesting period based on the grant date fair value of our Common Stock. We recognize expense for employee RSUs based on the straight- line method. The compensation expenses associated with non-employee director RSUs is recognized ratably over the vesting period, net of estimated forfeitures.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relating to grants of PSUs and RSUs for the period ended July 3, 2022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Performance Stock Units and Restricted Stock Units</w:t>
            </w:r>
          </w:p>
        </w:tc>
        <w:tc>
          <w:tcPr>
            <w:tcW w:w="1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Number of units</w:t>
            </w:r>
          </w:p>
        </w:tc>
        <w:tc>
          <w:tcPr>
            <w:tcW w:w="100" w:type="dxa"/>
            <w:vAlign w:val="bottom"/>
          </w:tcPr>
          <w:p>
            <w:pPr>
              <w:spacing w:after="0"/>
              <w:rPr>
                <w:sz w:val="15"/>
                <w:szCs w:val="15"/>
                <w:color w:val="auto"/>
              </w:rPr>
            </w:pPr>
          </w:p>
        </w:tc>
        <w:tc>
          <w:tcPr>
            <w:tcW w:w="3520" w:type="dxa"/>
            <w:vAlign w:val="bottom"/>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Weighted-average grant date fair value for equity</w:t>
            </w:r>
          </w:p>
        </w:tc>
        <w:tc>
          <w:tcPr>
            <w:tcW w:w="0" w:type="dxa"/>
            <w:vAlign w:val="bottom"/>
          </w:tcPr>
          <w:p>
            <w:pPr>
              <w:spacing w:after="0"/>
              <w:rPr>
                <w:sz w:val="1"/>
                <w:szCs w:val="1"/>
                <w:color w:val="auto"/>
              </w:rPr>
            </w:pPr>
          </w:p>
        </w:tc>
      </w:tr>
      <w:tr>
        <w:trPr>
          <w:trHeight w:val="205"/>
        </w:trPr>
        <w:tc>
          <w:tcPr>
            <w:tcW w:w="586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jc w:val="right"/>
              <w:ind w:right="1100"/>
              <w:spacing w:after="0"/>
              <w:rPr>
                <w:sz w:val="20"/>
                <w:szCs w:val="20"/>
                <w:color w:val="auto"/>
              </w:rPr>
            </w:pPr>
            <w:r>
              <w:rPr>
                <w:rFonts w:ascii="Times New Roman" w:cs="Times New Roman" w:eastAsia="Times New Roman" w:hAnsi="Times New Roman"/>
                <w:sz w:val="15"/>
                <w:szCs w:val="15"/>
                <w:b w:val="1"/>
                <w:bCs w:val="1"/>
                <w:color w:val="auto"/>
              </w:rPr>
              <w:t>awards (per unit)</w:t>
            </w:r>
          </w:p>
        </w:tc>
        <w:tc>
          <w:tcPr>
            <w:tcW w:w="0" w:type="dxa"/>
            <w:vAlign w:val="bottom"/>
          </w:tcPr>
          <w:p>
            <w:pPr>
              <w:spacing w:after="0"/>
              <w:rPr>
                <w:sz w:val="1"/>
                <w:szCs w:val="1"/>
                <w:color w:val="auto"/>
              </w:rPr>
            </w:pPr>
          </w:p>
        </w:tc>
      </w:tr>
      <w:tr>
        <w:trPr>
          <w:trHeight w:val="21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beginning of year</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1,303,521</w:t>
            </w:r>
          </w:p>
        </w:tc>
        <w:tc>
          <w:tcPr>
            <w:tcW w:w="10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$146.96</w:t>
            </w:r>
          </w:p>
        </w:tc>
        <w:tc>
          <w:tcPr>
            <w:tcW w:w="0" w:type="dxa"/>
            <w:vAlign w:val="bottom"/>
          </w:tcPr>
          <w:p>
            <w:pPr>
              <w:spacing w:after="0"/>
              <w:rPr>
                <w:sz w:val="1"/>
                <w:szCs w:val="1"/>
                <w:color w:val="auto"/>
              </w:rPr>
            </w:pPr>
          </w:p>
        </w:tc>
      </w:tr>
      <w:tr>
        <w:trPr>
          <w:trHeight w:val="21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294,729</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$210.80</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61,517</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$283.27</w:t>
            </w:r>
          </w:p>
        </w:tc>
        <w:tc>
          <w:tcPr>
            <w:tcW w:w="0" w:type="dxa"/>
            <w:vAlign w:val="bottom"/>
          </w:tcPr>
          <w:p>
            <w:pPr>
              <w:spacing w:after="0"/>
              <w:rPr>
                <w:sz w:val="1"/>
                <w:szCs w:val="1"/>
                <w:color w:val="auto"/>
              </w:rPr>
            </w:pPr>
          </w:p>
        </w:tc>
      </w:tr>
      <w:tr>
        <w:trPr>
          <w:trHeight w:val="21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(492,589)</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$129.59</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(17,106)</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$154.43</w:t>
            </w:r>
          </w:p>
        </w:tc>
        <w:tc>
          <w:tcPr>
            <w:tcW w:w="0" w:type="dxa"/>
            <w:vAlign w:val="bottom"/>
          </w:tcPr>
          <w:p>
            <w:pPr>
              <w:spacing w:after="0"/>
              <w:rPr>
                <w:sz w:val="1"/>
                <w:szCs w:val="1"/>
                <w:color w:val="auto"/>
              </w:rPr>
            </w:pPr>
          </w:p>
        </w:tc>
      </w:tr>
      <w:tr>
        <w:trPr>
          <w:trHeight w:val="21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as of July 3,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1,150,072</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$181.14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Reflects the net number of PSUs above and below target levels based on the performance metrics.</w:t>
      </w:r>
    </w:p>
    <w:p>
      <w:pPr>
        <w:spacing w:after="0" w:line="165" w:lineRule="exact"/>
        <w:rPr>
          <w:sz w:val="20"/>
          <w:szCs w:val="20"/>
          <w:color w:val="auto"/>
        </w:rPr>
      </w:pPr>
    </w:p>
    <w:p>
      <w:pPr>
        <w:jc w:val="both"/>
        <w:ind w:right="340"/>
        <w:spacing w:after="0" w:line="269" w:lineRule="auto"/>
        <w:rPr>
          <w:sz w:val="20"/>
          <w:szCs w:val="20"/>
          <w:color w:val="auto"/>
        </w:rPr>
      </w:pPr>
      <w:r>
        <w:rPr>
          <w:rFonts w:ascii="Times New Roman" w:cs="Times New Roman" w:eastAsia="Times New Roman" w:hAnsi="Times New Roman"/>
          <w:sz w:val="17"/>
          <w:szCs w:val="17"/>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 granted</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382,841</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fair value at date of grant</w:t>
            </w:r>
          </w:p>
        </w:tc>
        <w:tc>
          <w:tcPr>
            <w:tcW w:w="1660" w:type="dxa"/>
            <w:vAlign w:val="bottom"/>
            <w:vMerge w:val="restart"/>
          </w:tcPr>
          <w:p>
            <w:pPr>
              <w:jc w:val="right"/>
              <w:ind w:right="147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210.80</w:t>
            </w:r>
          </w:p>
        </w:tc>
        <w:tc>
          <w:tcPr>
            <w:tcW w:w="120" w:type="dxa"/>
            <w:vAlign w:val="bottom"/>
          </w:tcPr>
          <w:p>
            <w:pPr>
              <w:spacing w:after="0"/>
              <w:rPr>
                <w:sz w:val="19"/>
                <w:szCs w:val="19"/>
                <w:color w:val="auto"/>
              </w:rPr>
            </w:pPr>
          </w:p>
        </w:tc>
        <w:tc>
          <w:tcPr>
            <w:tcW w:w="660" w:type="dxa"/>
            <w:vAlign w:val="bottom"/>
            <w:vMerge w:val="restart"/>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153.39</w:t>
            </w:r>
          </w:p>
        </w:tc>
        <w:tc>
          <w:tcPr>
            <w:tcW w:w="0" w:type="dxa"/>
            <w:vAlign w:val="bottom"/>
          </w:tcPr>
          <w:p>
            <w:pPr>
              <w:spacing w:after="0"/>
              <w:rPr>
                <w:sz w:val="1"/>
                <w:szCs w:val="1"/>
                <w:color w:val="auto"/>
              </w:rPr>
            </w:pPr>
          </w:p>
        </w:tc>
      </w:tr>
      <w:tr>
        <w:trPr>
          <w:trHeight w:val="86"/>
        </w:trPr>
        <w:tc>
          <w:tcPr>
            <w:tcW w:w="63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Monte Carlo simulation assumptions: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Estimated values</w:t>
            </w:r>
          </w:p>
        </w:tc>
        <w:tc>
          <w:tcPr>
            <w:tcW w:w="1660" w:type="dxa"/>
            <w:vAlign w:val="bottom"/>
          </w:tcPr>
          <w:p>
            <w:pPr>
              <w:jc w:val="right"/>
              <w:ind w:right="147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100.41</w:t>
            </w:r>
          </w:p>
        </w:tc>
        <w:tc>
          <w:tcPr>
            <w:tcW w:w="120" w:type="dxa"/>
            <w:vAlign w:val="bottom"/>
          </w:tcPr>
          <w:p>
            <w:pPr>
              <w:spacing w:after="0"/>
              <w:rPr>
                <w:sz w:val="19"/>
                <w:szCs w:val="19"/>
                <w:color w:val="auto"/>
              </w:rPr>
            </w:pPr>
          </w:p>
        </w:tc>
        <w:tc>
          <w:tcPr>
            <w:tcW w:w="6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 yields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23"/>
        </w:trPr>
        <w:tc>
          <w:tcPr>
            <w:tcW w:w="6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Expected volatility</w:t>
            </w: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26.4 %</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shares vested totaled $100,292 and $46,352 for the periods ended July 3, 2022 and July 4, 2021, respectively.</w:t>
      </w:r>
    </w:p>
    <w:p>
      <w:pPr>
        <w:spacing w:after="0" w:line="16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Deferred PSUs, deferred RSUs and deferred stock units representing directors’ fees totaled 264,911 units as of July 3, 2022. Each unit is equivalent to one share of the Company’s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INFORMATION</w:t>
      </w:r>
    </w:p>
    <w:p>
      <w:pPr>
        <w:spacing w:after="0" w:line="7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The Company reports its operations through three reportable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08" w:lineRule="exact"/>
        <w:rPr>
          <w:sz w:val="20"/>
          <w:szCs w:val="20"/>
          <w:color w:val="auto"/>
        </w:rPr>
      </w:pPr>
    </w:p>
    <w:p>
      <w:pPr>
        <w:jc w:val="both"/>
        <w:ind w:left="620" w:right="60" w:hanging="307"/>
        <w:spacing w:after="0" w:line="247" w:lineRule="auto"/>
        <w:tabs>
          <w:tab w:leader="none" w:pos="61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North America Confectionery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segment is responsible for our traditional chocolate and non-chocolate confectionery market position in the United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28" w:lineRule="exact"/>
        <w:rPr>
          <w:rFonts w:ascii="Times New Roman" w:cs="Times New Roman" w:eastAsia="Times New Roman" w:hAnsi="Times New Roman"/>
          <w:sz w:val="17"/>
          <w:szCs w:val="17"/>
          <w:b w:val="1"/>
          <w:bCs w:val="1"/>
          <w:i w:val="1"/>
          <w:iCs w:val="1"/>
          <w:color w:val="auto"/>
        </w:rPr>
      </w:pPr>
    </w:p>
    <w:p>
      <w:pPr>
        <w:ind w:left="620" w:right="420" w:hanging="307"/>
        <w:spacing w:after="0" w:line="294" w:lineRule="auto"/>
        <w:tabs>
          <w:tab w:leader="none" w:pos="61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North America Salty Snacks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segment is responsible for our salty snacking products in the United States. This includes ready-to-eat popcorn,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baked and trans fat free snacks, pretzels and other snacks.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234315</wp:posOffset>
            </wp:positionV>
            <wp:extent cx="188595" cy="163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right="20" w:hanging="307"/>
        <w:spacing w:after="0" w:line="267" w:lineRule="auto"/>
        <w:tabs>
          <w:tab w:leader="none" w:pos="616"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International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International is a combination of all other operating segments that are not individually material, including those geographic regions where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7"/>
                <w:szCs w:val="17"/>
                <w:color w:val="auto"/>
              </w:rPr>
            </w:pPr>
          </w:p>
        </w:tc>
        <w:tc>
          <w:tcPr>
            <w:tcW w:w="2880" w:type="dxa"/>
            <w:vAlign w:val="bottom"/>
            <w:gridSpan w:val="4"/>
          </w:tcPr>
          <w:p>
            <w:pPr>
              <w:jc w:val="right"/>
              <w:ind w:right="85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00"/>
        </w:trPr>
        <w:tc>
          <w:tcPr>
            <w:tcW w:w="4920" w:type="dxa"/>
            <w:vAlign w:val="bottom"/>
            <w:tcBorders>
              <w:top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9"/>
        </w:trPr>
        <w:tc>
          <w:tcPr>
            <w:tcW w:w="492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1,909,101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1,690,372</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4,126,145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3,675,788</w:t>
            </w:r>
          </w:p>
        </w:tc>
      </w:tr>
      <w:tr>
        <w:trPr>
          <w:trHeight w:val="219"/>
        </w:trPr>
        <w:tc>
          <w:tcPr>
            <w:tcW w:w="49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249,621</w:t>
            </w:r>
          </w:p>
        </w:tc>
      </w:tr>
      <w:tr>
        <w:trPr>
          <w:trHeight w:val="219"/>
        </w:trPr>
        <w:tc>
          <w:tcPr>
            <w:tcW w:w="492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430,239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359,961</w:t>
            </w:r>
          </w:p>
        </w:tc>
      </w:tr>
      <w:tr>
        <w:trPr>
          <w:trHeight w:val="237"/>
        </w:trPr>
        <w:tc>
          <w:tcPr>
            <w:tcW w:w="49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2,372,582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1,989,422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5,038,803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4,285,370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492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618,864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554,488</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1,400,749</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1,197,093</w:t>
            </w:r>
          </w:p>
        </w:tc>
      </w:tr>
      <w:tr>
        <w:trPr>
          <w:trHeight w:val="219"/>
        </w:trPr>
        <w:tc>
          <w:tcPr>
            <w:tcW w:w="49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51,419</w:t>
            </w:r>
          </w:p>
        </w:tc>
      </w:tr>
      <w:tr>
        <w:trPr>
          <w:trHeight w:val="219"/>
        </w:trPr>
        <w:tc>
          <w:tcPr>
            <w:tcW w:w="492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54,976</w:t>
            </w:r>
          </w:p>
        </w:tc>
      </w:tr>
      <w:tr>
        <w:trPr>
          <w:trHeight w:val="212"/>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608,088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1,532,162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1,303,488</w:t>
            </w:r>
          </w:p>
        </w:tc>
      </w:tr>
      <w:tr>
        <w:trPr>
          <w:trHeight w:val="219"/>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Unallocated corporate expense (1)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289,042</w:t>
            </w:r>
          </w:p>
        </w:tc>
      </w:tr>
      <w:tr>
        <w:trPr>
          <w:trHeight w:val="168"/>
        </w:trPr>
        <w:tc>
          <w:tcPr>
            <w:tcW w:w="4920" w:type="dxa"/>
            <w:vAlign w:val="bottom"/>
            <w:gridSpan w:val="7"/>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Unallocated mark-to-market losses (gains) on commodity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w:t>
            </w:r>
          </w:p>
        </w:tc>
      </w:tr>
      <w:tr>
        <w:trPr>
          <w:trHeight w:val="180"/>
        </w:trPr>
        <w:tc>
          <w:tcPr>
            <w:tcW w:w="492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Costs associated with business realignment activities (see </w:t>
            </w:r>
            <w:r>
              <w:rPr>
                <w:rFonts w:ascii="Times New Roman" w:cs="Times New Roman" w:eastAsia="Times New Roman" w:hAnsi="Times New Roman"/>
                <w:sz w:val="17"/>
                <w:szCs w:val="17"/>
                <w:color w:val="0000FF"/>
              </w:rPr>
              <w:t>Note 9</w:t>
            </w: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3,469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1,980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10,396</w:t>
            </w: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0000FF"/>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1"/>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456,675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1,009,719</w:t>
            </w:r>
          </w:p>
        </w:tc>
      </w:tr>
      <w:tr>
        <w:trPr>
          <w:trHeight w:val="180"/>
        </w:trPr>
        <w:tc>
          <w:tcPr>
            <w:tcW w:w="492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Interest expense, net (see </w:t>
            </w:r>
            <w:r>
              <w:rPr>
                <w:rFonts w:ascii="Times New Roman" w:cs="Times New Roman" w:eastAsia="Times New Roman" w:hAnsi="Times New Roman"/>
                <w:sz w:val="17"/>
                <w:szCs w:val="17"/>
                <w:color w:val="0000FF"/>
              </w:rPr>
              <w:t>Note 4</w:t>
            </w: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33,413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31,065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66,592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67,501</w:t>
            </w:r>
          </w:p>
        </w:tc>
      </w:tr>
      <w:tr>
        <w:trPr>
          <w:trHeight w:val="29"/>
        </w:trPr>
        <w:tc>
          <w:tcPr>
            <w:tcW w:w="18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920" w:type="dxa"/>
            <w:vAlign w:val="bottom"/>
            <w:gridSpan w:val="7"/>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 xml:space="preserve">Other (income) expense, net (see </w:t>
            </w:r>
            <w:r>
              <w:rPr>
                <w:rFonts w:ascii="Times New Roman" w:cs="Times New Roman" w:eastAsia="Times New Roman" w:hAnsi="Times New Roman"/>
                <w:sz w:val="17"/>
                <w:szCs w:val="17"/>
                <w:color w:val="0000FF"/>
              </w:rPr>
              <w:t>Note 17</w:t>
            </w: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19,658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7,194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30,065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9,608</w:t>
            </w:r>
          </w:p>
        </w:tc>
      </w:tr>
      <w:tr>
        <w:trPr>
          <w:trHeight w:val="211"/>
        </w:trPr>
        <w:tc>
          <w:tcPr>
            <w:tcW w:w="232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560" w:type="dxa"/>
            <w:vAlign w:val="bottom"/>
            <w:tcBorders>
              <w:top w:val="single" w:sz="8" w:color="0000FF"/>
            </w:tcBorders>
          </w:tcPr>
          <w:p>
            <w:pPr>
              <w:spacing w:after="0"/>
              <w:rPr>
                <w:sz w:val="18"/>
                <w:szCs w:val="18"/>
                <w:color w:val="auto"/>
              </w:rPr>
            </w:pPr>
          </w:p>
        </w:tc>
        <w:tc>
          <w:tcPr>
            <w:tcW w:w="204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403,460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418,416</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1,080,864</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932,610</w:t>
            </w:r>
          </w:p>
        </w:tc>
      </w:tr>
      <w:tr>
        <w:trPr>
          <w:trHeight w:val="20"/>
        </w:trPr>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right="120" w:hanging="317"/>
        <w:spacing w:after="0" w:line="287" w:lineRule="auto"/>
        <w:tabs>
          <w:tab w:leader="none" w:pos="31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centrally-managed (a) corporate functional costs relating to legal, treasury, finance, and human resources, (b) expenses associated with the oversight and administration of our global operations, including warehousing,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245745</wp:posOffset>
            </wp:positionV>
            <wp:extent cx="188595" cy="163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348" w:lineRule="exact"/>
        <w:rPr>
          <w:sz w:val="20"/>
          <w:szCs w:val="20"/>
          <w:color w:val="auto"/>
        </w:rPr>
      </w:pPr>
    </w:p>
    <w:p>
      <w:pPr>
        <w:ind w:left="320" w:right="40"/>
        <w:spacing w:after="0" w:line="287" w:lineRule="auto"/>
        <w:rPr>
          <w:sz w:val="20"/>
          <w:szCs w:val="20"/>
          <w:color w:val="auto"/>
        </w:rPr>
      </w:pPr>
      <w:r>
        <w:rPr>
          <w:rFonts w:ascii="Times New Roman" w:cs="Times New Roman" w:eastAsia="Times New Roman" w:hAnsi="Times New Roman"/>
          <w:sz w:val="17"/>
          <w:szCs w:val="17"/>
          <w:color w:val="auto"/>
        </w:rPr>
        <w:t>distribution and manufacturing, information systems and global shared services, (c) non-cash stock-based compensation expense, (d) acquisition-related costs, and (e) other gains or losses that are not integral to segment performance.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7"/>
                <w:szCs w:val="17"/>
                <w:color w:val="auto"/>
              </w:rPr>
            </w:pPr>
          </w:p>
        </w:tc>
        <w:tc>
          <w:tcPr>
            <w:tcW w:w="2880" w:type="dxa"/>
            <w:vAlign w:val="bottom"/>
            <w:gridSpan w:val="4"/>
          </w:tcPr>
          <w:p>
            <w:pPr>
              <w:ind w:left="7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158"/>
        </w:trPr>
        <w:tc>
          <w:tcPr>
            <w:tcW w:w="492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7"/>
                <w:szCs w:val="17"/>
                <w:color w:val="auto"/>
              </w:rPr>
              <w:t>Net losses (gains) on mark-to-market valuation of commodity</w:t>
            </w: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positions recognized in income</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(30,556)</w:t>
            </w:r>
          </w:p>
        </w:tc>
        <w:tc>
          <w:tcPr>
            <w:tcW w:w="0" w:type="dxa"/>
            <w:vAlign w:val="bottom"/>
          </w:tcPr>
          <w:p>
            <w:pPr>
              <w:spacing w:after="0"/>
              <w:rPr>
                <w:sz w:val="1"/>
                <w:szCs w:val="1"/>
                <w:color w:val="auto"/>
              </w:rPr>
            </w:pPr>
          </w:p>
        </w:tc>
      </w:tr>
      <w:tr>
        <w:trPr>
          <w:trHeight w:val="177"/>
        </w:trPr>
        <w:tc>
          <w:tcPr>
            <w:tcW w:w="49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Net gains on commodity derivative positions reclassified from</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unallocated to segment income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55,530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24,887</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Net losses (gains) on mark-to-market valuation of commodity</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derivative positions recognized in unallocated derivative (gains)</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13,459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As of July 3, 2022, the cumulative amount of mark-to-market gains on commodity derivatives that have been recognized in our consolidated cost of sales and not yet allocated to reportable segments was $73,456. Based on our forecasts of the timing of the recognition of the underlying hedged items, we expect to reclassify net pre-tax gains on commodity derivatives of $74,325 to segment operating results in the next twelve months.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7"/>
                <w:szCs w:val="17"/>
                <w:color w:val="auto"/>
              </w:rPr>
            </w:pPr>
          </w:p>
        </w:tc>
        <w:tc>
          <w:tcPr>
            <w:tcW w:w="2880" w:type="dxa"/>
            <w:vAlign w:val="bottom"/>
            <w:gridSpan w:val="4"/>
          </w:tcPr>
          <w:p>
            <w:pPr>
              <w:jc w:val="right"/>
              <w:ind w:right="85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4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57,439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104,189</w:t>
            </w:r>
          </w:p>
        </w:tc>
      </w:tr>
      <w:tr>
        <w:trPr>
          <w:trHeight w:val="219"/>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13,925</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11,656</w:t>
            </w:r>
          </w:p>
        </w:tc>
      </w:tr>
      <w:tr>
        <w:trPr>
          <w:trHeight w:val="21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24,159</w:t>
            </w: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153,929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information regarding our net sales disaggregated by geographical region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7"/>
                <w:szCs w:val="17"/>
                <w:color w:val="auto"/>
              </w:rPr>
            </w:pPr>
          </w:p>
        </w:tc>
        <w:tc>
          <w:tcPr>
            <w:tcW w:w="2880" w:type="dxa"/>
            <w:vAlign w:val="bottom"/>
            <w:gridSpan w:val="4"/>
          </w:tcPr>
          <w:p>
            <w:pPr>
              <w:jc w:val="right"/>
              <w:ind w:right="85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00"/>
        </w:trPr>
        <w:tc>
          <w:tcPr>
            <w:tcW w:w="27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United States</w:t>
            </w:r>
          </w:p>
        </w:tc>
        <w:tc>
          <w:tcPr>
            <w:tcW w:w="24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2,060,047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1,681,397</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4,400,693</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3,664,120</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All other countries</w:t>
            </w:r>
          </w:p>
        </w:tc>
        <w:tc>
          <w:tcPr>
            <w:tcW w:w="2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621,250</w:t>
            </w:r>
          </w:p>
        </w:tc>
      </w:tr>
      <w:tr>
        <w:trPr>
          <w:trHeight w:val="212"/>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2,372,582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1,989,422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5,038,803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4,285,370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5420" w:type="dxa"/>
            <w:vAlign w:val="bottom"/>
            <w:gridSpan w:val="7"/>
          </w:tcPr>
          <w:p>
            <w:pPr>
              <w:ind w:left="1200"/>
              <w:spacing w:after="0"/>
              <w:rPr>
                <w:sz w:val="20"/>
                <w:szCs w:val="20"/>
                <w:color w:val="auto"/>
              </w:rPr>
            </w:pPr>
            <w:r>
              <w:rPr>
                <w:rFonts w:ascii="Times New Roman" w:cs="Times New Roman" w:eastAsia="Times New Roman" w:hAnsi="Times New Roman"/>
                <w:sz w:val="15"/>
                <w:szCs w:val="15"/>
                <w:color w:val="auto"/>
              </w:rPr>
              <w:t>The Hershey Company | Q2 2022 Form 10-Q | Page 28</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-506730</wp:posOffset>
            </wp:positionV>
            <wp:extent cx="188595" cy="163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TREASURY STOCK ACTIVITY</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61"/>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treasury stock activity is as follows: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5"/>
        </w:trPr>
        <w:tc>
          <w:tcPr>
            <w:tcW w:w="7340" w:type="dxa"/>
            <w:vAlign w:val="bottom"/>
          </w:tcPr>
          <w:p>
            <w:pPr>
              <w:spacing w:after="0"/>
              <w:rPr>
                <w:sz w:val="21"/>
                <w:szCs w:val="21"/>
                <w:color w:val="auto"/>
              </w:rPr>
            </w:pPr>
          </w:p>
        </w:tc>
        <w:tc>
          <w:tcPr>
            <w:tcW w:w="39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7"/>
                <w:szCs w:val="17"/>
                <w:b w:val="1"/>
                <w:bCs w:val="1"/>
                <w:color w:val="auto"/>
              </w:rPr>
              <w:t>Six Months Ended July 3, 2022</w:t>
            </w:r>
          </w:p>
        </w:tc>
      </w:tr>
      <w:tr>
        <w:trPr>
          <w:trHeight w:val="212"/>
        </w:trPr>
        <w:tc>
          <w:tcPr>
            <w:tcW w:w="7340" w:type="dxa"/>
            <w:vAlign w:val="bottom"/>
          </w:tcPr>
          <w:p>
            <w:pPr>
              <w:spacing w:after="0"/>
              <w:rPr>
                <w:sz w:val="18"/>
                <w:szCs w:val="18"/>
                <w:color w:val="auto"/>
              </w:rPr>
            </w:pPr>
          </w:p>
        </w:tc>
        <w:tc>
          <w:tcPr>
            <w:tcW w:w="2000" w:type="dxa"/>
            <w:vAlign w:val="bottom"/>
            <w:gridSpan w:val="2"/>
          </w:tcPr>
          <w:p>
            <w:pPr>
              <w:ind w:left="7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320" w:type="dxa"/>
            <w:vAlign w:val="bottom"/>
          </w:tcPr>
          <w:p>
            <w:pPr>
              <w:spacing w:after="0"/>
              <w:rPr>
                <w:sz w:val="18"/>
                <w:szCs w:val="18"/>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Dollars</w:t>
            </w:r>
          </w:p>
        </w:tc>
      </w:tr>
      <w:tr>
        <w:trPr>
          <w:trHeight w:val="198"/>
        </w:trPr>
        <w:tc>
          <w:tcPr>
            <w:tcW w:w="734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In thousands</w:t>
            </w:r>
          </w:p>
        </w:tc>
      </w:tr>
      <w:tr>
        <w:trPr>
          <w:trHeight w:val="22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Milton Hershey School Trust repurchase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203,350</w:t>
            </w:r>
          </w:p>
        </w:tc>
      </w:tr>
      <w:tr>
        <w:trPr>
          <w:trHeight w:val="168"/>
        </w:trPr>
        <w:tc>
          <w:tcPr>
            <w:tcW w:w="73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repurchased in the open market to replace Treasury Stock issued for stock options and incentive</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679,000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151,921</w:t>
            </w: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 repurchases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355,271</w:t>
            </w:r>
          </w:p>
        </w:tc>
      </w:tr>
      <w:tr>
        <w:trPr>
          <w:trHeight w:val="21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issued for stock options and incentive compensation</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w w:val="99"/>
              </w:rPr>
              <w:t>(22,527)</w:t>
            </w:r>
          </w:p>
        </w:tc>
      </w:tr>
      <w:tr>
        <w:trPr>
          <w:trHeight w:val="23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332,744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February 2022, the Company entered into a Stock Purchase Agreement with Hershey Trust Company, as trustee for the Milton Hershey School Trust (the “School Trust”), pursuant to which the Company purchased 1,000,000 shares of the Company’s Common Stock from the School Trust at a price equal to $203.35 per share, for a total purchase price of $203,350.</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July 2018, our Board of Directors approved a $500,000 share repurchase authorization to repurchase shares of our Common Stock. As of July 3, 2022, $109,983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CONTINGENCIES</w:t>
      </w:r>
    </w:p>
    <w:p>
      <w:pPr>
        <w:spacing w:after="0" w:line="10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On February 12, 2021, Issouf Coubaly, individually and on behalf of proposed class members, filed a complaint (Coubaly v. Nestlé U.S.A. et al., 1:21-cv-00386-DLF (D.D.C. Feb. 12, 2021)) in the District Court of the District of Columbia, seeking injunctive relief and unspecified damages for alleged violations of child labor and human trafficking laws under the Trafficking Victims Protection Reauthorization Act. The Company was among several defendants named in the suit. The defendants filed a joint motion to dismiss the case on July 30, 2021, and on June 28, 2022, the District Court granted the motion and dismissed the case without prejudice. On July 22, 2022, the plaintiffs filed an appeal in the U.S. Court of Appeals for the District of Columbia challenging the dismissal of the case. The Company continues to believe that the suit, including the appeal, is without merit and is defending vigorously against the appeal.</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to the above-referenced matter, 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260350</wp:posOffset>
            </wp:positionV>
            <wp:extent cx="188595" cy="163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EARNINGS PER SHARE</w:t>
      </w:r>
    </w:p>
    <w:p>
      <w:pPr>
        <w:spacing w:after="0" w:line="16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We compute basic earnings per share for Common Stock and Class B common stock using the two-class method. The Class B common stock is convertible into Common Stock on a share-for-share basis at any time. In June 2022, 1,500,000 shares of Class B Common Stock were converted to Common Stock by Hershey Trust Company, as trustee for the School Trust.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5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3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43"/>
              <w:spacing w:after="0" w:line="14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12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23"/>
              <w:spacing w:after="0" w:line="14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0" w:type="dxa"/>
            <w:vAlign w:val="bottom"/>
          </w:tcPr>
          <w:p>
            <w:pPr>
              <w:spacing w:after="0"/>
              <w:rPr>
                <w:sz w:val="1"/>
                <w:szCs w:val="1"/>
                <w:color w:val="auto"/>
              </w:rPr>
            </w:pPr>
          </w:p>
        </w:tc>
      </w:tr>
      <w:tr>
        <w:trPr>
          <w:trHeight w:val="205"/>
        </w:trPr>
        <w:tc>
          <w:tcPr>
            <w:tcW w:w="64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240" w:type="dxa"/>
            <w:vAlign w:val="bottom"/>
            <w:gridSpan w:val="3"/>
            <w:vMerge w:val="continue"/>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187"/>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w:t>
            </w: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Allocation of distributed earnings (cash dividends paid)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44,308</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Allocation of undistributed earnings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99,227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36,429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101,414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38,251</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earnings—basic</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230,304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85,252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218,671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82,559</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weighted-average shares—basic</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146,362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59,114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146,111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25"/>
        </w:trPr>
        <w:tc>
          <w:tcPr>
            <w:tcW w:w="6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Earnings Per Share—basic</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Allocation of total earnings used in basic computation</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230,304</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85,252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218,671</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82,559</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Reallocation of total earnings as a result of conversion of Class B common stock to Common</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85,252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82,559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w:t>
            </w:r>
          </w:p>
        </w:tc>
        <w:tc>
          <w:tcPr>
            <w:tcW w:w="3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Reallocation of undistributed earnings</w:t>
            </w:r>
          </w:p>
        </w:tc>
        <w:tc>
          <w:tcPr>
            <w:tcW w:w="3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earnings—diluted</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315,556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85,063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301,230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82,380</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Number of shares used in basic computation</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146,362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59,114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146,111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Weighted-average effect of dilutive securities: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Conversion of Class B common stock to Common shares outstanding</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Employee stock options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Performance and restricted stock units</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weighted-average shares—diluted</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206,449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59,114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207,671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Share—diluted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The earnings per share calculations for the three months ended July 3, 2022 and July 4, 2021 excluded 4 and 43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311150</wp:posOffset>
            </wp:positionV>
            <wp:extent cx="188595" cy="163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320" w:type="dxa"/>
            <w:vAlign w:val="bottom"/>
          </w:tcPr>
          <w:p>
            <w:pPr>
              <w:spacing w:after="0"/>
              <w:rPr>
                <w:sz w:val="17"/>
                <w:szCs w:val="17"/>
                <w:color w:val="auto"/>
              </w:rPr>
            </w:pPr>
          </w:p>
        </w:tc>
        <w:tc>
          <w:tcPr>
            <w:tcW w:w="2020" w:type="dxa"/>
            <w:vAlign w:val="bottom"/>
            <w:gridSpan w:val="4"/>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43"/>
              <w:spacing w:after="0" w:line="149" w:lineRule="exact"/>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12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23"/>
              <w:spacing w:after="0" w:line="149" w:lineRule="exact"/>
              <w:rPr>
                <w:sz w:val="20"/>
                <w:szCs w:val="20"/>
                <w:color w:val="auto"/>
              </w:rPr>
            </w:pPr>
            <w:r>
              <w:rPr>
                <w:rFonts w:ascii="Times New Roman" w:cs="Times New Roman" w:eastAsia="Times New Roman" w:hAnsi="Times New Roman"/>
                <w:sz w:val="15"/>
                <w:szCs w:val="15"/>
                <w:b w:val="1"/>
                <w:bCs w:val="1"/>
                <w:color w:val="auto"/>
              </w:rPr>
              <w:t>Class B</w:t>
            </w:r>
          </w:p>
        </w:tc>
        <w:tc>
          <w:tcPr>
            <w:tcW w:w="0" w:type="dxa"/>
            <w:vAlign w:val="bottom"/>
          </w:tcPr>
          <w:p>
            <w:pPr>
              <w:spacing w:after="0"/>
              <w:rPr>
                <w:sz w:val="1"/>
                <w:szCs w:val="1"/>
                <w:color w:val="auto"/>
              </w:rPr>
            </w:pPr>
          </w:p>
        </w:tc>
      </w:tr>
      <w:tr>
        <w:trPr>
          <w:trHeight w:val="205"/>
        </w:trPr>
        <w:tc>
          <w:tcPr>
            <w:tcW w:w="64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240" w:type="dxa"/>
            <w:vAlign w:val="bottom"/>
            <w:gridSpan w:val="3"/>
            <w:vMerge w:val="continue"/>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187"/>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w:t>
            </w: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Allocation of distributed earnings (cash dividends paid)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88,617</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Allocation of undistributed earnings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356,240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131,810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270,866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101,859</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earnings—basic</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619,577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229,457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506,553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190,476</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weighted-average shares—basic</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146,248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59,530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146,550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25"/>
        </w:trPr>
        <w:tc>
          <w:tcPr>
            <w:tcW w:w="6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Earnings Per Share—basic</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Allocation of total earnings used in basic computation</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619,577</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229,457</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506,553</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190,476</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Reallocation of total earnings as a result of conversion of Class B common stock to Common</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229,457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190,476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w:t>
            </w:r>
          </w:p>
        </w:tc>
        <w:tc>
          <w:tcPr>
            <w:tcW w:w="3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Reallocation of undistributed earnings</w:t>
            </w:r>
          </w:p>
        </w:tc>
        <w:tc>
          <w:tcPr>
            <w:tcW w:w="3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earnings—diluted</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849,034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228,735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697,029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189,992</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Number of shares used in basic computation</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146,248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59,530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Weighted-average effect of dilutive securities: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Conversion of Class B common stock to Common shares outstanding</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Employee stock options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Performance and restricted stock units</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weighted-average shares—diluted</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206,861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59,530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208,126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Share—diluted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earnings per share calculations for the six months ended July 3, 2022 and July 4, 2021 excluded 4 and 43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237490</wp:posOffset>
            </wp:positionV>
            <wp:extent cx="188595" cy="163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OTHER (INCOME) EXPENSE, NET</w:t>
      </w:r>
    </w:p>
    <w:p>
      <w:pPr>
        <w:spacing w:after="0" w:line="24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17"/>
                <w:szCs w:val="17"/>
                <w:color w:val="auto"/>
              </w:rPr>
            </w:pPr>
          </w:p>
        </w:tc>
        <w:tc>
          <w:tcPr>
            <w:tcW w:w="2940" w:type="dxa"/>
            <w:vAlign w:val="bottom"/>
            <w:gridSpan w:val="4"/>
          </w:tcPr>
          <w:p>
            <w:pPr>
              <w:jc w:val="right"/>
              <w:ind w:right="89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3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158"/>
        </w:trPr>
        <w:tc>
          <w:tcPr>
            <w:tcW w:w="4760" w:type="dxa"/>
            <w:vAlign w:val="bottom"/>
            <w:tcBorders>
              <w:top w:val="single" w:sz="8" w:color="CCEEFF"/>
            </w:tcBorders>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7"/>
                <w:szCs w:val="17"/>
                <w:color w:val="auto"/>
              </w:rPr>
              <w:t>Write-down of equity investments in partnerships qualifying for</w:t>
            </w:r>
          </w:p>
        </w:tc>
        <w:tc>
          <w:tcPr>
            <w:tcW w:w="2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r>
      <w:tr>
        <w:trPr>
          <w:trHeight w:val="184"/>
        </w:trPr>
        <w:tc>
          <w:tcPr>
            <w:tcW w:w="476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historic and renewable energy tax credits (see </w:t>
            </w:r>
            <w:r>
              <w:rPr>
                <w:rFonts w:ascii="Times New Roman" w:cs="Times New Roman" w:eastAsia="Times New Roman" w:hAnsi="Times New Roman"/>
                <w:sz w:val="17"/>
                <w:szCs w:val="17"/>
                <w:color w:val="0000FF"/>
              </w:rPr>
              <w:t>Note 8</w:t>
            </w: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14,848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4"/>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4,880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4"/>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27,440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4"/>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7,771</w:t>
            </w:r>
          </w:p>
        </w:tc>
      </w:tr>
      <w:tr>
        <w:trPr>
          <w:trHeight w:val="39"/>
        </w:trPr>
        <w:tc>
          <w:tcPr>
            <w:tcW w:w="320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r>
        <w:trPr>
          <w:trHeight w:val="177"/>
        </w:trPr>
        <w:tc>
          <w:tcPr>
            <w:tcW w:w="476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7"/>
                <w:szCs w:val="17"/>
                <w:color w:val="auto"/>
              </w:rPr>
              <w:t>Non-service cost components of net periodic benefit cost relating to</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3"/>
        </w:trPr>
        <w:tc>
          <w:tcPr>
            <w:tcW w:w="476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pension and other post-retirement benefit plans (see </w:t>
            </w:r>
            <w:r>
              <w:rPr>
                <w:rFonts w:ascii="Times New Roman" w:cs="Times New Roman" w:eastAsia="Times New Roman" w:hAnsi="Times New Roman"/>
                <w:sz w:val="17"/>
                <w:szCs w:val="17"/>
                <w:color w:val="0000FF"/>
              </w:rPr>
              <w:t>Note 11</w:t>
            </w: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4,749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2,304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2,567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1,820</w:t>
            </w:r>
          </w:p>
        </w:tc>
      </w:tr>
      <w:tr>
        <w:trPr>
          <w:trHeight w:val="228"/>
        </w:trPr>
        <w:tc>
          <w:tcPr>
            <w:tcW w:w="36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500" w:type="dxa"/>
            <w:vAlign w:val="bottom"/>
            <w:tcBorders>
              <w:top w:val="single" w:sz="8" w:color="0000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30,065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9,608</w:t>
            </w:r>
          </w:p>
        </w:tc>
      </w:tr>
      <w:tr>
        <w:trPr>
          <w:trHeight w:val="20"/>
        </w:trPr>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RELATED PARTY TRANSACTIONS</w:t>
      </w:r>
    </w:p>
    <w:p>
      <w:pPr>
        <w:spacing w:after="0" w:line="169"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Hershey Trust Company, as trustee for the trust established by Milton S. and Catherine S. Hershey that has as its sole beneficiary the School Trust, maintains voting control over The Hershey Company.</w:t>
      </w:r>
    </w:p>
    <w:p>
      <w:pPr>
        <w:spacing w:after="0" w:line="10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In any given year, we may engage in certain transactions with Hershey Trust Company, Milton Hershey School, the Milton Hershey School Trust and companies owned by and/or affiliated with any of the foregoing. Most transactions with these related parties are immaterial and do not require disclosure, but certain transactions are more significant in nature and have been deemed material for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material related party transactions with Hershey Trust Company and/or its affiliates for the six months ended July 3, 2022 is as follows: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Sale and Donation of Property, Plant and Equipment</w:t>
      </w:r>
    </w:p>
    <w:p>
      <w:pPr>
        <w:spacing w:after="0" w:line="2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May 2022, the Company entered into a Purchase and Sale Agreement (the “Purchase Agreement”) with Hershey Trust Company, as trustee for the School Trust, pursuant to which the Company agreed to sell certain real and personal property consisting of approximately six acres of land located in Hershey, Pennsylvania, together with portions of a building located on the land. Additionally, in June 2022, the Company entered into a Donation Agreement with Hershey Trust Company, as trustee for The M.S. Hershey Foundation, pursuant to which the Company agreed to donate a portion of the building concurrently with the closing of the Purchase Agreement. The sale and donation transactions closed in June 2022. Total proceeds from the sale were approximately $6,300 (net of transaction and closing costs), resulting in a loss of $13,568, which was recorded in the SM&amp;A expense caption within the Consolidated Statements of Income. The fair values of the disposed assets were supported by independent appraisals of fair market value and the proposed sales price submitted by a third-party buyer pursuant to a bona fide, arm’s length offer received prior to executing the Purchase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Purchase Agreement</w:t>
      </w:r>
    </w:p>
    <w:p>
      <w:pPr>
        <w:spacing w:after="0" w:line="16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 xml:space="preserve">In February 2022, the Company entered into a Stock Purchase Agreement with Hershey Trust Company, as trustee for the School Trust, pursuant to which the Company purchased shares of its Common Stock from the School Trust (see </w:t>
      </w:r>
      <w:r>
        <w:rPr>
          <w:rFonts w:ascii="Times New Roman" w:cs="Times New Roman" w:eastAsia="Times New Roman" w:hAnsi="Times New Roman"/>
          <w:sz w:val="17"/>
          <w:szCs w:val="17"/>
          <w:u w:val="single" w:color="auto"/>
          <w:color w:val="0000FF"/>
        </w:rPr>
        <w:t>Note 14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237490</wp:posOffset>
            </wp:positionV>
            <wp:extent cx="188595" cy="163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SUPPLEMENTAL BALANCE SHEET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certain Consolidated Balance Sheet accounts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300" w:type="dxa"/>
            <w:vAlign w:val="bottom"/>
          </w:tcPr>
          <w:p>
            <w:pPr>
              <w:spacing w:after="0"/>
              <w:rPr>
                <w:sz w:val="17"/>
                <w:szCs w:val="17"/>
                <w:color w:val="auto"/>
              </w:rPr>
            </w:pPr>
          </w:p>
        </w:tc>
        <w:tc>
          <w:tcPr>
            <w:tcW w:w="196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89"/>
        </w:trPr>
        <w:tc>
          <w:tcPr>
            <w:tcW w:w="36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Inventories:</w:t>
            </w:r>
          </w:p>
        </w:tc>
        <w:tc>
          <w:tcPr>
            <w:tcW w:w="30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Raw materials</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390,557</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395,358</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Goods in process</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110,008</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Finished goods</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841,036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649,082</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Inventories at First In First Out</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1,396,037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1,154,448</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Adjustment to Last In First Out</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(187,798)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(165,937)</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inventories</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1,208,239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988,511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Prepaid expenses and other:</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95,761</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129,287</w:t>
            </w:r>
          </w:p>
        </w:tc>
      </w:tr>
      <w:tr>
        <w:trPr>
          <w:trHeight w:val="20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30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130,344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127,678</w:t>
            </w:r>
          </w:p>
        </w:tc>
      </w:tr>
      <w:tr>
        <w:trPr>
          <w:trHeight w:val="202"/>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prepaid expenses and other</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226,105</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256,965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r>
      <w:tr>
        <w:trPr>
          <w:trHeight w:val="205"/>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Land</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156,706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154,494</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Buildings</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1,523,736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1,508,139</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Machinery and equipment</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3,547,096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3,443,500</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245,159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294,824</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plant and equipment, gross</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5,472,697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5,400,957</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(2,881,871)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(2,814,770)</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2,590,826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2,586,187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non-current assets:</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Pension</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36,743</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71,618</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Capitalized software, net</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296,021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260,656</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Operating lease ROU assets</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337,311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351,712</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Investments in unconsolidated affiliates</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93,089</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95,016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91,128</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non-current assets</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904,822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868,203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Accrued liabilities:</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Payroll, compensation and benefits</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213,224</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291,446</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Advertising, promotion and product allowances</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310,713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305,050</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36,292</w:t>
            </w:r>
          </w:p>
        </w:tc>
      </w:tr>
      <w:tr>
        <w:trPr>
          <w:trHeight w:val="20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30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180,280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222,850</w:t>
            </w:r>
          </w:p>
        </w:tc>
      </w:tr>
      <w:tr>
        <w:trPr>
          <w:trHeight w:val="202"/>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accrued liabilities</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736,685</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855,638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r>
      <w:tr>
        <w:trPr>
          <w:trHeight w:val="205"/>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Other long-term liabilities:</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Post-retirement benefits liabilities</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185,214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193,604</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Pension benefits liabilities</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37,023</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302,954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310,899</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242,843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245,532</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long-term liabilities</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764,041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787,058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other comprehensive loss:</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37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(102,365)</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(100,025)</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Pension and post-retirement benefit plans, net of tax</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(116,381)</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Cash flow hedges, net of tax</w:t>
            </w:r>
          </w:p>
        </w:tc>
        <w:tc>
          <w:tcPr>
            <w:tcW w:w="30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(28,230)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(32,809)</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accumulated other comprehensive loss</w:t>
            </w:r>
          </w:p>
        </w:tc>
        <w:tc>
          <w:tcPr>
            <w:tcW w:w="3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(268,381)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706"/>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3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The Hershey Company | Q2 2022 Form 10-Q | Page 33</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51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-498475</wp:posOffset>
            </wp:positionV>
            <wp:extent cx="188595" cy="163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line="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2021 Annual Report on Form 10-K for information concerning the key risks to achieving future performance goals.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MD&amp;A is organized in the following sections:</w:t>
      </w:r>
    </w:p>
    <w:p>
      <w:pPr>
        <w:spacing w:after="0" w:line="62" w:lineRule="exact"/>
        <w:rPr>
          <w:sz w:val="20"/>
          <w:szCs w:val="20"/>
          <w:color w:val="auto"/>
        </w:rPr>
      </w:pPr>
    </w:p>
    <w:p>
      <w:pPr>
        <w:ind w:left="860" w:hanging="547"/>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Overview</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Trends Affecting Our Business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Consolidated Results of Operations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Segment Results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Liquidity and Capital Resources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Safe Harbor Statement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100 brand names in approximately 80 countries worldwide.</w:t>
      </w:r>
    </w:p>
    <w:p>
      <w:pPr>
        <w:spacing w:after="0" w:line="1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Acquisitions and Divestiture</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 xml:space="preserve">In December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Additionally,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7"/>
          <w:szCs w:val="17"/>
          <w:i w:val="1"/>
          <w:iCs w:val="1"/>
          <w:color w:val="auto"/>
        </w:rPr>
        <w:t>Dot’s Homestyle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Pretzels </w:t>
      </w:r>
      <w:r>
        <w:rPr>
          <w:rFonts w:ascii="Times New Roman" w:cs="Times New Roman" w:eastAsia="Times New Roman" w:hAnsi="Times New Roman"/>
          <w:sz w:val="17"/>
          <w:szCs w:val="17"/>
          <w:color w:val="auto"/>
        </w:rPr>
        <w:t>snacks as its primary product. Dot’s is the fastest-growing scale brand in the pretzel category and complements Hershey’s snacks portfolio.</w:t>
      </w:r>
    </w:p>
    <w:p>
      <w:pPr>
        <w:spacing w:after="0" w:line="12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w:t>
      </w:r>
    </w:p>
    <w:p>
      <w:pPr>
        <w:spacing w:after="0" w:line="11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In January 2021, we completed the divestiture of Lotte Shanghai Foods Co., Ltd., which was previously included within the International segment results in our consolidated financial statements. Total proceeds from the divestiture and the impact on our consolidated financial statements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245745</wp:posOffset>
            </wp:positionV>
            <wp:extent cx="188595" cy="163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AFFECTING OUR BUSINESS</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On March 11, 2020, the World Health Organization designated coronavirus disease 2019 (“COVID-19”) as a global pandemic, which has spread worldwide and impacted various markets around the world, including the U.S. Throughout the pandemic we have remained committed to promoting the health and safety of our employees and communities and helping to maintain the global food supply. Through the first half of 2022, relatively minimal COVID-19 restrictions remained as vaccination status (including vaccine boosters) continued to increase around the world, albeit with slower than anticipated rollouts and challenges within certain countries. The lifting of restrictions has resulted in daily activities and habits being more representative of pre-pandemic times. However, beginning in 2021, and continuing through the six months ended July 3, 2022, the continued strong demand for consumer goods and the effects of COVID-19 mitigation strategies have led to broad-based supply chain disruptions across the U.S. and globally, including inflation on many consumer products, labor shortages and demand outpacing supply. As a result, during the six months ended July 3, 2022, we continued to experience corresponding incremental costs and gross margin pressures (see </w:t>
      </w:r>
      <w:r>
        <w:rPr>
          <w:rFonts w:ascii="Times New Roman" w:cs="Times New Roman" w:eastAsia="Times New Roman" w:hAnsi="Times New Roman"/>
          <w:sz w:val="17"/>
          <w:szCs w:val="17"/>
          <w:u w:val="single" w:color="auto"/>
          <w:color w:val="0000FF"/>
        </w:rPr>
        <w:t>Results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of Operations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included in this MD&amp;A). We are continuing to work closely with our business units, contract manufacturers, distributors, contractors and other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external business partners to minimize the potential impact on our business.</w:t>
      </w:r>
    </w:p>
    <w:p>
      <w:pPr>
        <w:spacing w:after="0" w:line="20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addition to COVID-19 and broad-based supply chain disruptions, certain geopolitical events, specifically the conflict between Russia and Ukraine, have increased global economic and political uncertainty. For the six months ended July 3, 2022,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19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 xml:space="preserve">We experienced an increase in our net sales and net income during the three months ended July 3, 2022, which was primarily driven by strong everyday performance on our core U.S. confection brands and salty snack brands (see </w:t>
      </w:r>
      <w:r>
        <w:rPr>
          <w:rFonts w:ascii="Times New Roman" w:cs="Times New Roman" w:eastAsia="Times New Roman" w:hAnsi="Times New Roman"/>
          <w:sz w:val="17"/>
          <w:szCs w:val="17"/>
          <w:u w:val="single" w:color="auto"/>
          <w:color w:val="0000FF"/>
        </w:rPr>
        <w:t>Segment Results</w:t>
      </w:r>
      <w:r>
        <w:rPr>
          <w:rFonts w:ascii="Times New Roman" w:cs="Times New Roman" w:eastAsia="Times New Roman" w:hAnsi="Times New Roman"/>
          <w:sz w:val="17"/>
          <w:szCs w:val="17"/>
          <w:color w:val="auto"/>
        </w:rPr>
        <w:t xml:space="preserve"> included in this MD&amp;A), partially offset by the aforementioned supply chain disruptions and gross margin pressures. As of July 3, 2022, we believe we have sufficient liquidity to satisfy our key strategic initiatives and other material cash requirements;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7"/>
          <w:szCs w:val="17"/>
          <w:u w:val="single" w:color="auto"/>
          <w:color w:val="0000FF"/>
        </w:rPr>
        <w:t>Liquidity and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Resources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included in this MD&amp;A).</w:t>
      </w:r>
    </w:p>
    <w:p>
      <w:pPr>
        <w:spacing w:after="0" w:line="1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Based on the length and severity of COVID-19 and the conflict between Russia and Ukraine, including broad-based supply chain disruptions, rising levels of inflation, new trends in outbreaks and hotspots, the spread of COVID-19 variants, resurgences of COVID-19 cases and the continued distribution of vaccinations, we may experience continued volatility in retail foot traffic, consumer shopping and consumption behavior and may experience increasing supply chain costs and higher inflation.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399415</wp:posOffset>
            </wp:positionV>
            <wp:extent cx="188595" cy="163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140" w:type="dxa"/>
            <w:vAlign w:val="bottom"/>
          </w:tcPr>
          <w:p>
            <w:pPr>
              <w:spacing w:after="0"/>
              <w:rPr>
                <w:sz w:val="17"/>
                <w:szCs w:val="17"/>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140" w:type="dxa"/>
            <w:vAlign w:val="bottom"/>
          </w:tcPr>
          <w:p>
            <w:pPr>
              <w:spacing w:after="0"/>
              <w:rPr>
                <w:sz w:val="17"/>
                <w:szCs w:val="17"/>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386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2,372.6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1,989.4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5,038.8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4,285.4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17.6 %</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Cost of sales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1,372.6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1,064.0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29.0 %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2,793.3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2,311.0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20.9 %</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925.4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2,245.5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1,974.4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0" w:type="dxa"/>
            <w:vAlign w:val="bottom"/>
          </w:tcPr>
          <w:p>
            <w:pPr>
              <w:spacing w:after="0"/>
              <w:rPr>
                <w:sz w:val="1"/>
                <w:szCs w:val="1"/>
                <w:color w:val="auto"/>
              </w:rPr>
            </w:pPr>
          </w:p>
        </w:tc>
      </w:tr>
      <w:tr>
        <w:trPr>
          <w:trHeight w:val="198"/>
        </w:trPr>
        <w:tc>
          <w:tcPr>
            <w:tcW w:w="386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Gross margin</w:t>
            </w:r>
          </w:p>
        </w:tc>
        <w:tc>
          <w:tcPr>
            <w:tcW w:w="140" w:type="dxa"/>
            <w:vAlign w:val="bottom"/>
          </w:tcPr>
          <w:p>
            <w:pPr>
              <w:spacing w:after="0"/>
              <w:rPr>
                <w:sz w:val="17"/>
                <w:szCs w:val="17"/>
                <w:color w:val="auto"/>
              </w:rPr>
            </w:pPr>
          </w:p>
        </w:tc>
        <w:tc>
          <w:tcPr>
            <w:tcW w:w="1000" w:type="dxa"/>
            <w:vAlign w:val="bottom"/>
          </w:tcPr>
          <w:p>
            <w:pPr>
              <w:jc w:val="center"/>
              <w:ind w:left="423"/>
              <w:spacing w:after="0"/>
              <w:rPr>
                <w:sz w:val="20"/>
                <w:szCs w:val="20"/>
                <w:color w:val="auto"/>
              </w:rPr>
            </w:pPr>
            <w:r>
              <w:rPr>
                <w:rFonts w:ascii="Times New Roman" w:cs="Times New Roman" w:eastAsia="Times New Roman" w:hAnsi="Times New Roman"/>
                <w:sz w:val="15"/>
                <w:szCs w:val="15"/>
                <w:i w:val="1"/>
                <w:iCs w:val="1"/>
                <w:color w:val="auto"/>
              </w:rPr>
              <w:t>42.1 %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43"/>
              <w:spacing w:after="0"/>
              <w:rPr>
                <w:sz w:val="20"/>
                <w:szCs w:val="20"/>
                <w:color w:val="auto"/>
              </w:rPr>
            </w:pPr>
            <w:r>
              <w:rPr>
                <w:rFonts w:ascii="Times New Roman" w:cs="Times New Roman" w:eastAsia="Times New Roman" w:hAnsi="Times New Roman"/>
                <w:sz w:val="15"/>
                <w:szCs w:val="15"/>
                <w:i w:val="1"/>
                <w:iCs w:val="1"/>
                <w:color w:val="auto"/>
              </w:rPr>
              <w:t>46.5 %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43"/>
              <w:spacing w:after="0"/>
              <w:rPr>
                <w:sz w:val="20"/>
                <w:szCs w:val="20"/>
                <w:color w:val="auto"/>
              </w:rPr>
            </w:pPr>
            <w:r>
              <w:rPr>
                <w:rFonts w:ascii="Times New Roman" w:cs="Times New Roman" w:eastAsia="Times New Roman" w:hAnsi="Times New Roman"/>
                <w:sz w:val="15"/>
                <w:szCs w:val="15"/>
                <w:i w:val="1"/>
                <w:iCs w:val="1"/>
                <w:color w:val="auto"/>
              </w:rPr>
              <w:t>44.6 %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i w:val="1"/>
                <w:iCs w:val="1"/>
                <w:color w:val="auto"/>
              </w:rPr>
              <w:t>46.1 %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Selling, marketing &amp; administrative (“SM&amp;A”) expenses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543.5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467.6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1,067.7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962.3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0" w:type="dxa"/>
            <w:vAlign w:val="bottom"/>
          </w:tcPr>
          <w:p>
            <w:pPr>
              <w:spacing w:after="0"/>
              <w:rPr>
                <w:sz w:val="1"/>
                <w:szCs w:val="1"/>
                <w:color w:val="auto"/>
              </w:rPr>
            </w:pPr>
          </w:p>
        </w:tc>
      </w:tr>
      <w:tr>
        <w:trPr>
          <w:trHeight w:val="198"/>
        </w:trPr>
        <w:tc>
          <w:tcPr>
            <w:tcW w:w="386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SM&amp;A expense as a percent of net sales</w:t>
            </w:r>
          </w:p>
        </w:tc>
        <w:tc>
          <w:tcPr>
            <w:tcW w:w="140" w:type="dxa"/>
            <w:vAlign w:val="bottom"/>
          </w:tcPr>
          <w:p>
            <w:pPr>
              <w:spacing w:after="0"/>
              <w:rPr>
                <w:sz w:val="17"/>
                <w:szCs w:val="17"/>
                <w:color w:val="auto"/>
              </w:rPr>
            </w:pPr>
          </w:p>
        </w:tc>
        <w:tc>
          <w:tcPr>
            <w:tcW w:w="1000" w:type="dxa"/>
            <w:vAlign w:val="bottom"/>
          </w:tcPr>
          <w:p>
            <w:pPr>
              <w:jc w:val="center"/>
              <w:ind w:left="423"/>
              <w:spacing w:after="0"/>
              <w:rPr>
                <w:sz w:val="20"/>
                <w:szCs w:val="20"/>
                <w:color w:val="auto"/>
              </w:rPr>
            </w:pPr>
            <w:r>
              <w:rPr>
                <w:rFonts w:ascii="Times New Roman" w:cs="Times New Roman" w:eastAsia="Times New Roman" w:hAnsi="Times New Roman"/>
                <w:sz w:val="15"/>
                <w:szCs w:val="15"/>
                <w:i w:val="1"/>
                <w:iCs w:val="1"/>
                <w:color w:val="auto"/>
              </w:rPr>
              <w:t>22.9 %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43"/>
              <w:spacing w:after="0"/>
              <w:rPr>
                <w:sz w:val="20"/>
                <w:szCs w:val="20"/>
                <w:color w:val="auto"/>
              </w:rPr>
            </w:pPr>
            <w:r>
              <w:rPr>
                <w:rFonts w:ascii="Times New Roman" w:cs="Times New Roman" w:eastAsia="Times New Roman" w:hAnsi="Times New Roman"/>
                <w:sz w:val="15"/>
                <w:szCs w:val="15"/>
                <w:i w:val="1"/>
                <w:iCs w:val="1"/>
                <w:color w:val="auto"/>
              </w:rPr>
              <w:t>23.5 %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43"/>
              <w:spacing w:after="0"/>
              <w:rPr>
                <w:sz w:val="20"/>
                <w:szCs w:val="20"/>
                <w:color w:val="auto"/>
              </w:rPr>
            </w:pPr>
            <w:r>
              <w:rPr>
                <w:rFonts w:ascii="Times New Roman" w:cs="Times New Roman" w:eastAsia="Times New Roman" w:hAnsi="Times New Roman"/>
                <w:sz w:val="15"/>
                <w:szCs w:val="15"/>
                <w:i w:val="1"/>
                <w:iCs w:val="1"/>
                <w:color w:val="auto"/>
              </w:rPr>
              <w:t>21.2 %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i w:val="1"/>
                <w:iCs w:val="1"/>
                <w:color w:val="auto"/>
              </w:rPr>
              <w:t>22.5 %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Business realignment activities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profit</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456.5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456.7</w:t>
            </w:r>
          </w:p>
        </w:tc>
        <w:tc>
          <w:tcPr>
            <w:tcW w:w="12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NM</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1,177.5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1,009.7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16.6 %</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Operating profit margin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423"/>
              <w:spacing w:after="0"/>
              <w:rPr>
                <w:sz w:val="20"/>
                <w:szCs w:val="20"/>
                <w:color w:val="auto"/>
              </w:rPr>
            </w:pPr>
            <w:r>
              <w:rPr>
                <w:rFonts w:ascii="Times New Roman" w:cs="Times New Roman" w:eastAsia="Times New Roman" w:hAnsi="Times New Roman"/>
                <w:sz w:val="15"/>
                <w:szCs w:val="15"/>
                <w:i w:val="1"/>
                <w:iCs w:val="1"/>
                <w:color w:val="auto"/>
              </w:rPr>
              <w:t>19.2 %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443"/>
              <w:spacing w:after="0"/>
              <w:rPr>
                <w:sz w:val="20"/>
                <w:szCs w:val="20"/>
                <w:color w:val="auto"/>
              </w:rPr>
            </w:pPr>
            <w:r>
              <w:rPr>
                <w:rFonts w:ascii="Times New Roman" w:cs="Times New Roman" w:eastAsia="Times New Roman" w:hAnsi="Times New Roman"/>
                <w:sz w:val="15"/>
                <w:szCs w:val="15"/>
                <w:i w:val="1"/>
                <w:iCs w:val="1"/>
                <w:color w:val="auto"/>
              </w:rPr>
              <w:t>23.0 %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443"/>
              <w:spacing w:after="0"/>
              <w:rPr>
                <w:sz w:val="20"/>
                <w:szCs w:val="20"/>
                <w:color w:val="auto"/>
              </w:rPr>
            </w:pPr>
            <w:r>
              <w:rPr>
                <w:rFonts w:ascii="Times New Roman" w:cs="Times New Roman" w:eastAsia="Times New Roman" w:hAnsi="Times New Roman"/>
                <w:sz w:val="15"/>
                <w:szCs w:val="15"/>
                <w:i w:val="1"/>
                <w:iCs w:val="1"/>
                <w:color w:val="auto"/>
              </w:rPr>
              <w:t>23.4 %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83"/>
              <w:spacing w:after="0"/>
              <w:rPr>
                <w:sz w:val="20"/>
                <w:szCs w:val="20"/>
                <w:color w:val="auto"/>
              </w:rPr>
            </w:pPr>
            <w:r>
              <w:rPr>
                <w:rFonts w:ascii="Times New Roman" w:cs="Times New Roman" w:eastAsia="Times New Roman" w:hAnsi="Times New Roman"/>
                <w:sz w:val="15"/>
                <w:szCs w:val="15"/>
                <w:i w:val="1"/>
                <w:iCs w:val="1"/>
                <w:color w:val="auto"/>
              </w:rPr>
              <w:t>23.6 %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 net</w:t>
            </w:r>
          </w:p>
        </w:tc>
        <w:tc>
          <w:tcPr>
            <w:tcW w:w="1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212.9 %</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87.9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117.2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231.8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234.5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Effective income tax rate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21.8%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28.0%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21.4%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25.1%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including noncontrolling interest</w:t>
            </w:r>
          </w:p>
        </w:tc>
        <w:tc>
          <w:tcPr>
            <w:tcW w:w="1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301.2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849.0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698.1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21.6 %</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Less: Net gain attributable to noncontrolling interest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NM</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attributable to The Hershey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315.5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301.2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849.0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697.0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21.8 %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Net income per share—diluted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center"/>
              <w:ind w:left="443"/>
              <w:spacing w:after="0"/>
              <w:rPr>
                <w:sz w:val="20"/>
                <w:szCs w:val="20"/>
                <w:color w:val="auto"/>
              </w:rPr>
            </w:pPr>
            <w:r>
              <w:rPr>
                <w:rFonts w:ascii="Times New Roman" w:cs="Times New Roman" w:eastAsia="Times New Roman" w:hAnsi="Times New Roman"/>
                <w:sz w:val="15"/>
                <w:szCs w:val="15"/>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5"/>
                <w:szCs w:val="15"/>
                <w:color w:val="auto"/>
                <w:w w:val="98"/>
              </w:rPr>
              <w:t>1.45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5"/>
                <w:szCs w:val="15"/>
                <w:color w:val="auto"/>
                <w:w w:val="98"/>
              </w:rPr>
              <w:t>4.10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center"/>
              <w:ind w:left="503"/>
              <w:spacing w:after="0"/>
              <w:rPr>
                <w:sz w:val="20"/>
                <w:szCs w:val="20"/>
                <w:color w:val="auto"/>
              </w:rPr>
            </w:pPr>
            <w:r>
              <w:rPr>
                <w:rFonts w:ascii="Times New Roman" w:cs="Times New Roman" w:eastAsia="Times New Roman" w:hAnsi="Times New Roman"/>
                <w:sz w:val="15"/>
                <w:szCs w:val="15"/>
                <w:color w:val="auto"/>
                <w:w w:val="98"/>
              </w:rPr>
              <w:t>3.35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NOTE: Percentage changes may not compute directly as shown due to rounding of amounts presented above.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Second Quarter 2022 vs. Second Quarter 2021</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05"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7"/>
          <w:szCs w:val="17"/>
          <w:color w:val="auto"/>
        </w:rPr>
        <w:t>Net sales increased 19.3% in the second quarter of 2022 compared to the same period of 2021, reflecting a favorable price realization of 9.5% primarily due to higher list prices across our reportable segments, in addition to lower levels of promotional activity versus the prior year period, a 5.3% benefit from the 2021 acquisitions of Pretzels, Dot’s and Lily’s, and a volume increase of 4.6% driven by the replenishment of distributor inventory levels, primarily in the North America Confectionery segment, along with the favorable price elasticities in the North America Salty Snacks and International segments. These increases were offset by an unfavorable impact from foreign currency exchange rates of 0.1%.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Key U.S. Marketplace Metrics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second quarter of 2022, our total U.S. retail takeaway increased 17.1% in the expanded multi-outlet combined plus convenience store channels (IRI MULO</w:t>
      </w:r>
    </w:p>
    <w:p>
      <w:pPr>
        <w:spacing w:after="0" w:line="28" w:lineRule="exact"/>
        <w:rPr>
          <w:sz w:val="20"/>
          <w:szCs w:val="20"/>
          <w:color w:val="auto"/>
        </w:rPr>
      </w:pPr>
    </w:p>
    <w:p>
      <w:pPr>
        <w:jc w:val="both"/>
        <w:ind w:left="40" w:right="80" w:firstLine="3"/>
        <w:spacing w:after="0" w:line="259" w:lineRule="auto"/>
        <w:tabs>
          <w:tab w:leader="none" w:pos="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C-Stores), which includes candy, mint, gum, salty snacks and grocery items. Our U.S. candy, mint and gum (“CMG”) consumer takeaway increased 17.0% and experienced a CMG market share loss of approximately 61 basis points as a result of capacity constraints limiting the Company’s ability to fully service consumer demand.</w:t>
      </w:r>
    </w:p>
    <w:p>
      <w:pPr>
        <w:spacing w:after="0" w:line="124" w:lineRule="exact"/>
        <w:rPr>
          <w:sz w:val="20"/>
          <w:szCs w:val="20"/>
          <w:color w:val="auto"/>
        </w:rPr>
      </w:pPr>
    </w:p>
    <w:p>
      <w:pPr>
        <w:ind w:left="40" w:right="320"/>
        <w:spacing w:after="0" w:line="270" w:lineRule="auto"/>
        <w:rPr>
          <w:sz w:val="20"/>
          <w:szCs w:val="20"/>
          <w:color w:val="auto"/>
        </w:rPr>
      </w:pPr>
      <w:r>
        <w:rPr>
          <w:rFonts w:ascii="Times New Roman" w:cs="Times New Roman" w:eastAsia="Times New Roman" w:hAnsi="Times New Roman"/>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6969125</wp:posOffset>
            </wp:positionH>
            <wp:positionV relativeFrom="paragraph">
              <wp:posOffset>246380</wp:posOffset>
            </wp:positionV>
            <wp:extent cx="188595" cy="163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327660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80" w:top="1202" w:right="339" w:bottom="1440" w:gutter="0" w:footer="0" w:header="0"/>
        </w:sectPr>
      </w:pPr>
    </w:p>
    <w:bookmarkStart w:id="37" w:name="page38"/>
    <w:bookmarkEnd w:id="37"/>
    <w:p>
      <w:pPr>
        <w:ind w:right="80"/>
        <w:spacing w:after="0" w:line="287" w:lineRule="auto"/>
        <w:rPr>
          <w:sz w:val="20"/>
          <w:szCs w:val="20"/>
          <w:color w:val="auto"/>
        </w:rPr>
      </w:pPr>
      <w:r>
        <w:rPr>
          <w:rFonts w:ascii="Times New Roman" w:cs="Times New Roman" w:eastAsia="Times New Roman" w:hAnsi="Times New Roman"/>
          <w:sz w:val="17"/>
          <w:szCs w:val="17"/>
          <w:color w:val="auto"/>
        </w:rPr>
        <w:t>Incorporated (“IRI”), the Company’s market insights and analytics provider, and provide a means to assess our retail takeaway and market position relative to the overall category.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 and Gross Margin</w:t>
      </w:r>
    </w:p>
    <w:p>
      <w:pPr>
        <w:spacing w:after="0" w:line="10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Cost of sales increased 29.0% in the second quarter of 2022 compared to the same period of 2021. The increase was driven by higher sales volume, higher freight and logistics costs, as well as higher supply chain inflation costs and an incremental $25.6 million of unfavorable mark-to-market activity on our commodity derivative instruments intended to economically hedge future years’ commodity purchases. The increase was partially offset by favorable price realization and supply chain productivity.</w:t>
      </w:r>
    </w:p>
    <w:p>
      <w:pPr>
        <w:spacing w:after="0" w:line="12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Gross margin decreased by 440 basis points in the second quarter of 2022 compared to the same period of 2021. The decrease was driven by higher freight and logistics costs, higher supply chain inflation costs, as well as unfavorable year-over-year mark-to-market impact from commodity derivative instruments and unfavorable product mix. These declines were offset by favorable price realization and volume increases.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SM&amp;A Expenses</w:t>
      </w:r>
    </w:p>
    <w:p>
      <w:pPr>
        <w:spacing w:after="0" w:line="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SM&amp;A expenses increased $75.9 million, or 16.2%, in the second quarter of 2022 compared to the same period of 2021. Total advertising and related consumer marketing expenses increased 3.2% driven by moderate advertising increases across non-capacity constrained brands and segments, which were largely offset by cost efficiencies related to new media partners, primarily benefiting the North America Confectionery segment. SM&amp;A expenses, excluding advertising and related consumer marketing, increased approximately 22.4% in the second quarter of 2022 driven by an increase in acquisition and integration related costs, as well as higher compensation costs and investments in capabilities and technology.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Realignment Activities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We periodically undertake business realignment activities designed to increase our efficiency and focus our business in support of our key growth strategies. In the second quarter of 2022, we recorded no business realignment costs versus costs of $1.1 million in the second quarter of 2021 related to the International Optimization Program. This program is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xml:space="preserve"> to the Unaudited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Profit and Operating Profit Margin</w:t>
      </w:r>
    </w:p>
    <w:p>
      <w:pPr>
        <w:spacing w:after="0" w:line="9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Operating profit was $456.5 million in the second quarter of 2022 compared to $456.7 million in the same period of 2021 predominantly due to higher SM&amp;A expenses, as noted above, partially offset by higher gross profit. Operating profit margin decreased to 19.2% in 2022 from 23.0% in 2021 driven by these same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Net interest expense was $2.3 million higher in the second quarter of 2022 compared to the same period of 2021. The increase was primarily due to higher short-term debt balances in 2022 versus 2021, specifically outstanding commercial paper borrowings. This increase was partially offset by lower average long-term debt balances, specifically resulting from the repayment of $350 million of 3.100% Notes upon their maturity in May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0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Other (income) expense, net was $19.7 million in the second quarter of 2022 versus net expense of $7.2 million in the second quarter of 2021. The increase in net expense was primarily due to higher write-downs on equity investments qualifying for tax credits in 2022 versus 2021 and higher non-service cost components of net periodic benefit cost relating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6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Income Taxes and Effective Tax Rate</w:t>
      </w:r>
    </w:p>
    <w:p>
      <w:pPr>
        <w:spacing w:after="0" w:line="1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7"/>
          <w:szCs w:val="17"/>
          <w:color w:val="auto"/>
        </w:rPr>
        <w:t>The effective income tax rate was 21.8% for the second quarter of 2022 compared with 28.0% for the second quarter of 2021. Relative to the 21% statutory rate, the 2022 effective tax rate was impacted by state taxes, unfavorable foreign rate differential and tax reserves, partially offset by investment tax credits and the benefit of employee share-based payments. Relative to the 21% statutory rate, the 2021 effective tax rate was impacted by incremental tax reserves incurred as a result of an adverse ruling in connection with a non-U.S. tax litigation matter as well as state taxes, partially offset by investment tax credits.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The Hershey Company and Earnings Per Share-diluted</w:t>
      </w:r>
    </w:p>
    <w:p>
      <w:pPr>
        <w:spacing w:after="0" w:line="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Net income increased $14.3 million, or 4.8%, while EPS-diluted increased $0.08, or 5.5%, in the second quarter of 2022 compared to the same period of 2021. The increase in both net income and EPS-diluted was driven primarily by higher gross profit and lower income taxes, partially offset by higher SM&amp;A expenses and higher other income and expenses, as noted above. Our 2022 EPS-diluted benefited from lower weighted-average shares outstanding as a result of share repurchases.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Six Months 2022 vs. First Six Months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Net sales increased 17.6% in the first six months of 2022 compared to the same period of 2021, reflecting a favorable price realization of 7.8% primarily due to higher list prices across our reportable segments, a 4.9% benefit from the 2021 acquisitions of Pretzels, Dot’s and Lily’s, and a volume increase of 4.9% driven by an increase in everyday core U.S. confection brands and our salty snacks portfolio.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 and Gross Margin</w:t>
      </w:r>
    </w:p>
    <w:p>
      <w:pPr>
        <w:spacing w:after="0" w:line="9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Cost of sales increased 20.9% in the first six months of 2022 compared to the same period of 2021. The increase was driven by higher sales volume, higher freight and logistics costs and additional plant costs. These drivers were partially offset by an incremental $11.5 million of favorable mark-to-market activity on our commodity derivative instruments intended to economically hedge future years’ commodity purchases.</w:t>
      </w:r>
    </w:p>
    <w:p>
      <w:pPr>
        <w:spacing w:after="0" w:line="49"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Gross margin decreased by 150 basis points in the first six months of 2022 compared to the same period of 2021. The decrease was driven by higher freight and logistics costs, higher supply chain inflation costs and unfavorable product mix. These declines were offset by favorable year-over-year mark-to-market impact from commodity derivative instruments, as well as favorable price realization and volume increases.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SM&amp;A Expenses</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SM&amp;A expenses increased $105.4 million, or 11.0%, in the first six months of 2022 compared to the same period of 2021. Total advertising and related consumer marketing expenses increased 1.1% driven by increases in the North America Salty Snacks and International segments to raise brand awareness, offset by lower advertising in the North America Confectionery segment in response to sustained consumer demand and capacity constraints on select brands. SM&amp;A expenses, excluding advertising and related consumer marketing, increased approximately 16.2% in the first six months of 2022 driven by an increase in acquisition and integration related costs, as well as higher compensation costs and investments in capabilities and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Realignment Activities</w:t>
      </w:r>
    </w:p>
    <w:p>
      <w:pPr>
        <w:spacing w:after="0" w:line="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During the first six months of 2022, we recorded business realignment costs of $0.3 million versus $2.4 million in the first six months of 2021 related to the International Optimization Program. Costs associated with business realignment activities are classified in our Consolidated Statements of Income as described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Unaudited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Profit and Operating Profit Margin</w:t>
      </w:r>
    </w:p>
    <w:p>
      <w:pPr>
        <w:spacing w:after="0" w:line="1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Operating profit increased 16.6% in the first six months of 2022 compared to the same period of 2021 predominantly due to higher gross profit, partially offset by higher SM&amp;A expenses, as noted above. Operating profit margin was 23.4% in 2022 and 23.6% in 2021 driven by the same factors noted above that resulted in lower gross margin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0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Net interest expense was $0.9 million lower in the first six months of 2022 compared to the same period of 2021. The decrease was primarily due to lower average long-term debt balances, specifically resulting from the repayment of $84.7 million of 8.800% Debentures upon their maturity in February 2021 and $350 million of 3.100% Notes upon their maturity in May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9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Other (income) expense, net was $30.1 million in the first six months of 2022 versus expense of $9.6 million in the first six months of 2021. The increase in net expense was primarily due to higher write-downs on equity investments qualifying for tax credits in 2022 versus 2021 and higher non-service cost components of net periodic benefit cost relating to pension and other post-retirement benefit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 and Effective Tax Rate</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effective income tax rate was 21.4% for the first six months of 2022 compared with 25.1% for the first six months of 2021. Relative to the 21% statutory rate, the 2022 effective tax rate was impacted by state taxes, tax reserves and unfavorable foreign rate differential, partially offset by investment tax credits and the benefit of employee share-based payments. Relative to the 21% statutory rate, the 2021 effective tax rate was impacted by incremental tax reserves incurred as a result of an adverse ruling in connection with a non-U.S. tax litigation matter as well as state taxes, partially offset by investment tax credits and the benefit of employee share-based payments.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The Hershey Company and Earnings Per Share-diluted</w:t>
      </w:r>
    </w:p>
    <w:p>
      <w:pPr>
        <w:spacing w:after="0" w:line="1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Net income increased $152.0 million, or 21.8%, while EPS-diluted increased $0.75, or 22.4%, in the first six months of 2022 compared to the same period of 2021. The increase in both net income and EPS-diluted was driven primarily by higher gross profit, partially offset by higher SM&amp;A expenses and higher other income and expenses. Our 2022 EPS-diluted also benefited from lower weighted-average shares outstanding as a result of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SEGMENT RESULTS</w:t>
      </w:r>
    </w:p>
    <w:p>
      <w:pPr>
        <w:spacing w:after="0" w:line="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7"/>
                <w:szCs w:val="17"/>
                <w:color w:val="auto"/>
              </w:rPr>
            </w:pPr>
          </w:p>
        </w:tc>
        <w:tc>
          <w:tcPr>
            <w:tcW w:w="276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0" w:type="dxa"/>
            <w:vAlign w:val="bottom"/>
          </w:tcPr>
          <w:p>
            <w:pPr>
              <w:spacing w:after="0"/>
              <w:rPr>
                <w:sz w:val="1"/>
                <w:szCs w:val="1"/>
                <w:color w:val="auto"/>
              </w:rPr>
            </w:pPr>
          </w:p>
        </w:tc>
      </w:tr>
      <w:tr>
        <w:trPr>
          <w:trHeight w:val="152"/>
        </w:trPr>
        <w:tc>
          <w:tcPr>
            <w:tcW w:w="522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4,126.2</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3,675.8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618.9</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1,400.7</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Unallocated corporate expense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mark-to-market losses (gains) on commodity derivatives (2)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Costs associated with business realignment activities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right="40" w:hanging="317"/>
        <w:spacing w:after="0" w:line="279" w:lineRule="auto"/>
        <w:tabs>
          <w:tab w:leader="none" w:pos="3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3" w:lineRule="exact"/>
        <w:rPr>
          <w:rFonts w:ascii="Times New Roman" w:cs="Times New Roman" w:eastAsia="Times New Roman" w:hAnsi="Times New Roman"/>
          <w:sz w:val="15"/>
          <w:szCs w:val="15"/>
          <w:color w:val="auto"/>
        </w:rPr>
      </w:pPr>
    </w:p>
    <w:p>
      <w:pPr>
        <w:ind w:left="320" w:right="780" w:hanging="317"/>
        <w:spacing w:after="0" w:line="289" w:lineRule="auto"/>
        <w:tabs>
          <w:tab w:leader="none" w:pos="3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Net (gains) losses on mark-to-market valuation of commodity derivative positions recognized in unallocated derivative (gains) losses. See </w:t>
      </w:r>
      <w:r>
        <w:rPr>
          <w:rFonts w:ascii="Times New Roman" w:cs="Times New Roman" w:eastAsia="Times New Roman" w:hAnsi="Times New Roman"/>
          <w:sz w:val="15"/>
          <w:szCs w:val="15"/>
          <w:u w:val="single" w:color="auto"/>
          <w:color w:val="0000FF"/>
        </w:rPr>
        <w:t>Note 13</w:t>
      </w:r>
      <w:r>
        <w:rPr>
          <w:rFonts w:ascii="Times New Roman" w:cs="Times New Roman" w:eastAsia="Times New Roman" w:hAnsi="Times New Roman"/>
          <w:sz w:val="15"/>
          <w:szCs w:val="15"/>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488950</wp:posOffset>
            </wp:positionV>
            <wp:extent cx="188595" cy="163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North America Confectionery</w:t>
      </w:r>
    </w:p>
    <w:p>
      <w:pPr>
        <w:spacing w:after="0" w:line="1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80.5% and 85.0% of our net sales for the three months ended July 3, 2022 and July 4, 2021, respectively,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176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1,909.1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1,690.4</w:t>
            </w: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12.9 %  $</w:t>
            </w:r>
          </w:p>
        </w:tc>
        <w:tc>
          <w:tcPr>
            <w:tcW w:w="12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4,126.2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3,675.8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0" w:type="dxa"/>
            <w:vAlign w:val="bottom"/>
          </w:tcPr>
          <w:p>
            <w:pPr>
              <w:spacing w:after="0"/>
              <w:rPr>
                <w:sz w:val="1"/>
                <w:szCs w:val="1"/>
                <w:color w:val="auto"/>
              </w:rPr>
            </w:pPr>
          </w:p>
        </w:tc>
      </w:tr>
      <w:tr>
        <w:trPr>
          <w:trHeight w:val="219"/>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220" w:type="dxa"/>
            <w:vAlign w:val="bottom"/>
          </w:tcPr>
          <w:p>
            <w:pPr>
              <w:spacing w:after="0"/>
              <w:rPr>
                <w:sz w:val="19"/>
                <w:szCs w:val="19"/>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618.9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554.5</w:t>
            </w:r>
          </w:p>
        </w:tc>
        <w:tc>
          <w:tcPr>
            <w:tcW w:w="12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9"/>
              </w:rPr>
              <w:t>11.6 %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1,400.7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1,197.1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17.0 %</w:t>
            </w: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margin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32.8 %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33.9 %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Second Quarter 2022 vs. Second Quarter 2021</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Net sales of our North America Confectionery segment increased $218.7 million, or 12.9%, in the second quarter of 2022 compared to the same period of 2021, reflecting a favorable price realization of 9.8% due to list price increases on certain products across our portfolio, a volume increase of 2.6% due to an increase in everyday core U.S. confection brands and a 0.8% increase from the 2021 acquisition of Lily’s, partially offset by an unfavorable impact from foreign currency exchange rates of 0.3%.</w:t>
      </w:r>
    </w:p>
    <w:p>
      <w:pPr>
        <w:spacing w:after="0" w:line="9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also includes licensing and owned retail. This includes our Hershey’s Chocolate World stores in the United States (3 locations), Niagara Falls (Ontario) and Singapore. Our net sales increased approximately 5.3% during the second quarter of 2022 compared to the same period of 2021.</w:t>
      </w:r>
    </w:p>
    <w:p>
      <w:pPr>
        <w:spacing w:after="0" w:line="10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income increased $64.4 million, or 11.6%, in the second quarter of 2022 compared to the same period of 2021, primarily due to favorable price realization and volume increases, partially offset by higher freight and logistics costs, higher supply chain inflation costs, as well as, unfavorable product mix.</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Six Months 2022 vs. First Six Months 2021</w:t>
      </w:r>
    </w:p>
    <w:p>
      <w:pPr>
        <w:spacing w:after="0" w:line="14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Net sales of our North America Confectionery segment increased $450.4 million or 12.3% in the first six months of 2022 compared to the same period of 2021, reflecting a favorable price realization of 8.0% due to list price increases on certain products across our portfolio, a volume increase of 3.4% due to an increase in everyday core U.S. confection brands and a 1.0% increase from the 2021 acquisition of Lily’s, partially offset by an unfavorable impact from foreign currency exchange rates of 0.1%.</w:t>
      </w:r>
    </w:p>
    <w:p>
      <w:pPr>
        <w:spacing w:after="0" w:line="1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also includes licensing and owned retail. This includes our Hershey’s Chocolate World stores in the United States (3 locations), Niagara Falls (Ontario) and Singapore. Our net sales increased approximately 11.6% during the first six months of 2022 compared to the same period of 2021.</w:t>
      </w:r>
    </w:p>
    <w:p>
      <w:pPr>
        <w:spacing w:after="0" w:line="10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income increased $203.6 million or 17.0% in the first six months of 2022 compared to the same period of 2021, primarily due to favorable price realization and volume increases, partially offset by higher freight and logistics costs, higher supply chain inflation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565785</wp:posOffset>
            </wp:positionV>
            <wp:extent cx="188595" cy="163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North America Salty Snacks</w:t>
      </w:r>
    </w:p>
    <w:p>
      <w:pPr>
        <w:spacing w:after="0" w:line="15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North America Salty Snacks segment is responsible for our grocery and snacks market positions, including our salty snacking products. North America Salty Snacks results, which accounted for 10.8% and 6.4% of our net sales for the three months ended July 3, 2022 and July 4, 2021, respectively,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8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99.9 %  $</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482.4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249.6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93.3 %</w:t>
            </w:r>
          </w:p>
        </w:tc>
        <w:tc>
          <w:tcPr>
            <w:tcW w:w="0" w:type="dxa"/>
            <w:vAlign w:val="bottom"/>
          </w:tcPr>
          <w:p>
            <w:pPr>
              <w:spacing w:after="0"/>
              <w:rPr>
                <w:sz w:val="1"/>
                <w:szCs w:val="1"/>
                <w:color w:val="auto"/>
              </w:rPr>
            </w:pPr>
          </w:p>
        </w:tc>
      </w:tr>
      <w:tr>
        <w:trPr>
          <w:trHeight w:val="21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200" w:type="dxa"/>
            <w:vAlign w:val="bottom"/>
          </w:tcPr>
          <w:p>
            <w:pPr>
              <w:spacing w:after="0"/>
              <w:rPr>
                <w:sz w:val="19"/>
                <w:szCs w:val="19"/>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9"/>
              </w:rPr>
              <w:t>43.8 %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58.7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14.2 %</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margin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14.6 %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12.2 %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20.6 %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Second Quarter 2022 vs. Second Quarter 2021</w:t>
      </w:r>
    </w:p>
    <w:p>
      <w:pPr>
        <w:spacing w:after="0" w:line="131"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7"/>
          <w:szCs w:val="17"/>
          <w:color w:val="auto"/>
        </w:rPr>
        <w:t xml:space="preserve">Net sales of our North America Salty Snacks segment increased $128.1 million, or 99.9%, in the second quarter of 2022 compared to the same period of 2021, reflecting a 71.6% benefit from the 2021 acquisitions of Dot’s and Pretzels, a favorable price realization of 14.6% due to higher prices on certain products and related trade promotions and a volume increase of 13.7% primarily related to </w:t>
      </w:r>
      <w:r>
        <w:rPr>
          <w:rFonts w:ascii="Times New Roman" w:cs="Times New Roman" w:eastAsia="Times New Roman" w:hAnsi="Times New Roman"/>
          <w:sz w:val="17"/>
          <w:szCs w:val="17"/>
          <w:i w:val="1"/>
          <w:iCs w:val="1"/>
          <w:color w:val="auto"/>
        </w:rPr>
        <w:t>SkinnyPop</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Pirate’s Booty</w:t>
      </w:r>
      <w:r>
        <w:rPr>
          <w:rFonts w:ascii="Times New Roman" w:cs="Times New Roman" w:eastAsia="Times New Roman" w:hAnsi="Times New Roman"/>
          <w:sz w:val="17"/>
          <w:szCs w:val="17"/>
          <w:color w:val="auto"/>
        </w:rPr>
        <w:t xml:space="preserve"> snacks.</w:t>
      </w:r>
    </w:p>
    <w:p>
      <w:pPr>
        <w:spacing w:after="0" w:line="101" w:lineRule="exact"/>
        <w:rPr>
          <w:sz w:val="20"/>
          <w:szCs w:val="20"/>
          <w:color w:val="auto"/>
        </w:rPr>
      </w:pPr>
    </w:p>
    <w:p>
      <w:pPr>
        <w:jc w:val="both"/>
        <w:ind w:right="180"/>
        <w:spacing w:after="0" w:line="246" w:lineRule="auto"/>
        <w:rPr>
          <w:sz w:val="20"/>
          <w:szCs w:val="20"/>
          <w:color w:val="auto"/>
        </w:rPr>
      </w:pPr>
      <w:r>
        <w:rPr>
          <w:rFonts w:ascii="Times New Roman" w:cs="Times New Roman" w:eastAsia="Times New Roman" w:hAnsi="Times New Roman"/>
          <w:sz w:val="17"/>
          <w:szCs w:val="17"/>
          <w:color w:val="auto"/>
        </w:rPr>
        <w:t>Our North America Salty Snacks segment income increased $11.4 million, or 43.8%, in the second quarter of 2022 compared to the same period of 2021 due to favorable price realization and volume increases, partially offset by higher freight and logistics costs, higher supply chain inflation costs, as well as unfavorable product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Six Months 2022 vs. First Six Months 2021</w:t>
      </w:r>
    </w:p>
    <w:p>
      <w:pPr>
        <w:spacing w:after="0" w:line="144"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17"/>
          <w:szCs w:val="17"/>
          <w:color w:val="auto"/>
        </w:rPr>
        <w:t xml:space="preserve">Net sales of our North America Salty Snacks segment increased $232.8 million, or 93.3%, in the first six months of 2022 compared to the same period of 2021, reflecting a 70.4% benefit from the 2021 acquisitions of Dot’s and Pretzels, a favorable price realization of 14.1% due to higher prices on certain products and related trade promotions and a volume increase of 8.8% primarily related to </w:t>
      </w:r>
      <w:r>
        <w:rPr>
          <w:rFonts w:ascii="Times New Roman" w:cs="Times New Roman" w:eastAsia="Times New Roman" w:hAnsi="Times New Roman"/>
          <w:sz w:val="17"/>
          <w:szCs w:val="17"/>
          <w:i w:val="1"/>
          <w:iCs w:val="1"/>
          <w:color w:val="auto"/>
        </w:rPr>
        <w:t>SkinnyPop</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Pirate’s Booty</w:t>
      </w:r>
      <w:r>
        <w:rPr>
          <w:rFonts w:ascii="Times New Roman" w:cs="Times New Roman" w:eastAsia="Times New Roman" w:hAnsi="Times New Roman"/>
          <w:sz w:val="17"/>
          <w:szCs w:val="17"/>
          <w:color w:val="auto"/>
        </w:rPr>
        <w:t xml:space="preserve"> snacks.</w:t>
      </w:r>
    </w:p>
    <w:p>
      <w:pPr>
        <w:spacing w:after="0" w:line="10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Our North America Salty Snacks segment income increased $7.3 million, or 14.2%, in the second quarter of 2022 compared to the same period of 2021, due to favorable price realization and volume increases, partially offset by unfavorable product mix, as well as higher supply chain inflation costs and increased advertising and related consumer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344805</wp:posOffset>
            </wp:positionV>
            <wp:extent cx="188595" cy="163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02" w:right="419" w:bottom="1440" w:gutter="0" w:footer="0" w:header="0"/>
        </w:sectPr>
      </w:pPr>
    </w:p>
    <w:bookmarkStart w:id="43" w:name="page44"/>
    <w:bookmarkEnd w:id="43"/>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w:t>
      </w:r>
    </w:p>
    <w:p>
      <w:pPr>
        <w:spacing w:after="0" w:line="10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International segment includes all other countries where we currently manufacture, import, market, sell or distribute chocolate and non-chocolate confectionery and other products. Currently, this includes our operations in Asia, Latin America, Europe, Africa and the Middle East, along with exports to these regions. International results, which accounted for 8.7% and 8.6% of our net sales for the three months ended July 3, 2022 and July 4, 2021, respectively,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July 4, 2021</w:t>
            </w:r>
          </w:p>
        </w:tc>
        <w:tc>
          <w:tcPr>
            <w:tcW w:w="120" w:type="dxa"/>
            <w:vAlign w:val="bottom"/>
          </w:tcPr>
          <w:p>
            <w:pPr>
              <w:spacing w:after="0"/>
              <w:rPr>
                <w:sz w:val="17"/>
                <w:szCs w:val="17"/>
                <w:color w:val="auto"/>
              </w:rPr>
            </w:pP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170.8</w:t>
            </w: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21.3 %  $</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360.0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19.5 %</w:t>
            </w:r>
          </w:p>
        </w:tc>
        <w:tc>
          <w:tcPr>
            <w:tcW w:w="0" w:type="dxa"/>
            <w:vAlign w:val="bottom"/>
          </w:tcPr>
          <w:p>
            <w:pPr>
              <w:spacing w:after="0"/>
              <w:rPr>
                <w:sz w:val="1"/>
                <w:szCs w:val="1"/>
                <w:color w:val="auto"/>
              </w:rPr>
            </w:pPr>
          </w:p>
        </w:tc>
      </w:tr>
      <w:tr>
        <w:trPr>
          <w:trHeight w:val="21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200" w:type="dxa"/>
            <w:vAlign w:val="bottom"/>
          </w:tcPr>
          <w:p>
            <w:pPr>
              <w:spacing w:after="0"/>
              <w:rPr>
                <w:sz w:val="19"/>
                <w:szCs w:val="19"/>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9"/>
              </w:rPr>
              <w:t>11.3 %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55.0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32.2 %</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margin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15.3 %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Second Quarter 2022 vs. Second Quarter 2021</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Net sales of our International segment increased $36.4 million, or 21.3%, in the second quarter of 2022 compared to the same period of 2021, reflecting a volume increase of 17.6% and a favorable price realization of 3.0%. The volume increase was primarily attributable to solid marketplace growth in Brazil, Mexico, and India, where net sales increased by 23.4%, 21.5%, and 14.1%, respectively. These increases also benefited from a favorable impact from foreign currency exchange rates of 0.7%.</w:t>
      </w:r>
    </w:p>
    <w:p>
      <w:pPr>
        <w:spacing w:after="0" w:line="10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International segment generated income of $30.7 million in the second quarter of 2022 compared to $27.6 million in the second quarter of 2021 with the improvement primarily resulting from execution of our International Optimization Program in China, as we streamline and optimize our China operating model, as well as volume increases and favorable price realization.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Six Months 2022 vs. First Six Months 2021</w:t>
      </w:r>
    </w:p>
    <w:p>
      <w:pPr>
        <w:spacing w:after="0" w:line="10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Net sales of our International segment increased $70.2 million, or 19.5%, in the first six months of 2022 compared to the same period of 2021, reflecting a volume increase of 18.2% and a favorable price realization of 0.9%. The volume increase was primarily attributable to solid marketplace growth in Brazil, Mexico, and India, where net sales increased by 28.0%, 25.5%, and 14.3%, respectively. These increases also benefited from a favorable impact from foreign currency exchange rates of 0.4%.</w:t>
      </w:r>
    </w:p>
    <w:p>
      <w:pPr>
        <w:spacing w:after="0" w:line="10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International segment generated income of $72.7 million in the first six months of 2022 compared to $55.0 million in the first six months of 2021 primarily resulting from volume increases and favorable price realization, as well as the execution of our International Optimization Program in China, as we streamline and optimize our China operating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565785</wp:posOffset>
            </wp:positionV>
            <wp:extent cx="188595" cy="163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Unallocated Corporate Expense</w:t>
      </w:r>
    </w:p>
    <w:p>
      <w:pPr>
        <w:spacing w:after="0" w:line="10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9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the second quarter of 2022, unallocated corporate expense totaled $188.9 million, as compared to $151.3 million in the second quarter of 2021. The increase is primarily driven by higher acquisition and integration related costs, as well as incremental investments in capabilities and technology and higher compensation costs.</w:t>
      </w:r>
    </w:p>
    <w:p>
      <w:pPr>
        <w:spacing w:after="0" w:line="10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the first six months of 2022, unallocated corporate expense totaled $339.1 million, as compared to $289.1 million in the first six months of 2021. The increase is primarily driven by higher acquisition and integration related costs, as well as incremental investments in capabilities and technology and higher compensation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July 3, 2022, our cash and cash equivalents totaled $339.7 million, an increase of $10.5 million compared to the 2021 year-end balance. We believe we have sufficient liquidity to satisfy our cash needs; however, we continue to evaluate and take action, as necessary, to preserve adequate liquidity and ensure that our business can continue to operate during the ongoing COVID-19 pandemic. Additional detail regarding the net uses of cash are outlined in the following discussion.</w:t>
      </w:r>
    </w:p>
    <w:p>
      <w:pPr>
        <w:spacing w:after="0" w:line="11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Approximately 85% of the balance of our cash and cash equivalents at July 3, 2022 was held by subsidiaries domiciled outside of the United States. We intend to continue to reinvest the remainder of the earnings outside of the United States for which there would be a material tax implication to distributing, such as withholding tax,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Summary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500" w:type="dxa"/>
            <w:vAlign w:val="bottom"/>
            <w:tcBorders>
              <w:bottom w:val="single" w:sz="8" w:color="auto"/>
            </w:tcBorders>
          </w:tcPr>
          <w:p>
            <w:pPr>
              <w:spacing w:after="0"/>
              <w:rPr>
                <w:sz w:val="17"/>
                <w:szCs w:val="17"/>
                <w:color w:val="auto"/>
              </w:rPr>
            </w:pPr>
          </w:p>
        </w:tc>
      </w:tr>
      <w:tr>
        <w:trPr>
          <w:trHeight w:val="201"/>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80" w:type="dxa"/>
            <w:vAlign w:val="bottom"/>
          </w:tcPr>
          <w:p>
            <w:pPr>
              <w:spacing w:after="0"/>
              <w:rPr>
                <w:sz w:val="17"/>
                <w:szCs w:val="17"/>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620" w:type="dxa"/>
            <w:vAlign w:val="bottom"/>
          </w:tcPr>
          <w:p>
            <w:pPr>
              <w:spacing w:after="0"/>
              <w:rPr>
                <w:sz w:val="17"/>
                <w:szCs w:val="17"/>
                <w:color w:val="auto"/>
              </w:rPr>
            </w:pPr>
          </w:p>
        </w:tc>
        <w:tc>
          <w:tcPr>
            <w:tcW w:w="1500" w:type="dxa"/>
            <w:vAlign w:val="bottom"/>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1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1,113.8</w:t>
            </w:r>
          </w:p>
        </w:tc>
        <w:tc>
          <w:tcPr>
            <w:tcW w:w="12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1,017.7</w:t>
            </w:r>
          </w:p>
        </w:tc>
      </w:tr>
      <w:tr>
        <w:trPr>
          <w:trHeight w:val="21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(700.1)</w:t>
            </w:r>
          </w:p>
        </w:tc>
      </w:tr>
      <w:tr>
        <w:trPr>
          <w:trHeight w:val="21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(1,041.7)</w:t>
            </w:r>
          </w:p>
        </w:tc>
      </w:tr>
      <w:tr>
        <w:trPr>
          <w:trHeight w:val="21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Cash classified as assets held for sale</w:t>
            </w:r>
          </w:p>
        </w:tc>
        <w:tc>
          <w:tcPr>
            <w:tcW w:w="3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37"/>
        </w:trPr>
        <w:tc>
          <w:tcPr>
            <w:tcW w:w="6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565150</wp:posOffset>
            </wp:positionV>
            <wp:extent cx="188595" cy="163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0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We generated cash of $1,113.8 million from operating activities in the first six months of 2022, an increase of $96.1 million compared to $1,017.7 million in the same period of 2021. This increase in net cash provided by operating activities was mainly driven by the following factors:</w:t>
      </w:r>
    </w:p>
    <w:p>
      <w:pPr>
        <w:spacing w:after="0" w:line="100" w:lineRule="exact"/>
        <w:rPr>
          <w:sz w:val="20"/>
          <w:szCs w:val="20"/>
          <w:color w:val="auto"/>
        </w:rPr>
      </w:pPr>
    </w:p>
    <w:p>
      <w:pPr>
        <w:ind w:left="320" w:hanging="317"/>
        <w:spacing w:after="0" w:line="287" w:lineRule="auto"/>
        <w:tabs>
          <w:tab w:leader="none" w:pos="3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adjusted for non-cash charges to operations (including depreciation, amortization, stock-based compensation, deferred income taxes, a write-down of equity investments and other charges) resulted in $218.1 million of higher cash flow in 2022 relative to 2021.</w:t>
      </w:r>
    </w:p>
    <w:p>
      <w:pPr>
        <w:spacing w:after="0" w:line="9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cash provided by operating activities was partially offset by the following net cash outflows:</w:t>
      </w:r>
    </w:p>
    <w:p>
      <w:pPr>
        <w:spacing w:after="0" w:line="165" w:lineRule="exact"/>
        <w:rPr>
          <w:rFonts w:ascii="Times New Roman" w:cs="Times New Roman" w:eastAsia="Times New Roman" w:hAnsi="Times New Roman"/>
          <w:sz w:val="17"/>
          <w:szCs w:val="17"/>
          <w:color w:val="auto"/>
        </w:rPr>
      </w:pPr>
    </w:p>
    <w:p>
      <w:pPr>
        <w:ind w:left="940" w:right="20" w:hanging="318"/>
        <w:spacing w:after="0" w:line="264" w:lineRule="auto"/>
        <w:tabs>
          <w:tab w:leader="none" w:pos="93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working capital (comprised of trade accounts receivable, inventory, accounts payable and accrued liabilities) consumed cash of $77.5 million in 2022, compared to $13.3 million in 2021. This $64.2 million fluctuation was mainly driven by a higher year-over-year build up of U.S. inventories to satisfy product requirements and maintain sufficient levels to accommodate customer requirements and an increase in cash used by accounts receivable due to the timing of customer payments, partially offset by the timing of vendor and supplier payments.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9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used cash of $351.0 million for investing activities in the first six months of 2022, a decrease of $349.1 million compared to $700.1 million in the same period of 2021. This decrease in net cash used in investing activities was mainly driven by the following factors:</w:t>
      </w:r>
    </w:p>
    <w:p>
      <w:pPr>
        <w:spacing w:after="0" w:line="96" w:lineRule="exact"/>
        <w:rPr>
          <w:sz w:val="20"/>
          <w:szCs w:val="20"/>
          <w:color w:val="auto"/>
        </w:rPr>
      </w:pPr>
    </w:p>
    <w:p>
      <w:pPr>
        <w:ind w:left="320" w:right="180" w:hanging="317"/>
        <w:spacing w:after="0" w:line="262" w:lineRule="auto"/>
        <w:tabs>
          <w:tab w:leader="none" w:pos="31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 spending</w:t>
      </w:r>
      <w:r>
        <w:rPr>
          <w:rFonts w:ascii="Times New Roman" w:cs="Times New Roman" w:eastAsia="Times New Roman" w:hAnsi="Times New Roman"/>
          <w:sz w:val="17"/>
          <w:szCs w:val="17"/>
          <w:color w:val="auto"/>
        </w:rPr>
        <w:t>. Capital expenditures, including capitalized software, primarily to support our ERP system implementation, capacity expansion projects,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innovation and cost savings, were $241.0 million in the first six months of 2022 compared to $227.6 million in the same period of 2021. We expect our full year 2022 capital expenditures, including capitalized software, to approximate $600 million. Our 2022 capital expenditures are largely driven by our key strategic initiatives, including expanding the agility and capacity of the Company’s supply chain and building digital infrastructure across the enterprise. We intend to use our existing cash and internally generated funds to meet our 2022 capital requirements.</w:t>
      </w:r>
    </w:p>
    <w:p>
      <w:pPr>
        <w:spacing w:after="0" w:line="119" w:lineRule="exact"/>
        <w:rPr>
          <w:rFonts w:ascii="Times New Roman" w:cs="Times New Roman" w:eastAsia="Times New Roman" w:hAnsi="Times New Roman"/>
          <w:sz w:val="17"/>
          <w:szCs w:val="17"/>
          <w:i w:val="1"/>
          <w:iCs w:val="1"/>
          <w:color w:val="auto"/>
        </w:rPr>
      </w:pPr>
    </w:p>
    <w:p>
      <w:pPr>
        <w:ind w:left="320" w:hanging="317"/>
        <w:spacing w:after="0" w:line="272" w:lineRule="auto"/>
        <w:tabs>
          <w:tab w:leader="none" w:pos="3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Investments in partnerships qualifying for tax credits</w:t>
      </w:r>
      <w:r>
        <w:rPr>
          <w:rFonts w:ascii="Times New Roman" w:cs="Times New Roman" w:eastAsia="Times New Roman" w:hAnsi="Times New Roman"/>
          <w:sz w:val="17"/>
          <w:szCs w:val="17"/>
          <w:color w:val="auto"/>
        </w:rPr>
        <w:t>. We make investments in partnership entities that in turn make equity investments in projects eligible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federal historic and renewable energy tax credits. We invested approximately $116.2 million in the first six months of 2022, compared to $57.4 million in the same period of 2021.</w:t>
      </w:r>
    </w:p>
    <w:p>
      <w:pPr>
        <w:spacing w:after="0" w:line="108" w:lineRule="exact"/>
        <w:rPr>
          <w:rFonts w:ascii="Times New Roman" w:cs="Times New Roman" w:eastAsia="Times New Roman" w:hAnsi="Times New Roman"/>
          <w:sz w:val="17"/>
          <w:szCs w:val="17"/>
          <w:color w:val="auto"/>
        </w:rPr>
      </w:pPr>
    </w:p>
    <w:p>
      <w:pPr>
        <w:ind w:left="320" w:right="160" w:hanging="317"/>
        <w:spacing w:after="0" w:line="292" w:lineRule="auto"/>
        <w:tabs>
          <w:tab w:leader="none" w:pos="3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Business Acquisition</w:t>
      </w:r>
      <w:r>
        <w:rPr>
          <w:rFonts w:ascii="Times New Roman" w:cs="Times New Roman" w:eastAsia="Times New Roman" w:hAnsi="Times New Roman"/>
          <w:sz w:val="17"/>
          <w:szCs w:val="17"/>
          <w:color w:val="auto"/>
        </w:rPr>
        <w:t>. In June 2021, we acquired Lily's for an initial cash purchase price of $418.2 million. Further details regarding our business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activity is provided in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to the Unaudited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0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We used cash of $755.4 million for financing activities in the first six months of 2022, a decrease of $286.3 million compared to $1,041.7 million in the same period of 2021. This decrease in net cash used in financing activities was mainly driven by the following factors:</w:t>
      </w:r>
    </w:p>
    <w:p>
      <w:pPr>
        <w:spacing w:after="0" w:line="96" w:lineRule="exact"/>
        <w:rPr>
          <w:sz w:val="20"/>
          <w:szCs w:val="20"/>
          <w:color w:val="auto"/>
        </w:rPr>
      </w:pPr>
    </w:p>
    <w:p>
      <w:pPr>
        <w:ind w:left="320" w:right="40" w:hanging="317"/>
        <w:spacing w:after="0" w:line="262" w:lineRule="auto"/>
        <w:tabs>
          <w:tab w:leader="none" w:pos="31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Short-term borrowings, net. </w:t>
      </w:r>
      <w:r>
        <w:rPr>
          <w:rFonts w:ascii="Times New Roman" w:cs="Times New Roman" w:eastAsia="Times New Roman" w:hAnsi="Times New Roman"/>
          <w:sz w:val="17"/>
          <w:szCs w:val="17"/>
          <w:color w:val="auto"/>
        </w:rPr>
        <w:t>In addition to utilizing cash on hand, we use short-term borrowings (commercial paper and bank borrowings) to fund seasonal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working capital requirements and ongoing business needs. During the first six months of 2022, we used cash of $24.5 million to reduce a portion of our short-term commercial paper borrowings originally used to fund our 2021 acquisitions of Dot’s and Pretzels, partially offset by an increase in short-term foreign bank borrowings. During the first six months of 2021, we generated cash of $137.0 million predominantly through the issuance of short-term commercial paper, partially offset by a reduction in short-term foreign borrowings.</w:t>
      </w:r>
    </w:p>
    <w:p>
      <w:pPr>
        <w:spacing w:after="0" w:line="119" w:lineRule="exact"/>
        <w:rPr>
          <w:rFonts w:ascii="Times New Roman" w:cs="Times New Roman" w:eastAsia="Times New Roman" w:hAnsi="Times New Roman"/>
          <w:sz w:val="17"/>
          <w:szCs w:val="17"/>
          <w:i w:val="1"/>
          <w:iCs w:val="1"/>
          <w:color w:val="auto"/>
        </w:rPr>
      </w:pPr>
    </w:p>
    <w:p>
      <w:pPr>
        <w:ind w:left="320" w:hanging="317"/>
        <w:spacing w:after="0" w:line="292"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Long-term debt borrowings and repayments</w:t>
      </w:r>
      <w:r>
        <w:rPr>
          <w:rFonts w:ascii="Times New Roman" w:cs="Times New Roman" w:eastAsia="Times New Roman" w:hAnsi="Times New Roman"/>
          <w:sz w:val="17"/>
          <w:szCs w:val="17"/>
          <w:color w:val="auto"/>
        </w:rPr>
        <w:t>. During the first six months of 2022, long-term debt activity was minimal. During the first six months of 2021,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repaid $84.7 million of 8.800% Debentures due upon their maturity and $350.0 million of 3.100% Notes due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234950</wp:posOffset>
            </wp:positionV>
            <wp:extent cx="188595" cy="163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55" w:right="359" w:bottom="1440" w:gutter="0" w:footer="0" w:header="0"/>
        </w:sectPr>
      </w:pPr>
    </w:p>
    <w:bookmarkStart w:id="46" w:name="page47"/>
    <w:bookmarkEnd w:id="46"/>
    <w:p>
      <w:pPr>
        <w:jc w:val="both"/>
        <w:ind w:left="320" w:right="180" w:hanging="317"/>
        <w:spacing w:after="0" w:line="272" w:lineRule="auto"/>
        <w:tabs>
          <w:tab w:leader="none" w:pos="3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Dividend payments</w:t>
      </w:r>
      <w:r>
        <w:rPr>
          <w:rFonts w:ascii="Times New Roman" w:cs="Times New Roman" w:eastAsia="Times New Roman" w:hAnsi="Times New Roman"/>
          <w:sz w:val="17"/>
          <w:szCs w:val="17"/>
          <w:color w:val="auto"/>
        </w:rPr>
        <w:t>. Total dividend payments to holders of our Common Stock and Class B Common Stock were $361.0 million during the first six months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an increase of $36.7 million compared to $324.3 million in the same period of 2021. Details regarding our 2022 cash dividends paid to stockholders are as follows:</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1460" w:type="dxa"/>
            <w:vAlign w:val="bottom"/>
            <w:tcBorders>
              <w:bottom w:val="single" w:sz="8" w:color="auto"/>
            </w:tcBorders>
          </w:tcPr>
          <w:p>
            <w:pPr>
              <w:spacing w:after="0"/>
              <w:rPr>
                <w:sz w:val="17"/>
                <w:szCs w:val="17"/>
                <w:color w:val="auto"/>
              </w:rPr>
            </w:pPr>
          </w:p>
        </w:tc>
      </w:tr>
      <w:tr>
        <w:trPr>
          <w:trHeight w:val="215"/>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April 3, 2022</w:t>
            </w:r>
          </w:p>
        </w:tc>
        <w:tc>
          <w:tcPr>
            <w:tcW w:w="520" w:type="dxa"/>
            <w:vAlign w:val="bottom"/>
          </w:tcPr>
          <w:p>
            <w:pPr>
              <w:spacing w:after="0"/>
              <w:rPr>
                <w:sz w:val="18"/>
                <w:szCs w:val="18"/>
                <w:color w:val="auto"/>
              </w:rPr>
            </w:pPr>
          </w:p>
        </w:tc>
        <w:tc>
          <w:tcPr>
            <w:tcW w:w="146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July 3, 2022</w:t>
            </w:r>
          </w:p>
        </w:tc>
      </w:tr>
      <w:tr>
        <w:trPr>
          <w:trHeight w:val="212"/>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paid per share – Common stock</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0.901</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0.901</w:t>
            </w:r>
          </w:p>
        </w:tc>
      </w:tr>
      <w:tr>
        <w:trPr>
          <w:trHeight w:val="21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paid per share – Class B common stock</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0.819</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0.819</w:t>
            </w:r>
          </w:p>
        </w:tc>
      </w:tr>
      <w:tr>
        <w:trPr>
          <w:trHeight w:val="219"/>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dividends paid</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1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Declaration date</w:t>
            </w:r>
          </w:p>
        </w:tc>
        <w:tc>
          <w:tcPr>
            <w:tcW w:w="30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February 2, 2022</w:t>
            </w:r>
          </w:p>
        </w:tc>
        <w:tc>
          <w:tcPr>
            <w:tcW w:w="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27, 2022</w:t>
            </w:r>
          </w:p>
        </w:tc>
      </w:tr>
      <w:tr>
        <w:trPr>
          <w:trHeight w:val="219"/>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Record date</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February 18, 2022</w:t>
            </w:r>
          </w:p>
        </w:tc>
        <w:tc>
          <w:tcPr>
            <w:tcW w:w="5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20, 2022</w:t>
            </w: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date</w:t>
            </w:r>
          </w:p>
        </w:tc>
        <w:tc>
          <w:tcPr>
            <w:tcW w:w="30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March 15, 2022</w:t>
            </w:r>
          </w:p>
        </w:tc>
        <w:tc>
          <w:tcPr>
            <w:tcW w:w="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June 15, 2022</w:t>
            </w:r>
          </w:p>
        </w:tc>
      </w:tr>
    </w:tbl>
    <w:p>
      <w:pPr>
        <w:spacing w:after="0" w:line="221" w:lineRule="exact"/>
        <w:rPr>
          <w:sz w:val="20"/>
          <w:szCs w:val="20"/>
          <w:color w:val="auto"/>
        </w:rPr>
      </w:pPr>
    </w:p>
    <w:p>
      <w:pPr>
        <w:ind w:left="320" w:right="300" w:hanging="317"/>
        <w:spacing w:after="0" w:line="266" w:lineRule="auto"/>
        <w:tabs>
          <w:tab w:leader="none" w:pos="316"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Share repurchases</w:t>
      </w:r>
      <w:r>
        <w:rPr>
          <w:rFonts w:ascii="Times New Roman" w:cs="Times New Roman" w:eastAsia="Times New Roman" w:hAnsi="Times New Roman"/>
          <w:sz w:val="17"/>
          <w:szCs w:val="17"/>
          <w:color w:val="auto"/>
        </w:rPr>
        <w:t>. We repurchase shares of Common Stock to offset the dilutive impact of treasury shares issued under our equity compensation plans.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July 3, 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July 4, 2021</w:t>
            </w: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Milton Hershey School Trust repurchase</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203.4</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Shares repurchased in the open market under pre-approved share repurchase programs</w:t>
            </w:r>
          </w:p>
        </w:tc>
        <w:tc>
          <w:tcPr>
            <w:tcW w:w="1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r>
      <w:tr>
        <w:trPr>
          <w:trHeight w:val="168"/>
        </w:trPr>
        <w:tc>
          <w:tcPr>
            <w:tcW w:w="76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repurchased in the open market to replace Treasury Stock issued for stock options and incentive</w:t>
            </w: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1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151.9</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1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used for total share repurchases</w:t>
            </w:r>
          </w:p>
        </w:tc>
        <w:tc>
          <w:tcPr>
            <w:tcW w:w="1300" w:type="dxa"/>
            <w:vAlign w:val="bottom"/>
            <w:tcBorders>
              <w:bottom w:val="single" w:sz="8" w:color="auto"/>
            </w:tcBorders>
          </w:tcPr>
          <w:p>
            <w:pPr>
              <w:jc w:val="right"/>
              <w:ind w:right="111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355.3</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shares repurchased under pre-approved share repurchase programs</w:t>
            </w: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bl>
    <w:p>
      <w:pPr>
        <w:spacing w:after="0" w:line="216" w:lineRule="exact"/>
        <w:rPr>
          <w:sz w:val="20"/>
          <w:szCs w:val="20"/>
          <w:color w:val="auto"/>
        </w:rPr>
      </w:pPr>
    </w:p>
    <w:p>
      <w:pPr>
        <w:jc w:val="both"/>
        <w:ind w:left="320" w:right="560"/>
        <w:spacing w:after="0" w:line="270" w:lineRule="auto"/>
        <w:rPr>
          <w:sz w:val="20"/>
          <w:szCs w:val="20"/>
          <w:color w:val="auto"/>
        </w:rPr>
      </w:pPr>
      <w:r>
        <w:rPr>
          <w:rFonts w:ascii="Times New Roman" w:cs="Times New Roman" w:eastAsia="Times New Roman" w:hAnsi="Times New Roman"/>
          <w:sz w:val="17"/>
          <w:szCs w:val="17"/>
          <w:color w:val="auto"/>
        </w:rPr>
        <w:t>In February 2022, the Company entered into a Stock Purchase Agreement with Hershey Trust Company, as trustee for the Milton Hershey School Trust, pursuant to which the Company purchased 1,000,000 shares of the Company’s Common Stock from the Milton Hershey School Trust at a price equal to $203.35 per share, for a total purchase price of $203.4 million.</w:t>
      </w:r>
    </w:p>
    <w:p>
      <w:pPr>
        <w:spacing w:after="0" w:line="114" w:lineRule="exact"/>
        <w:rPr>
          <w:sz w:val="20"/>
          <w:szCs w:val="20"/>
          <w:color w:val="auto"/>
        </w:rPr>
      </w:pPr>
    </w:p>
    <w:p>
      <w:pPr>
        <w:ind w:left="320" w:right="200"/>
        <w:spacing w:after="0" w:line="264" w:lineRule="auto"/>
        <w:rPr>
          <w:sz w:val="20"/>
          <w:szCs w:val="20"/>
          <w:color w:val="auto"/>
        </w:rPr>
      </w:pPr>
      <w:r>
        <w:rPr>
          <w:rFonts w:ascii="Times New Roman" w:cs="Times New Roman" w:eastAsia="Times New Roman" w:hAnsi="Times New Roman"/>
          <w:sz w:val="17"/>
          <w:szCs w:val="17"/>
          <w:color w:val="auto"/>
        </w:rPr>
        <w:t>In July 2018, our Board of Directors approved a $500 million share repurchase authorization. As of July 3, 2022,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 We expect 2022 share repurchases to be in line with our traditional buyback strategy.</w:t>
      </w:r>
    </w:p>
    <w:p>
      <w:pPr>
        <w:spacing w:after="0" w:line="116" w:lineRule="exact"/>
        <w:rPr>
          <w:sz w:val="20"/>
          <w:szCs w:val="20"/>
          <w:color w:val="auto"/>
        </w:rPr>
      </w:pPr>
    </w:p>
    <w:p>
      <w:pPr>
        <w:ind w:left="320" w:right="140" w:hanging="317"/>
        <w:spacing w:after="0" w:line="266" w:lineRule="auto"/>
        <w:tabs>
          <w:tab w:leader="none" w:pos="316"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Proceeds from exercised stock options and employee tax withholding. </w:t>
      </w:r>
      <w:r>
        <w:rPr>
          <w:rFonts w:ascii="Times New Roman" w:cs="Times New Roman" w:eastAsia="Times New Roman" w:hAnsi="Times New Roman"/>
          <w:sz w:val="17"/>
          <w:szCs w:val="17"/>
          <w:color w:val="auto"/>
        </w:rPr>
        <w:t>During the first six months of 2022, we received $21.8 million from employee exercises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stock options and paid $33.9 million of employee taxes withheld from share-based awards. During the first six months of 2021, we received $31.7 million from employee exercises of stock options and paid $14.9 million of employee taxes withheld from share-based awards. Variances are driven primarily by the number of shares exercised and the share price at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Information on recently adopted and issued accounting standards is included in </w:t>
      </w:r>
      <w:r>
        <w:rPr>
          <w:rFonts w:ascii="Times New Roman" w:cs="Times New Roman" w:eastAsia="Times New Roman" w:hAnsi="Times New Roman"/>
          <w:sz w:val="17"/>
          <w:szCs w:val="17"/>
          <w:u w:val="single" w:color="auto"/>
          <w:color w:val="0000FF"/>
        </w:rPr>
        <w:t>Note 1</w:t>
      </w:r>
      <w:r>
        <w:rPr>
          <w:rFonts w:ascii="Times New Roman" w:cs="Times New Roman" w:eastAsia="Times New Roman" w:hAnsi="Times New Roman"/>
          <w:sz w:val="17"/>
          <w:szCs w:val="17"/>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357" w:right="239" w:bottom="1440" w:gutter="0" w:footer="0" w:header="0"/>
        </w:sectPr>
      </w:pPr>
    </w:p>
    <w:bookmarkStart w:id="47" w:name="page48"/>
    <w:bookmarkEnd w:id="47"/>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Safe Harbor Statement</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factors that could cause our actual results to differ materially from the results projected in our forward-looking statements include, but are not limited to the following:</w:t>
      </w:r>
    </w:p>
    <w:p>
      <w:pPr>
        <w:spacing w:after="0" w:line="177" w:lineRule="exact"/>
        <w:rPr>
          <w:sz w:val="20"/>
          <w:szCs w:val="20"/>
          <w:color w:val="auto"/>
        </w:rPr>
      </w:pPr>
    </w:p>
    <w:p>
      <w:pPr>
        <w:ind w:left="620" w:right="14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COVID-19 pandemic;</w:t>
      </w:r>
    </w:p>
    <w:p>
      <w:pPr>
        <w:spacing w:after="0" w:line="191" w:lineRule="exact"/>
        <w:rPr>
          <w:rFonts w:ascii="Times New Roman" w:cs="Times New Roman" w:eastAsia="Times New Roman" w:hAnsi="Times New Roman"/>
          <w:sz w:val="17"/>
          <w:szCs w:val="17"/>
          <w:color w:val="auto"/>
        </w:rPr>
      </w:pPr>
    </w:p>
    <w:p>
      <w:pPr>
        <w:ind w:left="620" w:right="16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191"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our manufacturing operations or supply chain could impair our ability to produce or deliver finished products, resulting in a negative impact on our operating results;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be able to hire, engage and retain the talented global workforce we need to drive our growth strategies;</w:t>
      </w:r>
    </w:p>
    <w:p>
      <w:pPr>
        <w:spacing w:after="0" w:line="242"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and energy costs along with the availability of adequate supplies of raw materials could affect future financial results;</w:t>
      </w:r>
    </w:p>
    <w:p>
      <w:pPr>
        <w:spacing w:after="0" w:line="242"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increases may not be sufficient to offset cost increases and maintain profitability or may result in sales volume declines associated with pricing elasticity;</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demand for new and existing products could decline;</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marketplace competition could hurt our business;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results may be adversely impacted by the failure to successfully execute or integrate acquisitions, divestitures and joint ventures;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operations may not achieve projected growth objectives, which could adversely impact our overall business and results of operations;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fully realize the expected cost savings and/or operating efficiencies associated with our strategic initiatives or restructuring programs, which may have an adverse impact on our business;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laws and regulations could increase our costs and liabilities or impact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ind w:left="620" w:right="28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economic and/or financial market conditions, including impacts on our business arising from the conflict between Russia and Ukraine, could negatively impact our financial results;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failures or security breaches of our information technology infrastructure could have a negative impact on our operations;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with the design or implementation of our new enterprise resource planning system could adversely impact our business and operations; and</w:t>
      </w:r>
    </w:p>
    <w:p>
      <w:pPr>
        <w:spacing w:after="0" w:line="242"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matters as discussed in our 2021 Annual Report on Form 10-K, our Quarterly Report on Form 10-Q for the quarterly period ended April 3, 2022 and this Quarterly Report on Form 10-Q, including Part II, Item 1A, ”Risk Factors.”</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total amount of short-term debt, net of cash, amounted to net debt of $575.2 million and net debt of $610.2 million, at July 3, 2022 and December 31, 2021, respectively. A hypothetical 100 basis point increase in interest rates applied to this variable-rate short-term debt as of July 3, 2022 would have changed interest expense by approximately $2.8 million for the first six months of 2022 and $2.4 million for 2021.</w:t>
      </w:r>
    </w:p>
    <w:p>
      <w:pPr>
        <w:spacing w:after="0" w:line="11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July 3, 2022 and December 31, 2021 by approximately $258 million and $319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potential decline in fair value of foreign currency forward exchange contracts resulting from a hypothetical near-term adverse change in market rates of 10% was $44.8 million as of July 3, 2022 and $24.8 million as of December 31, 2021, generally offset by a reduction in foreign exchange associated with our transactional activities.</w:t>
      </w:r>
    </w:p>
    <w:p>
      <w:pPr>
        <w:spacing w:after="0" w:line="11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open commodity derivative contracts had a notional value of $479.4 million as of July 3, 2022 and $313.2 million as of December 31, 2021. At the end of the first quarter 2022, the potential change in fair value of commodity derivative instruments, assuming a 10% decrease in the underlying commodity price, would have increased our net unrealized losses by $50.8 million, generally offset by a reduction in the cost of the underlying commodity 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as described above, market risks have not changed significantly from those described in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9" w:name="page50"/>
    <w:bookmarkEnd w:id="49"/>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July 3, 2022. Based on this evaluation, our Chief Executive Officer and Chief Financial Officer concluded that our disclosure controls and procedures were effective as of July 3, 2022.</w:t>
      </w:r>
    </w:p>
    <w:p>
      <w:pPr>
        <w:spacing w:after="0" w:line="1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When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July 3, 2022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344170</wp:posOffset>
            </wp:positionV>
            <wp:extent cx="188595" cy="163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Information on legal proceedings is included in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to the Unaudited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When evaluating an investment in our Common Stock, investors should consider carefully, among other things, the risk factors previously disclosed in Part I, Item 1A, “Risk Factors,” of our 2021 Annual Report on Form 10-K, Part II, Item 1A, "Risk Factors," of our Quarterly Report on Form 10-Q for the quarterly period ended April 3, 2022 and the information contained in this Quarterly Report on Form 10-Q and our other reports and registration statements filed with the SEC.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purchases of shares of Common Stock made by or on behalf of Hershey, or any “affiliated purchaser” (as defined in Rule 10b-18(a)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under the Securities Exchange Act of 1934, as amended) of Hershey, for each fiscal month in the three months ended July 3,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rPr>
              <w:t>Approximate</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ind w:right="121"/>
              <w:spacing w:after="0" w:line="155" w:lineRule="exact"/>
              <w:rPr>
                <w:sz w:val="20"/>
                <w:szCs w:val="20"/>
                <w:color w:val="auto"/>
              </w:rPr>
            </w:pPr>
            <w:r>
              <w:rPr>
                <w:rFonts w:ascii="Times New Roman" w:cs="Times New Roman" w:eastAsia="Times New Roman" w:hAnsi="Times New Roman"/>
                <w:sz w:val="15"/>
                <w:szCs w:val="15"/>
                <w:b w:val="1"/>
                <w:bCs w:val="1"/>
                <w:color w:val="auto"/>
              </w:rPr>
              <w:t>Dollar Value of</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680" w:type="dxa"/>
            <w:vAlign w:val="bottom"/>
          </w:tcPr>
          <w:p>
            <w:pPr>
              <w:jc w:val="center"/>
              <w:ind w:left="243"/>
              <w:spacing w:after="0" w:line="155" w:lineRule="exact"/>
              <w:rPr>
                <w:sz w:val="20"/>
                <w:szCs w:val="20"/>
                <w:color w:val="auto"/>
              </w:rPr>
            </w:pPr>
            <w:r>
              <w:rPr>
                <w:rFonts w:ascii="Times New Roman" w:cs="Times New Roman" w:eastAsia="Times New Roman" w:hAnsi="Times New Roman"/>
                <w:sz w:val="15"/>
                <w:szCs w:val="15"/>
                <w:b w:val="1"/>
                <w:bCs w:val="1"/>
                <w:color w:val="auto"/>
              </w:rPr>
              <w:t>Shares Purchased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ind w:right="121"/>
              <w:spacing w:after="0" w:line="155" w:lineRule="exact"/>
              <w:rPr>
                <w:sz w:val="20"/>
                <w:szCs w:val="20"/>
                <w:color w:val="auto"/>
              </w:rPr>
            </w:pPr>
            <w:r>
              <w:rPr>
                <w:rFonts w:ascii="Times New Roman" w:cs="Times New Roman" w:eastAsia="Times New Roman" w:hAnsi="Times New Roman"/>
                <w:sz w:val="15"/>
                <w:szCs w:val="15"/>
                <w:b w:val="1"/>
                <w:bCs w:val="1"/>
                <w:color w:val="auto"/>
              </w:rPr>
              <w:t>Shares that May</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680" w:type="dxa"/>
            <w:vAlign w:val="bottom"/>
          </w:tcPr>
          <w:p>
            <w:pPr>
              <w:jc w:val="center"/>
              <w:ind w:left="223"/>
              <w:spacing w:after="0" w:line="155" w:lineRule="exact"/>
              <w:rPr>
                <w:sz w:val="20"/>
                <w:szCs w:val="20"/>
                <w:color w:val="auto"/>
              </w:rPr>
            </w:pPr>
            <w:r>
              <w:rPr>
                <w:rFonts w:ascii="Times New Roman" w:cs="Times New Roman" w:eastAsia="Times New Roman" w:hAnsi="Times New Roman"/>
                <w:sz w:val="15"/>
                <w:szCs w:val="15"/>
                <w:b w:val="1"/>
                <w:bCs w:val="1"/>
                <w:color w:val="auto"/>
              </w:rPr>
              <w:t>as Part of Publicly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ind w:right="121"/>
              <w:spacing w:after="0" w:line="155" w:lineRule="exact"/>
              <w:rPr>
                <w:sz w:val="20"/>
                <w:szCs w:val="20"/>
                <w:color w:val="auto"/>
              </w:rPr>
            </w:pPr>
            <w:r>
              <w:rPr>
                <w:rFonts w:ascii="Times New Roman" w:cs="Times New Roman" w:eastAsia="Times New Roman" w:hAnsi="Times New Roman"/>
                <w:sz w:val="15"/>
                <w:szCs w:val="15"/>
                <w:b w:val="1"/>
                <w:bCs w:val="1"/>
                <w:color w:val="auto"/>
              </w:rPr>
              <w:t>Yet Be Purchased</w:t>
            </w:r>
          </w:p>
        </w:tc>
        <w:tc>
          <w:tcPr>
            <w:tcW w:w="0" w:type="dxa"/>
            <w:vAlign w:val="bottom"/>
          </w:tcPr>
          <w:p>
            <w:pPr>
              <w:spacing w:after="0"/>
              <w:rPr>
                <w:sz w:val="1"/>
                <w:szCs w:val="1"/>
                <w:color w:val="auto"/>
              </w:rPr>
            </w:pPr>
          </w:p>
        </w:tc>
      </w:tr>
      <w:tr>
        <w:trPr>
          <w:trHeight w:val="155"/>
        </w:trPr>
        <w:tc>
          <w:tcPr>
            <w:tcW w:w="350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6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Paid</w:t>
            </w:r>
          </w:p>
        </w:tc>
        <w:tc>
          <w:tcPr>
            <w:tcW w:w="1680" w:type="dxa"/>
            <w:vAlign w:val="bottom"/>
          </w:tcPr>
          <w:p>
            <w:pPr>
              <w:jc w:val="center"/>
              <w:ind w:left="203"/>
              <w:spacing w:after="0" w:line="155" w:lineRule="exact"/>
              <w:rPr>
                <w:sz w:val="20"/>
                <w:szCs w:val="20"/>
                <w:color w:val="auto"/>
              </w:rPr>
            </w:pPr>
            <w:r>
              <w:rPr>
                <w:rFonts w:ascii="Times New Roman" w:cs="Times New Roman" w:eastAsia="Times New Roman" w:hAnsi="Times New Roman"/>
                <w:sz w:val="15"/>
                <w:szCs w:val="15"/>
                <w:b w:val="1"/>
                <w:bCs w:val="1"/>
                <w:color w:val="auto"/>
              </w:rPr>
              <w:t>Announced Plans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ind w:right="141"/>
              <w:spacing w:after="0" w:line="155"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205"/>
        </w:trPr>
        <w:tc>
          <w:tcPr>
            <w:tcW w:w="3500" w:type="dxa"/>
            <w:vAlign w:val="bottom"/>
            <w:gridSpan w:val="2"/>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680" w:type="dxa"/>
            <w:vAlign w:val="bottom"/>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or Programs (2)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141"/>
              <w:spacing w:after="0"/>
              <w:rPr>
                <w:sz w:val="20"/>
                <w:szCs w:val="20"/>
                <w:color w:val="auto"/>
              </w:rPr>
            </w:pPr>
            <w:r>
              <w:rPr>
                <w:rFonts w:ascii="Times New Roman" w:cs="Times New Roman" w:eastAsia="Times New Roman" w:hAnsi="Times New Roman"/>
                <w:sz w:val="15"/>
                <w:szCs w:val="15"/>
                <w:b w:val="1"/>
                <w:bCs w:val="1"/>
                <w:color w:val="auto"/>
              </w:rPr>
              <w:t>Programs (2)</w:t>
            </w:r>
          </w:p>
        </w:tc>
        <w:tc>
          <w:tcPr>
            <w:tcW w:w="0" w:type="dxa"/>
            <w:vAlign w:val="bottom"/>
          </w:tcPr>
          <w:p>
            <w:pPr>
              <w:spacing w:after="0"/>
              <w:rPr>
                <w:sz w:val="1"/>
                <w:szCs w:val="1"/>
                <w:color w:val="auto"/>
              </w:rPr>
            </w:pPr>
          </w:p>
        </w:tc>
      </w:tr>
      <w:tr>
        <w:trPr>
          <w:trHeight w:val="182"/>
        </w:trPr>
        <w:tc>
          <w:tcPr>
            <w:tcW w:w="3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(in thousands of dollars)</w:t>
            </w:r>
          </w:p>
        </w:tc>
        <w:tc>
          <w:tcPr>
            <w:tcW w:w="0" w:type="dxa"/>
            <w:vAlign w:val="bottom"/>
          </w:tcPr>
          <w:p>
            <w:pPr>
              <w:spacing w:after="0"/>
              <w:rPr>
                <w:sz w:val="1"/>
                <w:szCs w:val="1"/>
                <w:color w:val="auto"/>
              </w:rPr>
            </w:pPr>
          </w:p>
        </w:tc>
      </w:tr>
      <w:tr>
        <w:trPr>
          <w:trHeight w:val="22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4 through May 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109,983</w:t>
            </w:r>
          </w:p>
        </w:tc>
        <w:tc>
          <w:tcPr>
            <w:tcW w:w="0" w:type="dxa"/>
            <w:vAlign w:val="bottom"/>
          </w:tcPr>
          <w:p>
            <w:pPr>
              <w:spacing w:after="0"/>
              <w:rPr>
                <w:sz w:val="1"/>
                <w:szCs w:val="1"/>
                <w:color w:val="auto"/>
              </w:rPr>
            </w:pPr>
          </w:p>
        </w:tc>
      </w:tr>
      <w:tr>
        <w:trPr>
          <w:trHeight w:val="21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2 through May 29</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679,000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223.74</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109,983</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30 through July 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109,983</w:t>
            </w:r>
          </w:p>
        </w:tc>
        <w:tc>
          <w:tcPr>
            <w:tcW w:w="0" w:type="dxa"/>
            <w:vAlign w:val="bottom"/>
          </w:tcPr>
          <w:p>
            <w:pPr>
              <w:spacing w:after="0"/>
              <w:rPr>
                <w:sz w:val="1"/>
                <w:szCs w:val="1"/>
                <w:color w:val="auto"/>
              </w:rPr>
            </w:pPr>
          </w:p>
        </w:tc>
      </w:tr>
      <w:tr>
        <w:trPr>
          <w:trHeight w:val="21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679,000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20" w:firstLine="3"/>
        <w:spacing w:after="0" w:line="284" w:lineRule="auto"/>
        <w:tabs>
          <w:tab w:leader="none" w:pos="24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July 3, 2022, 679,000 shares of Common Stock were purchased in open market transactions in connection with our practice of buying back shares sufficient to offset those issued under incentive compensation plans.</w:t>
      </w:r>
    </w:p>
    <w:p>
      <w:pPr>
        <w:spacing w:after="0" w:line="1" w:lineRule="exact"/>
        <w:rPr>
          <w:rFonts w:ascii="Times New Roman" w:cs="Times New Roman" w:eastAsia="Times New Roman" w:hAnsi="Times New Roman"/>
          <w:sz w:val="17"/>
          <w:szCs w:val="17"/>
          <w:color w:val="auto"/>
        </w:rPr>
      </w:pPr>
    </w:p>
    <w:p>
      <w:pPr>
        <w:ind w:right="200" w:firstLine="3"/>
        <w:spacing w:after="0" w:line="264" w:lineRule="auto"/>
        <w:tabs>
          <w:tab w:leader="none" w:pos="24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2018, our Board of Directors approved a $500 million share repurchase authorization. As of July 3, 2022, approximately $110 million remained available for repurchases of our Common Stock under this program. The share repurchase program does not have an expiration date. In May 2021, our Board of Directors approved an additional $500 million share repurchase authorization (excluded from the table above). This program is to commence after the existing 2018 authorization is completed and is to be utilized at management’s discretion.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287655</wp:posOffset>
            </wp:positionV>
            <wp:extent cx="188595" cy="163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sectPr>
      </w:pPr>
    </w:p>
    <w:bookmarkStart w:id="51" w:name="page52"/>
    <w:bookmarkEnd w:id="51"/>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20" w:type="dxa"/>
            <w:vAlign w:val="bottom"/>
            <w:gridSpan w:val="5"/>
          </w:tcPr>
          <w:p>
            <w:pPr>
              <w:ind w:left="106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63"/>
        </w:trPr>
        <w:tc>
          <w:tcPr>
            <w:tcW w:w="720" w:type="dxa"/>
            <w:vAlign w:val="bottom"/>
            <w:tcBorders>
              <w:top w:val="single" w:sz="8" w:color="auto"/>
              <w:right w:val="single" w:sz="8" w:color="CCEEFF"/>
            </w:tcBorders>
            <w:gridSpan w:val="2"/>
            <w:shd w:val="clear" w:color="auto" w:fill="CCEEFF"/>
          </w:tcPr>
          <w:p>
            <w:pPr>
              <w:jc w:val="center"/>
              <w:ind w:left="383"/>
              <w:spacing w:after="0" w:line="164" w:lineRule="exact"/>
              <w:rPr>
                <w:rFonts w:ascii="Times New Roman" w:cs="Times New Roman" w:eastAsia="Times New Roman" w:hAnsi="Times New Roman"/>
                <w:sz w:val="15"/>
                <w:szCs w:val="15"/>
                <w:color w:val="0000FF"/>
                <w:w w:val="95"/>
              </w:rPr>
            </w:pPr>
            <w:hyperlink r:id="rId136">
              <w:r>
                <w:rPr>
                  <w:rFonts w:ascii="Times New Roman" w:cs="Times New Roman" w:eastAsia="Times New Roman" w:hAnsi="Times New Roman"/>
                  <w:sz w:val="15"/>
                  <w:szCs w:val="15"/>
                  <w:color w:val="0000FF"/>
                  <w:w w:val="95"/>
                </w:rPr>
                <w:t>3.</w:t>
              </w:r>
              <w:r>
                <w:rPr>
                  <w:rFonts w:ascii="Times New Roman" w:cs="Times New Roman" w:eastAsia="Times New Roman" w:hAnsi="Times New Roman"/>
                  <w:sz w:val="15"/>
                  <w:szCs w:val="15"/>
                  <w:u w:val="single" w:color="auto"/>
                  <w:color w:val="0000FF"/>
                  <w:w w:val="95"/>
                </w:rPr>
                <w:t>1</w:t>
              </w:r>
            </w:hyperlink>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9920" w:type="dxa"/>
            <w:vAlign w:val="bottom"/>
            <w:tcBorders>
              <w:top w:val="single" w:sz="8" w:color="auto"/>
            </w:tcBorders>
            <w:gridSpan w:val="8"/>
            <w:shd w:val="clear" w:color="auto" w:fill="CCEEFF"/>
          </w:tcPr>
          <w:p>
            <w:pPr>
              <w:spacing w:after="0" w:line="164" w:lineRule="exact"/>
              <w:rPr>
                <w:rFonts w:ascii="Times New Roman" w:cs="Times New Roman" w:eastAsia="Times New Roman" w:hAnsi="Times New Roman"/>
                <w:sz w:val="15"/>
                <w:szCs w:val="15"/>
                <w:color w:val="0000FF"/>
              </w:rPr>
            </w:pPr>
            <w:hyperlink r:id="rId136">
              <w:r>
                <w:rPr>
                  <w:rFonts w:ascii="Times New Roman" w:cs="Times New Roman" w:eastAsia="Times New Roman" w:hAnsi="Times New Roman"/>
                  <w:sz w:val="15"/>
                  <w:szCs w:val="15"/>
                  <w:color w:val="0000FF"/>
                </w:rPr>
                <w:t>The Company’s Restated Certificate of Incorporation, as amended, is incorporated by reference from Exhibit 3 to the Company’s Quarterly Report on Form 10-</w:t>
              </w:r>
            </w:hyperlink>
          </w:p>
        </w:tc>
      </w:tr>
      <w:tr>
        <w:trPr>
          <w:trHeight w:val="153"/>
        </w:trPr>
        <w:tc>
          <w:tcPr>
            <w:tcW w:w="5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340" w:type="dxa"/>
            <w:vAlign w:val="bottom"/>
            <w:tcBorders>
              <w:top w:val="single" w:sz="8" w:color="0000FF"/>
              <w:bottom w:val="single" w:sz="8" w:color="0000FF"/>
            </w:tcBorders>
            <w:gridSpan w:val="2"/>
            <w:shd w:val="clear" w:color="auto" w:fill="CCEEFF"/>
          </w:tcPr>
          <w:p>
            <w:pPr>
              <w:spacing w:after="0" w:line="135" w:lineRule="exact"/>
              <w:rPr>
                <w:rFonts w:ascii="Times New Roman" w:cs="Times New Roman" w:eastAsia="Times New Roman" w:hAnsi="Times New Roman"/>
                <w:sz w:val="15"/>
                <w:szCs w:val="15"/>
                <w:color w:val="0000FF"/>
              </w:rPr>
            </w:pPr>
            <w:hyperlink r:id="rId136">
              <w:r>
                <w:rPr>
                  <w:rFonts w:ascii="Times New Roman" w:cs="Times New Roman" w:eastAsia="Times New Roman" w:hAnsi="Times New Roman"/>
                  <w:sz w:val="15"/>
                  <w:szCs w:val="15"/>
                  <w:color w:val="0000FF"/>
                </w:rPr>
                <w:t>Q for the quarter ended April 3, 2005.</w:t>
              </w:r>
            </w:hyperlink>
          </w:p>
        </w:tc>
        <w:tc>
          <w:tcPr>
            <w:tcW w:w="754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8"/>
        </w:trPr>
        <w:tc>
          <w:tcPr>
            <w:tcW w:w="720" w:type="dxa"/>
            <w:vAlign w:val="bottom"/>
            <w:gridSpan w:val="2"/>
          </w:tcPr>
          <w:p>
            <w:pPr>
              <w:jc w:val="center"/>
              <w:ind w:left="383"/>
              <w:spacing w:after="0" w:line="168" w:lineRule="exact"/>
              <w:rPr>
                <w:rFonts w:ascii="Times New Roman" w:cs="Times New Roman" w:eastAsia="Times New Roman" w:hAnsi="Times New Roman"/>
                <w:sz w:val="15"/>
                <w:szCs w:val="15"/>
                <w:color w:val="0000FF"/>
                <w:w w:val="95"/>
              </w:rPr>
            </w:pPr>
            <w:hyperlink r:id="rId137">
              <w:r>
                <w:rPr>
                  <w:rFonts w:ascii="Times New Roman" w:cs="Times New Roman" w:eastAsia="Times New Roman" w:hAnsi="Times New Roman"/>
                  <w:sz w:val="15"/>
                  <w:szCs w:val="15"/>
                  <w:color w:val="0000FF"/>
                  <w:w w:val="95"/>
                </w:rPr>
                <w:t>3.</w:t>
              </w:r>
              <w:r>
                <w:rPr>
                  <w:rFonts w:ascii="Times New Roman" w:cs="Times New Roman" w:eastAsia="Times New Roman" w:hAnsi="Times New Roman"/>
                  <w:sz w:val="15"/>
                  <w:szCs w:val="15"/>
                  <w:u w:val="single" w:color="auto"/>
                  <w:color w:val="0000FF"/>
                  <w:w w:val="95"/>
                </w:rPr>
                <w:t>2</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20" w:type="dxa"/>
            <w:vAlign w:val="bottom"/>
            <w:gridSpan w:val="8"/>
          </w:tcPr>
          <w:p>
            <w:pPr>
              <w:spacing w:after="0" w:line="168" w:lineRule="exact"/>
              <w:rPr>
                <w:rFonts w:ascii="Times New Roman" w:cs="Times New Roman" w:eastAsia="Times New Roman" w:hAnsi="Times New Roman"/>
                <w:sz w:val="15"/>
                <w:szCs w:val="15"/>
                <w:color w:val="0000FF"/>
              </w:rPr>
            </w:pPr>
            <w:hyperlink r:id="rId137">
              <w:r>
                <w:rPr>
                  <w:rFonts w:ascii="Times New Roman" w:cs="Times New Roman" w:eastAsia="Times New Roman" w:hAnsi="Times New Roman"/>
                  <w:sz w:val="15"/>
                  <w:szCs w:val="15"/>
                  <w:color w:val="0000FF"/>
                </w:rPr>
                <w:t>The Company's By-laws, as amended and restated as of February 21, 2017, are incorporated by reference from Exhibit 3.2 to the Company’s Annual Report on</w:t>
              </w:r>
            </w:hyperlink>
          </w:p>
        </w:tc>
      </w:tr>
      <w:tr>
        <w:trPr>
          <w:trHeight w:val="115"/>
        </w:trPr>
        <w:tc>
          <w:tcPr>
            <w:tcW w:w="50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40" w:type="dxa"/>
            <w:vAlign w:val="bottom"/>
            <w:tcBorders>
              <w:top w:val="single" w:sz="8" w:color="0000FF"/>
            </w:tcBorders>
            <w:gridSpan w:val="6"/>
          </w:tcPr>
          <w:p>
            <w:pPr>
              <w:spacing w:after="0" w:line="115"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Form 10-K for the fiscal year ended December 31, 2018.</w:t>
              </w:r>
            </w:hyperlink>
          </w:p>
        </w:tc>
        <w:tc>
          <w:tcPr>
            <w:tcW w:w="80" w:type="dxa"/>
            <w:vAlign w:val="bottom"/>
            <w:gridSpan w:val="2"/>
          </w:tcPr>
          <w:p>
            <w:pPr>
              <w:spacing w:after="0"/>
              <w:rPr>
                <w:sz w:val="9"/>
                <w:szCs w:val="9"/>
                <w:color w:val="auto"/>
              </w:rPr>
            </w:pPr>
          </w:p>
        </w:tc>
      </w:tr>
      <w:tr>
        <w:trPr>
          <w:trHeight w:val="29"/>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720" w:type="dxa"/>
            <w:vAlign w:val="bottom"/>
            <w:tcBorders>
              <w:right w:val="single" w:sz="8" w:color="CCEEFF"/>
            </w:tcBorders>
            <w:gridSpan w:val="2"/>
            <w:shd w:val="clear" w:color="auto" w:fill="CCEEFF"/>
          </w:tcPr>
          <w:p>
            <w:pPr>
              <w:jc w:val="center"/>
              <w:ind w:left="383"/>
              <w:spacing w:after="0"/>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1</w:t>
            </w:r>
          </w:p>
        </w:tc>
        <w:tc>
          <w:tcPr>
            <w:tcW w:w="4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0000FF"/>
              </w:rPr>
              <w:t>Certification of Michele G. Buck, Chief Executive Officer, pursuant to Section 302 of the Sarbanes-Oxley Act of 2002.</w:t>
            </w:r>
            <w:r>
              <w:rPr>
                <w:rFonts w:ascii="Times New Roman" w:cs="Times New Roman" w:eastAsia="Times New Roman" w:hAnsi="Times New Roman"/>
                <w:sz w:val="15"/>
                <w:szCs w:val="15"/>
                <w:color w:val="000000"/>
              </w:rPr>
              <w:t>*</w:t>
            </w:r>
          </w:p>
        </w:tc>
      </w:tr>
      <w:tr>
        <w:trPr>
          <w:trHeight w:val="39"/>
        </w:trPr>
        <w:tc>
          <w:tcPr>
            <w:tcW w:w="500" w:type="dxa"/>
            <w:vAlign w:val="bottom"/>
            <w:tcBorders>
              <w:right w:val="single" w:sz="8" w:color="0000FF"/>
            </w:tcBorders>
            <w:shd w:val="clear" w:color="auto" w:fill="CCEE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3880" w:type="dxa"/>
            <w:vAlign w:val="bottom"/>
            <w:shd w:val="clear" w:color="auto" w:fill="0000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8"/>
        </w:trPr>
        <w:tc>
          <w:tcPr>
            <w:tcW w:w="720" w:type="dxa"/>
            <w:vAlign w:val="bottom"/>
            <w:gridSpan w:val="2"/>
          </w:tcPr>
          <w:p>
            <w:pPr>
              <w:jc w:val="center"/>
              <w:ind w:left="383"/>
              <w:spacing w:after="0" w:line="168" w:lineRule="exact"/>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20" w:type="dxa"/>
            <w:vAlign w:val="bottom"/>
            <w:gridSpan w:val="8"/>
          </w:tcPr>
          <w:p>
            <w:pPr>
              <w:spacing w:after="0" w:line="168" w:lineRule="exact"/>
              <w:rPr>
                <w:sz w:val="20"/>
                <w:szCs w:val="20"/>
                <w:color w:val="auto"/>
              </w:rPr>
            </w:pPr>
            <w:r>
              <w:rPr>
                <w:rFonts w:ascii="Times New Roman" w:cs="Times New Roman" w:eastAsia="Times New Roman" w:hAnsi="Times New Roman"/>
                <w:sz w:val="15"/>
                <w:szCs w:val="15"/>
                <w:color w:val="0000FF"/>
              </w:rPr>
              <w:t>Certification of Steven E. Voskuil, Chief Financial Officer, pursuant to Section 302 of the Sarbanes-Oxley Act of 2002.</w:t>
            </w:r>
            <w:r>
              <w:rPr>
                <w:rFonts w:ascii="Times New Roman" w:cs="Times New Roman" w:eastAsia="Times New Roman" w:hAnsi="Times New Roman"/>
                <w:sz w:val="15"/>
                <w:szCs w:val="15"/>
                <w:color w:val="000000"/>
              </w:rPr>
              <w:t>*</w:t>
            </w:r>
          </w:p>
        </w:tc>
      </w:tr>
      <w:tr>
        <w:trPr>
          <w:trHeight w:val="29"/>
        </w:trPr>
        <w:tc>
          <w:tcPr>
            <w:tcW w:w="500" w:type="dxa"/>
            <w:vAlign w:val="bottom"/>
            <w:tcBorders>
              <w:right w:val="single" w:sz="8" w:color="0000FF"/>
            </w:tcBorders>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880" w:type="dxa"/>
            <w:vAlign w:val="bottom"/>
            <w:shd w:val="clear" w:color="auto" w:fill="0000FF"/>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720" w:type="dxa"/>
            <w:vAlign w:val="bottom"/>
            <w:tcBorders>
              <w:right w:val="single" w:sz="8" w:color="CCEEFF"/>
            </w:tcBorders>
            <w:gridSpan w:val="2"/>
            <w:shd w:val="clear" w:color="auto" w:fill="CCEEFF"/>
          </w:tcPr>
          <w:p>
            <w:pPr>
              <w:jc w:val="center"/>
              <w:ind w:left="383"/>
              <w:spacing w:after="0"/>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1</w:t>
            </w:r>
          </w:p>
        </w:tc>
        <w:tc>
          <w:tcPr>
            <w:tcW w:w="4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0000FF"/>
              </w:rPr>
              <w:t>Certification of Michele G. Buck, Chief Executive Officer, and Steven E. Voskuil, Chief Financial Officer, pursuant to Section 906 of the Sarbanes-Oxley Act</w:t>
            </w:r>
          </w:p>
        </w:tc>
      </w:tr>
      <w:tr>
        <w:trPr>
          <w:trHeight w:val="115"/>
        </w:trPr>
        <w:tc>
          <w:tcPr>
            <w:tcW w:w="500" w:type="dxa"/>
            <w:vAlign w:val="bottom"/>
            <w:tcBorders>
              <w:top w:val="single" w:sz="8" w:color="CCEEFF"/>
              <w:right w:val="single" w:sz="8" w:color="CCEEFF"/>
            </w:tcBorders>
            <w:shd w:val="clear" w:color="auto" w:fill="CCEEFF"/>
          </w:tcPr>
          <w:p>
            <w:pPr>
              <w:spacing w:after="0"/>
              <w:rPr>
                <w:sz w:val="9"/>
                <w:szCs w:val="9"/>
                <w:color w:val="auto"/>
              </w:rPr>
            </w:pPr>
          </w:p>
        </w:tc>
        <w:tc>
          <w:tcPr>
            <w:tcW w:w="220" w:type="dxa"/>
            <w:vAlign w:val="bottom"/>
            <w:tcBorders>
              <w:top w:val="single" w:sz="8" w:color="0000FF"/>
              <w:right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9780" w:type="dxa"/>
            <w:vAlign w:val="bottom"/>
            <w:tcBorders>
              <w:top w:val="single" w:sz="8" w:color="0000FF"/>
            </w:tcBorders>
            <w:gridSpan w:val="5"/>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0000FF"/>
              </w:rPr>
              <w:t>of 2002.</w:t>
            </w:r>
            <w:r>
              <w:rPr>
                <w:rFonts w:ascii="Times New Roman" w:cs="Times New Roman" w:eastAsia="Times New Roman" w:hAnsi="Times New Roman"/>
                <w:sz w:val="13"/>
                <w:szCs w:val="13"/>
                <w:color w:val="000000"/>
              </w:rPr>
              <w:t>**</w:t>
            </w:r>
          </w:p>
        </w:tc>
        <w:tc>
          <w:tcPr>
            <w:tcW w:w="140" w:type="dxa"/>
            <w:vAlign w:val="bottom"/>
            <w:tcBorders>
              <w:top w:val="single" w:sz="8" w:color="CCEEFF"/>
            </w:tcBorders>
            <w:gridSpan w:val="3"/>
            <w:shd w:val="clear" w:color="auto" w:fill="CCEEFF"/>
          </w:tcPr>
          <w:p>
            <w:pPr>
              <w:spacing w:after="0"/>
              <w:rPr>
                <w:sz w:val="9"/>
                <w:szCs w:val="9"/>
                <w:color w:val="auto"/>
              </w:rPr>
            </w:pPr>
          </w:p>
        </w:tc>
      </w:tr>
      <w:tr>
        <w:trPr>
          <w:trHeight w:val="39"/>
        </w:trPr>
        <w:tc>
          <w:tcPr>
            <w:tcW w:w="500" w:type="dxa"/>
            <w:vAlign w:val="bottom"/>
            <w:tcBorders>
              <w:righ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56"/>
        </w:trPr>
        <w:tc>
          <w:tcPr>
            <w:tcW w:w="1320" w:type="dxa"/>
            <w:vAlign w:val="bottom"/>
            <w:gridSpan w:val="4"/>
          </w:tcPr>
          <w:p>
            <w:pPr>
              <w:jc w:val="center"/>
              <w:ind w:right="160"/>
              <w:spacing w:after="0" w:line="156" w:lineRule="exact"/>
              <w:rPr>
                <w:sz w:val="20"/>
                <w:szCs w:val="20"/>
                <w:color w:val="auto"/>
              </w:rPr>
            </w:pPr>
            <w:r>
              <w:rPr>
                <w:rFonts w:ascii="Times New Roman" w:cs="Times New Roman" w:eastAsia="Times New Roman" w:hAnsi="Times New Roman"/>
                <w:sz w:val="15"/>
                <w:szCs w:val="15"/>
                <w:color w:val="auto"/>
              </w:rPr>
              <w:t>101.INS</w:t>
            </w:r>
          </w:p>
        </w:tc>
        <w:tc>
          <w:tcPr>
            <w:tcW w:w="992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 within the Inline</w:t>
            </w:r>
          </w:p>
        </w:tc>
      </w:tr>
      <w:tr>
        <w:trPr>
          <w:trHeight w:val="203"/>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XBRL document.</w:t>
            </w:r>
          </w:p>
        </w:tc>
      </w:tr>
      <w:tr>
        <w:trPr>
          <w:trHeight w:val="222"/>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101.SCH</w:t>
            </w: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w:t>
            </w:r>
          </w:p>
        </w:tc>
      </w:tr>
      <w:tr>
        <w:trPr>
          <w:trHeight w:val="210"/>
        </w:trPr>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color w:val="auto"/>
              </w:rPr>
              <w:t>101.CAL</w:t>
            </w:r>
          </w:p>
        </w:tc>
        <w:tc>
          <w:tcPr>
            <w:tcW w:w="99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w:t>
            </w:r>
          </w:p>
        </w:tc>
      </w:tr>
      <w:tr>
        <w:trPr>
          <w:trHeight w:val="216"/>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101.LAB</w:t>
            </w: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w:t>
            </w:r>
          </w:p>
        </w:tc>
      </w:tr>
      <w:tr>
        <w:trPr>
          <w:trHeight w:val="203"/>
        </w:trPr>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color w:val="auto"/>
              </w:rPr>
              <w:t>101.PRE</w:t>
            </w:r>
          </w:p>
        </w:tc>
        <w:tc>
          <w:tcPr>
            <w:tcW w:w="99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w:t>
            </w:r>
          </w:p>
        </w:tc>
      </w:tr>
      <w:tr>
        <w:trPr>
          <w:trHeight w:val="209"/>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101.DEF</w:t>
            </w: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w:t>
            </w:r>
          </w:p>
        </w:tc>
      </w:tr>
    </w:tbl>
    <w:p>
      <w:pPr>
        <w:spacing w:after="0" w:line="14" w:lineRule="exact"/>
        <w:rPr>
          <w:sz w:val="20"/>
          <w:szCs w:val="20"/>
          <w:color w:val="auto"/>
        </w:rPr>
      </w:pPr>
    </w:p>
    <w:p>
      <w:pPr>
        <w:ind w:left="1300" w:right="240" w:hanging="826"/>
        <w:spacing w:after="0" w:line="307" w:lineRule="auto"/>
        <w:tabs>
          <w:tab w:leader="none" w:pos="13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cover page from the Company's Quarterly Report on Form 10-Q for the quarterly period ended July 3, 2022, formatted in Inline XBRL and contained in Exhibit 101.</w:t>
      </w:r>
    </w:p>
    <w:p>
      <w:pPr>
        <w:spacing w:after="0" w:line="229" w:lineRule="exact"/>
        <w:rPr>
          <w:sz w:val="20"/>
          <w:szCs w:val="20"/>
          <w:color w:val="auto"/>
        </w:rPr>
      </w:pPr>
    </w:p>
    <w:p>
      <w:pPr>
        <w:ind w:left="1300" w:hanging="749"/>
        <w:spacing w:after="0"/>
        <w:tabs>
          <w:tab w:leader="none" w:pos="13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34" w:lineRule="exact"/>
        <w:rPr>
          <w:sz w:val="20"/>
          <w:szCs w:val="20"/>
          <w:color w:val="auto"/>
        </w:rPr>
      </w:pPr>
    </w:p>
    <w:p>
      <w:pPr>
        <w:ind w:left="1300" w:hanging="788"/>
        <w:spacing w:after="0"/>
        <w:tabs>
          <w:tab w:leader="none" w:pos="13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1117600</wp:posOffset>
            </wp:positionV>
            <wp:extent cx="188595" cy="163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9"/>
        </w:trPr>
        <w:tc>
          <w:tcPr>
            <w:tcW w:w="264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THE HERSHEY COMPANY</w:t>
            </w:r>
          </w:p>
        </w:tc>
      </w:tr>
      <w:tr>
        <w:trPr>
          <w:trHeight w:val="227"/>
        </w:trPr>
        <w:tc>
          <w:tcPr>
            <w:tcW w:w="264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(Registrant)</w:t>
            </w:r>
          </w:p>
        </w:tc>
      </w:tr>
      <w:tr>
        <w:trPr>
          <w:trHeight w:val="47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5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/s/ Steven E. Voskuil</w:t>
            </w:r>
          </w:p>
        </w:tc>
      </w:tr>
      <w:tr>
        <w:trPr>
          <w:trHeight w:val="209"/>
        </w:trPr>
        <w:tc>
          <w:tcPr>
            <w:tcW w:w="264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Steven E. Voskuil</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Senior Vice President, Chief Financial Officer</w:t>
            </w:r>
          </w:p>
        </w:tc>
      </w:tr>
      <w:tr>
        <w:trPr>
          <w:trHeight w:val="223"/>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7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5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/s/ Jennifer L. McCalman</w:t>
            </w:r>
          </w:p>
        </w:tc>
      </w:tr>
      <w:tr>
        <w:trPr>
          <w:trHeight w:val="209"/>
        </w:trPr>
        <w:tc>
          <w:tcPr>
            <w:tcW w:w="264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Jennifer L. McCalman</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Vice President, Chief Accounting Officer</w:t>
            </w:r>
          </w:p>
        </w:tc>
      </w:tr>
      <w:tr>
        <w:trPr>
          <w:trHeight w:val="223"/>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466090</wp:posOffset>
            </wp:positionV>
            <wp:extent cx="188595" cy="163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Q2 2022 Form 10-Q | Page 52</w:t>
      </w:r>
    </w:p>
    <w:p>
      <w:pPr>
        <w:sectPr>
          <w:pgSz w:w="11900" w:h="16838" w:orient="portrait"/>
          <w:cols w:equalWidth="0" w:num="1">
            <w:col w:w="10720"/>
          </w:cols>
          <w:pgMar w:left="320" w:top="1202" w:right="8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Michele G. Buck, certify that:</w:t>
      </w:r>
    </w:p>
    <w:p>
      <w:pPr>
        <w:spacing w:after="0" w:line="101" w:lineRule="exact"/>
        <w:rPr>
          <w:sz w:val="20"/>
          <w:szCs w:val="20"/>
          <w:color w:val="auto"/>
        </w:rPr>
      </w:pPr>
    </w:p>
    <w:p>
      <w:pPr>
        <w:ind w:left="300" w:hanging="298"/>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Hershey Company;</w:t>
      </w:r>
    </w:p>
    <w:p>
      <w:pPr>
        <w:spacing w:after="0" w:line="88" w:lineRule="exact"/>
        <w:rPr>
          <w:rFonts w:ascii="Times New Roman" w:cs="Times New Roman" w:eastAsia="Times New Roman" w:hAnsi="Times New Roman"/>
          <w:sz w:val="17"/>
          <w:szCs w:val="17"/>
          <w:color w:val="auto"/>
        </w:rPr>
      </w:pPr>
    </w:p>
    <w:p>
      <w:pPr>
        <w:ind w:left="380" w:right="140" w:hanging="378"/>
        <w:spacing w:after="0" w:line="287" w:lineRule="auto"/>
        <w:tabs>
          <w:tab w:leader="none" w:pos="29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Times New Roman" w:cs="Times New Roman" w:eastAsia="Times New Roman" w:hAnsi="Times New Roman"/>
          <w:sz w:val="17"/>
          <w:szCs w:val="17"/>
          <w:color w:val="auto"/>
        </w:rPr>
      </w:pPr>
    </w:p>
    <w:p>
      <w:pPr>
        <w:ind w:left="380" w:right="220" w:hanging="378"/>
        <w:spacing w:after="0" w:line="287" w:lineRule="auto"/>
        <w:tabs>
          <w:tab w:leader="none" w:pos="29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Times New Roman" w:cs="Times New Roman" w:eastAsia="Times New Roman" w:hAnsi="Times New Roman"/>
          <w:sz w:val="17"/>
          <w:szCs w:val="17"/>
          <w:color w:val="auto"/>
        </w:rPr>
      </w:pPr>
    </w:p>
    <w:p>
      <w:pPr>
        <w:ind w:left="380" w:right="180" w:hanging="378"/>
        <w:spacing w:after="0" w:line="270" w:lineRule="auto"/>
        <w:tabs>
          <w:tab w:leader="none" w:pos="29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7"/>
          <w:szCs w:val="17"/>
          <w:color w:val="auto"/>
        </w:rPr>
      </w:pPr>
    </w:p>
    <w:p>
      <w:pPr>
        <w:ind w:left="820" w:right="180" w:hanging="393"/>
        <w:spacing w:after="0" w:line="270" w:lineRule="auto"/>
        <w:tabs>
          <w:tab w:leader="none" w:pos="79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820" w:right="160" w:hanging="393"/>
        <w:spacing w:after="0" w:line="270" w:lineRule="auto"/>
        <w:tabs>
          <w:tab w:leader="none" w:pos="80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20" w:right="20" w:hanging="393"/>
        <w:spacing w:after="0" w:line="287" w:lineRule="auto"/>
        <w:tabs>
          <w:tab w:leader="none" w:pos="79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7"/>
          <w:szCs w:val="17"/>
          <w:color w:val="auto"/>
        </w:rPr>
      </w:pPr>
    </w:p>
    <w:p>
      <w:pPr>
        <w:ind w:left="820" w:right="40" w:hanging="393"/>
        <w:spacing w:after="0" w:line="270" w:lineRule="auto"/>
        <w:tabs>
          <w:tab w:leader="none" w:pos="80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380" w:right="620" w:hanging="378"/>
        <w:spacing w:after="0" w:line="287" w:lineRule="auto"/>
        <w:tabs>
          <w:tab w:leader="none" w:pos="29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7"/>
          <w:szCs w:val="17"/>
          <w:color w:val="auto"/>
        </w:rPr>
      </w:pPr>
    </w:p>
    <w:p>
      <w:pPr>
        <w:ind w:left="820" w:right="140" w:hanging="393"/>
        <w:spacing w:after="0" w:line="287" w:lineRule="auto"/>
        <w:tabs>
          <w:tab w:leader="none" w:pos="78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Times New Roman" w:cs="Times New Roman" w:eastAsia="Times New Roman" w:hAnsi="Times New Roman"/>
          <w:sz w:val="17"/>
          <w:szCs w:val="17"/>
          <w:color w:val="auto"/>
        </w:rPr>
      </w:pPr>
    </w:p>
    <w:p>
      <w:pPr>
        <w:ind w:left="820" w:right="180" w:hanging="393"/>
        <w:spacing w:after="0" w:line="287" w:lineRule="auto"/>
        <w:tabs>
          <w:tab w:leader="none" w:pos="79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74295</wp:posOffset>
            </wp:positionV>
            <wp:extent cx="34709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1"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7"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461645</wp:posOffset>
            </wp:positionV>
            <wp:extent cx="188595" cy="163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Hershey Company | Q2 2022 Form 10-Q | Exhibit 31.1</w:t>
      </w:r>
    </w:p>
    <w:p>
      <w:pPr>
        <w:sectPr>
          <w:pgSz w:w="11900" w:h="16838" w:orient="portrait"/>
          <w:cols w:equalWidth="0" w:num="1">
            <w:col w:w="11200"/>
          </w:cols>
          <w:pgMar w:left="360" w:top="73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E. Voskuil, certify that:</w:t>
      </w:r>
    </w:p>
    <w:p>
      <w:pPr>
        <w:spacing w:after="0" w:line="101" w:lineRule="exact"/>
        <w:rPr>
          <w:sz w:val="20"/>
          <w:szCs w:val="20"/>
          <w:color w:val="auto"/>
        </w:rPr>
      </w:pPr>
    </w:p>
    <w:p>
      <w:pPr>
        <w:ind w:left="300" w:hanging="298"/>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Hershey Company;</w:t>
      </w:r>
    </w:p>
    <w:p>
      <w:pPr>
        <w:spacing w:after="0" w:line="88" w:lineRule="exact"/>
        <w:rPr>
          <w:rFonts w:ascii="Times New Roman" w:cs="Times New Roman" w:eastAsia="Times New Roman" w:hAnsi="Times New Roman"/>
          <w:sz w:val="17"/>
          <w:szCs w:val="17"/>
          <w:color w:val="auto"/>
        </w:rPr>
      </w:pPr>
    </w:p>
    <w:p>
      <w:pPr>
        <w:ind w:left="380" w:right="140" w:hanging="378"/>
        <w:spacing w:after="0" w:line="287" w:lineRule="auto"/>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Times New Roman" w:cs="Times New Roman" w:eastAsia="Times New Roman" w:hAnsi="Times New Roman"/>
          <w:sz w:val="17"/>
          <w:szCs w:val="17"/>
          <w:color w:val="auto"/>
        </w:rPr>
      </w:pPr>
    </w:p>
    <w:p>
      <w:pPr>
        <w:ind w:left="380" w:right="220" w:hanging="378"/>
        <w:spacing w:after="0" w:line="287" w:lineRule="auto"/>
        <w:tabs>
          <w:tab w:leader="none" w:pos="2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Times New Roman" w:cs="Times New Roman" w:eastAsia="Times New Roman" w:hAnsi="Times New Roman"/>
          <w:sz w:val="17"/>
          <w:szCs w:val="17"/>
          <w:color w:val="auto"/>
        </w:rPr>
      </w:pPr>
    </w:p>
    <w:p>
      <w:pPr>
        <w:ind w:left="380" w:right="180" w:hanging="378"/>
        <w:spacing w:after="0" w:line="270" w:lineRule="auto"/>
        <w:tabs>
          <w:tab w:leader="none" w:pos="29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7"/>
          <w:szCs w:val="17"/>
          <w:color w:val="auto"/>
        </w:rPr>
      </w:pPr>
    </w:p>
    <w:p>
      <w:pPr>
        <w:ind w:left="820" w:right="180" w:hanging="393"/>
        <w:spacing w:after="0" w:line="270" w:lineRule="auto"/>
        <w:tabs>
          <w:tab w:leader="none" w:pos="79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820" w:right="160" w:hanging="393"/>
        <w:spacing w:after="0" w:line="270" w:lineRule="auto"/>
        <w:tabs>
          <w:tab w:leader="none" w:pos="80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20" w:right="20" w:hanging="393"/>
        <w:spacing w:after="0" w:line="287" w:lineRule="auto"/>
        <w:tabs>
          <w:tab w:leader="none" w:pos="79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7"/>
          <w:szCs w:val="17"/>
          <w:color w:val="auto"/>
        </w:rPr>
      </w:pPr>
    </w:p>
    <w:p>
      <w:pPr>
        <w:ind w:left="820" w:right="40" w:hanging="393"/>
        <w:spacing w:after="0" w:line="270" w:lineRule="auto"/>
        <w:tabs>
          <w:tab w:leader="none" w:pos="80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380" w:right="620" w:hanging="378"/>
        <w:spacing w:after="0" w:line="287" w:lineRule="auto"/>
        <w:tabs>
          <w:tab w:leader="none" w:pos="29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7"/>
          <w:szCs w:val="17"/>
          <w:color w:val="auto"/>
        </w:rPr>
      </w:pPr>
    </w:p>
    <w:p>
      <w:pPr>
        <w:ind w:left="820" w:right="140" w:hanging="393"/>
        <w:spacing w:after="0" w:line="287" w:lineRule="auto"/>
        <w:tabs>
          <w:tab w:leader="none" w:pos="78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Times New Roman" w:cs="Times New Roman" w:eastAsia="Times New Roman" w:hAnsi="Times New Roman"/>
          <w:sz w:val="17"/>
          <w:szCs w:val="17"/>
          <w:color w:val="auto"/>
        </w:rPr>
      </w:pPr>
    </w:p>
    <w:p>
      <w:pPr>
        <w:ind w:left="820" w:right="180" w:hanging="393"/>
        <w:spacing w:after="0" w:line="287" w:lineRule="auto"/>
        <w:tabs>
          <w:tab w:leader="none" w:pos="79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82550</wp:posOffset>
            </wp:positionV>
            <wp:extent cx="34709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24"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1"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7"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608965</wp:posOffset>
            </wp:positionV>
            <wp:extent cx="188595" cy="163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Hershey Company | Q2 2022 Form 10-Q | Exhibit 31.2</w:t>
      </w:r>
    </w:p>
    <w:p>
      <w:pPr>
        <w:sectPr>
          <w:pgSz w:w="11900" w:h="16838" w:orient="portrait"/>
          <w:cols w:equalWidth="0" w:num="1">
            <w:col w:w="11200"/>
          </w:cols>
          <w:pgMar w:left="360" w:top="73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Pursuant to Section 906 of the Sarbanes-Oxley Act of 2002, the undersigned officers of The Hershey Company (the “Company”) hereby certify, to the best of their knowledge, that the Company’s Quarterly Report on Form 10-Q for the quarterly period ended July 3, 2022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MICHELE G. BUCK</w:t>
            </w:r>
          </w:p>
        </w:tc>
      </w:tr>
      <w:tr>
        <w:trPr>
          <w:trHeight w:val="186"/>
        </w:trPr>
        <w:tc>
          <w:tcPr>
            <w:tcW w:w="292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Michele G. Buck</w:t>
            </w:r>
          </w:p>
        </w:tc>
      </w:tr>
      <w:tr>
        <w:trPr>
          <w:trHeight w:val="155"/>
        </w:trPr>
        <w:tc>
          <w:tcPr>
            <w:tcW w:w="2920" w:type="dxa"/>
            <w:vAlign w:val="bottom"/>
          </w:tcPr>
          <w:p>
            <w:pPr>
              <w:spacing w:after="0"/>
              <w:rPr>
                <w:sz w:val="13"/>
                <w:szCs w:val="13"/>
                <w:color w:val="auto"/>
              </w:rPr>
            </w:pPr>
          </w:p>
        </w:tc>
        <w:tc>
          <w:tcPr>
            <w:tcW w:w="3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Chief Executive Officer</w:t>
            </w:r>
          </w:p>
        </w:tc>
      </w:tr>
      <w:tr>
        <w:trPr>
          <w:trHeight w:val="204"/>
        </w:trPr>
        <w:tc>
          <w:tcPr>
            <w:tcW w:w="29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tc>
      </w:tr>
    </w:tbl>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STEVEN E. VOSKUIL</w:t>
            </w:r>
          </w:p>
        </w:tc>
      </w:tr>
      <w:tr>
        <w:trPr>
          <w:trHeight w:val="186"/>
        </w:trPr>
        <w:tc>
          <w:tcPr>
            <w:tcW w:w="292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Steven E. Voskuil</w:t>
            </w:r>
          </w:p>
        </w:tc>
      </w:tr>
      <w:tr>
        <w:trPr>
          <w:trHeight w:val="155"/>
        </w:trPr>
        <w:tc>
          <w:tcPr>
            <w:tcW w:w="2920" w:type="dxa"/>
            <w:vAlign w:val="bottom"/>
          </w:tcPr>
          <w:p>
            <w:pPr>
              <w:spacing w:after="0"/>
              <w:rPr>
                <w:sz w:val="13"/>
                <w:szCs w:val="13"/>
                <w:color w:val="auto"/>
              </w:rPr>
            </w:pPr>
          </w:p>
        </w:tc>
        <w:tc>
          <w:tcPr>
            <w:tcW w:w="3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Chief Financial Officer</w:t>
            </w:r>
          </w:p>
        </w:tc>
      </w:tr>
      <w:tr>
        <w:trPr>
          <w:trHeight w:val="204"/>
        </w:trPr>
        <w:tc>
          <w:tcPr>
            <w:tcW w:w="29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(Principal Financial Officer)</w:t>
            </w:r>
          </w:p>
        </w:tc>
      </w:tr>
    </w:tbl>
    <w:p>
      <w:pPr>
        <w:spacing w:after="0" w:line="23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999490</wp:posOffset>
            </wp:positionV>
            <wp:extent cx="188595" cy="163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Hershey Company | Q2 2022 Form 10-Q | Exhibit 32.1</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lvl w:ilvl="1">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png"/><Relationship Id="rId140" Type="http://schemas.openxmlformats.org/officeDocument/2006/relationships/image" Target="media/image131.jpeg"/><Relationship Id="rId141" Type="http://schemas.openxmlformats.org/officeDocument/2006/relationships/image" Target="media/image132.png"/><Relationship Id="rId142" Type="http://schemas.openxmlformats.org/officeDocument/2006/relationships/image" Target="media/image133.jpeg"/><Relationship Id="rId143" Type="http://schemas.openxmlformats.org/officeDocument/2006/relationships/image" Target="media/image134.png"/><Relationship Id="rId144" Type="http://schemas.openxmlformats.org/officeDocument/2006/relationships/image" Target="media/image135.jpeg"/><Relationship Id="rId145" Type="http://schemas.openxmlformats.org/officeDocument/2006/relationships/image" Target="media/image136.jpeg"/><Relationship Id="rId136" Type="http://schemas.openxmlformats.org/officeDocument/2006/relationships/hyperlink" Target="http://www.sec.gov/Archives/edgar/data/47111/000004711105000159/exhibit3.htm?_sm_byp=iVV7PRrr5tFtD2T5" TargetMode="External"/><Relationship Id="rId137"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2022-07-28T09:01:23Z</dcterms:created>
  <dcterms:modified xsi:type="dcterms:W3CDTF">2022-07-28T09:01:23Z</dcterms:modified>
</cp:coreProperties>
</file>