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793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793750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44"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HERSHEY TRUST CO TRUSTEE IN</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TRUST FOR MILTON HERSHEY</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SCHOOL</w:t>
        </w:r>
      </w:hyperlink>
    </w:p>
    <w:p>
      <w:pPr>
        <w:spacing w:after="0" w:line="278"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67"/>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4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 EAST CHOCOLATE AVENUE</w:t>
            </w:r>
          </w:p>
        </w:tc>
        <w:tc>
          <w:tcPr>
            <w:tcW w:w="560" w:type="dxa"/>
            <w:vAlign w:val="bottom"/>
          </w:tcPr>
          <w:p>
            <w:pPr>
              <w:spacing w:after="0"/>
              <w:rPr>
                <w:sz w:val="22"/>
                <w:szCs w:val="22"/>
                <w:color w:val="auto"/>
              </w:rPr>
            </w:pPr>
          </w:p>
        </w:tc>
      </w:tr>
      <w:tr>
        <w:trPr>
          <w:trHeight w:val="25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400</w:t>
            </w:r>
          </w:p>
        </w:tc>
        <w:tc>
          <w:tcPr>
            <w:tcW w:w="1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21"/>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5"/>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HERSHEY</w:t>
            </w:r>
          </w:p>
        </w:tc>
        <w:tc>
          <w:tcPr>
            <w:tcW w:w="136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17033</w:t>
            </w:r>
          </w:p>
        </w:tc>
      </w:tr>
      <w:tr>
        <w:trPr>
          <w:trHeight w:val="459"/>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4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HERSHEY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 w:type="dxa"/>
            <w:vAlign w:val="bottom"/>
            <w:gridSpan w:val="2"/>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05/26/2026</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Person</w:t>
      </w:r>
    </w:p>
    <w:p>
      <w:pPr>
        <w:spacing w:after="0" w:line="699" w:lineRule="exact"/>
        <w:rPr>
          <w:rFonts w:ascii="Times New Roman" w:cs="Times New Roman" w:eastAsia="Times New Roman" w:hAnsi="Times New Roman"/>
          <w:sz w:val="20"/>
          <w:szCs w:val="20"/>
          <w:u w:val="single" w:color="auto"/>
          <w:color w:val="0000EE"/>
        </w:rPr>
      </w:pPr>
    </w:p>
    <w:p>
      <w:pPr>
        <w:sectPr>
          <w:pgSz w:w="11900" w:h="16838" w:orient="portrait"/>
          <w:cols w:equalWidth="0" w:num="2">
            <w:col w:w="3280" w:space="56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rFonts w:ascii="Times New Roman" w:cs="Times New Roman" w:eastAsia="Times New Roman" w:hAnsi="Times New Roman"/>
          <w:sz w:val="20"/>
          <w:szCs w:val="20"/>
          <w:u w:val="single" w:color="auto"/>
          <w:color w:val="0000EE"/>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gridSpan w:val="2"/>
          </w:tcPr>
          <w:p>
            <w:pPr>
              <w:ind w:left="4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20" w:type="dxa"/>
            <w:vAlign w:val="bottom"/>
          </w:tcPr>
          <w:p>
            <w:pPr>
              <w:spacing w:after="0"/>
              <w:rPr>
                <w:sz w:val="12"/>
                <w:szCs w:val="12"/>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400"/>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 3, 4 and 5)</w:t>
            </w: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40" w:type="dxa"/>
            <w:vAlign w:val="bottom"/>
            <w:gridSpan w:val="2"/>
          </w:tcPr>
          <w:p>
            <w:pPr>
              <w:ind w:left="4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jc w:val="center"/>
              <w:ind w:left="223"/>
              <w:spacing w:after="0"/>
              <w:rPr>
                <w:sz w:val="20"/>
                <w:szCs w:val="20"/>
                <w:color w:val="auto"/>
              </w:rPr>
            </w:pPr>
            <w:r>
              <w:rPr>
                <w:rFonts w:ascii="Arial" w:cs="Arial" w:eastAsia="Arial" w:hAnsi="Arial"/>
                <w:sz w:val="11"/>
                <w:szCs w:val="11"/>
                <w:b w:val="1"/>
                <w:bCs w:val="1"/>
                <w:color w:val="auto"/>
              </w:rPr>
              <w:t>(D) or Indirect</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Owned Following   (I) (Instr. 4)</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jc w:val="center"/>
              <w:ind w:right="10"/>
              <w:spacing w:after="0"/>
              <w:rPr>
                <w:sz w:val="20"/>
                <w:szCs w:val="20"/>
                <w:color w:val="auto"/>
              </w:rPr>
            </w:pPr>
            <w:r>
              <w:rPr>
                <w:rFonts w:ascii="Arial" w:cs="Arial" w:eastAsia="Arial" w:hAnsi="Arial"/>
                <w:sz w:val="11"/>
                <w:szCs w:val="11"/>
                <w:b w:val="1"/>
                <w:bCs w:val="1"/>
                <w:color w:val="auto"/>
              </w:rPr>
              <w:t>(A) or</w:t>
            </w:r>
          </w:p>
        </w:tc>
        <w:tc>
          <w:tcPr>
            <w:tcW w:w="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9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05/26/2026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1,774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190.7327</w:t>
            </w:r>
            <w:r>
              <w:rPr>
                <w:rFonts w:ascii="Times New Roman" w:cs="Times New Roman" w:eastAsia="Times New Roman" w:hAnsi="Times New Roman"/>
                <w:sz w:val="21"/>
                <w:szCs w:val="21"/>
                <w:color w:val="008000"/>
                <w:w w:val="96"/>
                <w:vertAlign w:val="superscript"/>
              </w:rPr>
              <w:t>(1)</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1,574,345</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05/26/2026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4,542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191.1788</w:t>
            </w:r>
            <w:r>
              <w:rPr>
                <w:rFonts w:ascii="Times New Roman" w:cs="Times New Roman" w:eastAsia="Times New Roman" w:hAnsi="Times New Roman"/>
                <w:sz w:val="21"/>
                <w:szCs w:val="21"/>
                <w:color w:val="008000"/>
                <w:w w:val="96"/>
                <w:vertAlign w:val="superscript"/>
              </w:rPr>
              <w:t>(2)</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1,569,803</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05/26/2026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2,484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192.4841</w:t>
            </w:r>
            <w:r>
              <w:rPr>
                <w:rFonts w:ascii="Times New Roman" w:cs="Times New Roman" w:eastAsia="Times New Roman" w:hAnsi="Times New Roman"/>
                <w:sz w:val="21"/>
                <w:szCs w:val="21"/>
                <w:color w:val="008000"/>
                <w:w w:val="96"/>
                <w:vertAlign w:val="superscript"/>
              </w:rPr>
              <w:t>(3)</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1,567,319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05/26/2026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700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193.0586</w:t>
            </w:r>
            <w:r>
              <w:rPr>
                <w:rFonts w:ascii="Times New Roman" w:cs="Times New Roman" w:eastAsia="Times New Roman" w:hAnsi="Times New Roman"/>
                <w:sz w:val="21"/>
                <w:szCs w:val="21"/>
                <w:color w:val="008000"/>
                <w:w w:val="96"/>
                <w:vertAlign w:val="superscript"/>
              </w:rPr>
              <w:t>(4)</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1,566,619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05/26/2026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194.6138</w:t>
            </w:r>
            <w:r>
              <w:rPr>
                <w:rFonts w:ascii="Times New Roman" w:cs="Times New Roman" w:eastAsia="Times New Roman" w:hAnsi="Times New Roman"/>
                <w:sz w:val="21"/>
                <w:szCs w:val="21"/>
                <w:color w:val="008000"/>
                <w:w w:val="96"/>
                <w:vertAlign w:val="superscript"/>
              </w:rPr>
              <w:t>(5)</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1,566,219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05/26/2026</w:t>
            </w: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100</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196</w:t>
            </w:r>
          </w:p>
        </w:tc>
        <w:tc>
          <w:tcPr>
            <w:tcW w:w="1480" w:type="dxa"/>
            <w:vAlign w:val="bottom"/>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1,566,119</w:t>
            </w:r>
          </w:p>
        </w:tc>
        <w:tc>
          <w:tcPr>
            <w:tcW w:w="580" w:type="dxa"/>
            <w:vAlign w:val="bottom"/>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05/27/2026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194.7874</w:t>
            </w:r>
            <w:r>
              <w:rPr>
                <w:rFonts w:ascii="Times New Roman" w:cs="Times New Roman" w:eastAsia="Times New Roman" w:hAnsi="Times New Roman"/>
                <w:sz w:val="21"/>
                <w:szCs w:val="21"/>
                <w:color w:val="008000"/>
                <w:w w:val="96"/>
                <w:vertAlign w:val="superscript"/>
              </w:rPr>
              <w:t>(6)</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1,565,973</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05/27/2026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334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195.403</w:t>
            </w:r>
            <w:r>
              <w:rPr>
                <w:rFonts w:ascii="Times New Roman" w:cs="Times New Roman" w:eastAsia="Times New Roman" w:hAnsi="Times New Roman"/>
                <w:sz w:val="21"/>
                <w:szCs w:val="21"/>
                <w:color w:val="008000"/>
                <w:w w:val="95"/>
                <w:vertAlign w:val="superscript"/>
              </w:rPr>
              <w:t>(7)</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1,565,639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05/27/2026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262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196.5861</w:t>
            </w:r>
            <w:r>
              <w:rPr>
                <w:rFonts w:ascii="Times New Roman" w:cs="Times New Roman" w:eastAsia="Times New Roman" w:hAnsi="Times New Roman"/>
                <w:sz w:val="21"/>
                <w:szCs w:val="21"/>
                <w:color w:val="008000"/>
                <w:w w:val="96"/>
                <w:vertAlign w:val="superscript"/>
              </w:rPr>
              <w:t>(8)</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1,565,377</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05/27/2026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2,558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197.7599</w:t>
            </w:r>
            <w:r>
              <w:rPr>
                <w:rFonts w:ascii="Times New Roman" w:cs="Times New Roman" w:eastAsia="Times New Roman" w:hAnsi="Times New Roman"/>
                <w:sz w:val="21"/>
                <w:szCs w:val="21"/>
                <w:color w:val="008000"/>
                <w:w w:val="96"/>
                <w:vertAlign w:val="superscript"/>
              </w:rPr>
              <w:t>(9)</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1,562,819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05/27/2026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3,700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198.7541</w:t>
            </w:r>
            <w:r>
              <w:rPr>
                <w:rFonts w:ascii="Times New Roman" w:cs="Times New Roman" w:eastAsia="Times New Roman" w:hAnsi="Times New Roman"/>
                <w:sz w:val="21"/>
                <w:szCs w:val="21"/>
                <w:color w:val="008000"/>
                <w:w w:val="95"/>
                <w:vertAlign w:val="superscript"/>
              </w:rPr>
              <w:t>(10)</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1,559,119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05/27/2026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199.2489</w:t>
            </w:r>
            <w:r>
              <w:rPr>
                <w:rFonts w:ascii="Times New Roman" w:cs="Times New Roman" w:eastAsia="Times New Roman" w:hAnsi="Times New Roman"/>
                <w:sz w:val="21"/>
                <w:szCs w:val="21"/>
                <w:color w:val="008000"/>
                <w:w w:val="95"/>
                <w:vertAlign w:val="superscript"/>
              </w:rPr>
              <w:t>(11)</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1,556,119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Hershey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80" w:type="dxa"/>
            <w:vAlign w:val="bottom"/>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39,630</w:t>
            </w:r>
          </w:p>
        </w:tc>
        <w:tc>
          <w:tcPr>
            <w:tcW w:w="580" w:type="dxa"/>
            <w:vAlign w:val="bottom"/>
          </w:tcPr>
          <w:p>
            <w:pPr>
              <w:jc w:val="center"/>
              <w:ind w:right="327"/>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6"/>
                <w:szCs w:val="16"/>
                <w:color w:val="0000FF"/>
              </w:rPr>
              <w:t>Company</w:t>
            </w:r>
            <w:r>
              <w:rPr>
                <w:rFonts w:ascii="Times New Roman" w:cs="Times New Roman" w:eastAsia="Times New Roman" w:hAnsi="Times New Roman"/>
                <w:sz w:val="21"/>
                <w:szCs w:val="21"/>
                <w:color w:val="008000"/>
                <w:vertAlign w:val="superscript"/>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jc w:val="right"/>
              <w:ind w:right="163"/>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jc w:val="right"/>
              <w:ind w:right="143"/>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jc w:val="center"/>
              <w:ind w:right="30"/>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vMerge w:val="restart"/>
          </w:tcPr>
          <w:p>
            <w:pPr>
              <w:ind w:left="160"/>
              <w:spacing w:after="0" w:line="127" w:lineRule="exact"/>
              <w:rPr>
                <w:sz w:val="20"/>
                <w:szCs w:val="20"/>
                <w:color w:val="auto"/>
              </w:rPr>
            </w:pPr>
            <w:r>
              <w:rPr>
                <w:rFonts w:ascii="Times New Roman" w:cs="Times New Roman" w:eastAsia="Times New Roman" w:hAnsi="Times New Roman"/>
                <w:sz w:val="13"/>
                <w:szCs w:val="13"/>
                <w:color w:val="0000FF"/>
                <w:w w:val="97"/>
              </w:rPr>
              <w:t>Stock,</w:t>
            </w: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Stock,</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restart"/>
          </w:tcPr>
          <w:p>
            <w:pPr>
              <w:ind w:left="120"/>
              <w:spacing w:after="0" w:line="102" w:lineRule="exact"/>
              <w:rPr>
                <w:sz w:val="20"/>
                <w:szCs w:val="20"/>
                <w:color w:val="auto"/>
              </w:rPr>
            </w:pPr>
            <w:r>
              <w:rPr>
                <w:rFonts w:ascii="Times New Roman" w:cs="Times New Roman" w:eastAsia="Times New Roman" w:hAnsi="Times New Roman"/>
                <w:sz w:val="11"/>
                <w:szCs w:val="11"/>
                <w:color w:val="0000FF"/>
              </w:rPr>
              <w:t>54,612,012</w:t>
            </w:r>
          </w:p>
        </w:tc>
        <w:tc>
          <w:tcPr>
            <w:tcW w:w="580" w:type="dxa"/>
            <w:vAlign w:val="bottom"/>
            <w:vMerge w:val="restart"/>
          </w:tcPr>
          <w:p>
            <w:pPr>
              <w:ind w:left="460"/>
              <w:spacing w:after="0" w:line="102" w:lineRule="exact"/>
              <w:rPr>
                <w:sz w:val="20"/>
                <w:szCs w:val="20"/>
                <w:color w:val="auto"/>
              </w:rPr>
            </w:pPr>
            <w:r>
              <w:rPr>
                <w:rFonts w:ascii="Times New Roman" w:cs="Times New Roman" w:eastAsia="Times New Roman" w:hAnsi="Times New Roman"/>
                <w:sz w:val="11"/>
                <w:szCs w:val="11"/>
                <w:color w:val="0000FF"/>
              </w:rPr>
              <w:t>D</w:t>
            </w: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restart"/>
          </w:tcPr>
          <w:p>
            <w:pPr>
              <w:ind w:left="300"/>
              <w:spacing w:after="0" w:line="103" w:lineRule="exact"/>
              <w:rPr>
                <w:sz w:val="20"/>
                <w:szCs w:val="20"/>
                <w:color w:val="auto"/>
              </w:rPr>
            </w:pPr>
            <w:r>
              <w:rPr>
                <w:rFonts w:ascii="Times New Roman" w:cs="Times New Roman" w:eastAsia="Times New Roman" w:hAnsi="Times New Roman"/>
                <w:sz w:val="11"/>
                <w:szCs w:val="11"/>
                <w:color w:val="008000"/>
              </w:rPr>
              <w:t>(14)</w:t>
            </w: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vMerge w:val="restart"/>
          </w:tcPr>
          <w:p>
            <w:pPr>
              <w:ind w:left="360"/>
              <w:spacing w:after="0" w:line="103" w:lineRule="exact"/>
              <w:rPr>
                <w:sz w:val="20"/>
                <w:szCs w:val="20"/>
                <w:color w:val="auto"/>
              </w:rPr>
            </w:pPr>
            <w:r>
              <w:rPr>
                <w:rFonts w:ascii="Times New Roman" w:cs="Times New Roman" w:eastAsia="Times New Roman" w:hAnsi="Times New Roman"/>
                <w:sz w:val="11"/>
                <w:szCs w:val="11"/>
                <w:color w:val="008000"/>
              </w:rPr>
              <w:t>(13)</w:t>
            </w:r>
          </w:p>
        </w:tc>
        <w:tc>
          <w:tcPr>
            <w:tcW w:w="740" w:type="dxa"/>
            <w:vAlign w:val="bottom"/>
            <w:vMerge w:val="restart"/>
          </w:tcPr>
          <w:p>
            <w:pPr>
              <w:ind w:left="320"/>
              <w:spacing w:after="0" w:line="103" w:lineRule="exact"/>
              <w:rPr>
                <w:sz w:val="20"/>
                <w:szCs w:val="20"/>
                <w:color w:val="auto"/>
              </w:rPr>
            </w:pPr>
            <w:r>
              <w:rPr>
                <w:rFonts w:ascii="Times New Roman" w:cs="Times New Roman" w:eastAsia="Times New Roman" w:hAnsi="Times New Roman"/>
                <w:sz w:val="11"/>
                <w:szCs w:val="11"/>
                <w:color w:val="008000"/>
              </w:rPr>
              <w:t>(13)</w:t>
            </w:r>
          </w:p>
        </w:tc>
        <w:tc>
          <w:tcPr>
            <w:tcW w:w="1480" w:type="dxa"/>
            <w:vAlign w:val="bottom"/>
            <w:gridSpan w:val="2"/>
          </w:tcPr>
          <w:p>
            <w:pPr>
              <w:ind w:left="80"/>
              <w:spacing w:after="0" w:line="51" w:lineRule="exact"/>
              <w:rPr>
                <w:sz w:val="20"/>
                <w:szCs w:val="20"/>
                <w:color w:val="auto"/>
              </w:rPr>
            </w:pPr>
            <w:r>
              <w:rPr>
                <w:rFonts w:ascii="Times New Roman" w:cs="Times New Roman" w:eastAsia="Times New Roman" w:hAnsi="Times New Roman"/>
                <w:sz w:val="5"/>
                <w:szCs w:val="5"/>
                <w:color w:val="0000FF"/>
                <w:vertAlign w:val="subscript"/>
              </w:rPr>
              <w:t>$1.00 par</w:t>
            </w:r>
            <w:r>
              <w:rPr>
                <w:rFonts w:ascii="Times New Roman" w:cs="Times New Roman" w:eastAsia="Times New Roman" w:hAnsi="Times New Roman"/>
                <w:sz w:val="3"/>
                <w:szCs w:val="3"/>
                <w:color w:val="0000FF"/>
              </w:rPr>
              <w:t xml:space="preserve">  54,612,012</w:t>
            </w: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25"/>
        </w:trPr>
        <w:tc>
          <w:tcPr>
            <w:tcW w:w="3560" w:type="dxa"/>
            <w:vAlign w:val="bottom"/>
          </w:tcPr>
          <w:p>
            <w:pPr>
              <w:spacing w:after="0" w:line="126" w:lineRule="exact"/>
              <w:rPr>
                <w:sz w:val="20"/>
                <w:szCs w:val="20"/>
                <w:color w:val="auto"/>
              </w:rPr>
            </w:pPr>
            <w:r>
              <w:rPr>
                <w:rFonts w:ascii="Times New Roman" w:cs="Times New Roman" w:eastAsia="Times New Roman" w:hAnsi="Times New Roman"/>
                <w:sz w:val="13"/>
                <w:szCs w:val="13"/>
                <w:color w:val="0000FF"/>
              </w:rPr>
              <w:t>$1.00 par</w:t>
            </w:r>
          </w:p>
        </w:tc>
        <w:tc>
          <w:tcPr>
            <w:tcW w:w="3340" w:type="dxa"/>
            <w:vAlign w:val="bottom"/>
            <w:vMerge w:val="restart"/>
          </w:tcPr>
          <w:p>
            <w:pPr>
              <w:ind w:left="3060"/>
              <w:spacing w:after="0"/>
              <w:rPr>
                <w:sz w:val="20"/>
                <w:szCs w:val="20"/>
                <w:color w:val="auto"/>
              </w:rPr>
            </w:pPr>
            <w:r>
              <w:rPr>
                <w:rFonts w:ascii="Times New Roman" w:cs="Times New Roman" w:eastAsia="Times New Roman" w:hAnsi="Times New Roman"/>
                <w:sz w:val="13"/>
                <w:szCs w:val="13"/>
                <w:color w:val="0000FF"/>
                <w:w w:val="92"/>
              </w:rPr>
              <w:t>value</w:t>
            </w:r>
          </w:p>
        </w:tc>
        <w:tc>
          <w:tcPr>
            <w:tcW w:w="0" w:type="dxa"/>
            <w:vAlign w:val="bottom"/>
          </w:tcPr>
          <w:p>
            <w:pPr>
              <w:spacing w:after="0"/>
              <w:rPr>
                <w:sz w:val="1"/>
                <w:szCs w:val="1"/>
                <w:color w:val="auto"/>
              </w:rPr>
            </w:pPr>
          </w:p>
        </w:tc>
      </w:tr>
      <w:tr>
        <w:trPr>
          <w:trHeight w:val="89"/>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value</w:t>
            </w: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560" w:type="dxa"/>
            <w:vAlign w:val="bottom"/>
            <w:vMerge w:val="continue"/>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rFonts w:ascii="Times New Roman" w:cs="Times New Roman" w:eastAsia="Times New Roman" w:hAnsi="Times New Roman"/>
          <w:sz w:val="20"/>
          <w:szCs w:val="20"/>
          <w:u w:val="single" w:color="auto"/>
          <w:color w:val="0000EE"/>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rFonts w:ascii="Times New Roman" w:cs="Times New Roman" w:eastAsia="Times New Roman" w:hAnsi="Times New Roman"/>
          <w:sz w:val="20"/>
          <w:szCs w:val="20"/>
          <w:u w:val="single" w:color="auto"/>
          <w:color w:val="0000EE"/>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$190.4100 to $190.9810,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$191.0038 to $191.9700,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$192.0200 to $192.9700,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$193.0000 to $193.1750,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$194.3750 to $194.9400,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$194.7000 to $194.9740,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$195.0682 to $195.9902,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$196.1267 to $196.9826,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$197.1070 to $197.9900,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right="80" w:hanging="1"/>
        <w:spacing w:after="0" w:line="237"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$198.0200 to $198.9983,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right="80" w:hanging="1"/>
        <w:spacing w:after="0" w:line="237" w:lineRule="auto"/>
        <w:tabs>
          <w:tab w:leader="none" w:pos="18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$199.0015 to $199.8605,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Hershey Trust Company is wholly owned by Milton Hershey School Trust and is trustee for the Milton Hershey School Trust.</w:t>
      </w:r>
    </w:p>
    <w:p>
      <w:pPr>
        <w:spacing w:after="0" w:line="40" w:lineRule="exact"/>
        <w:rPr>
          <w:rFonts w:ascii="Times New Roman" w:cs="Times New Roman" w:eastAsia="Times New Roman" w:hAnsi="Times New Roman"/>
          <w:sz w:val="13"/>
          <w:szCs w:val="13"/>
          <w:color w:val="008000"/>
        </w:rPr>
      </w:pPr>
    </w:p>
    <w:p>
      <w:pPr>
        <w:ind w:left="1" w:right="500" w:hanging="1"/>
        <w:spacing w:after="0" w:line="248"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of Class B common stock, $1.00 par value convertible share-for-share into common stock, $1.00 par value, at any time, and without payment other than for the fact of conversion. There is no expiration date.</w:t>
      </w:r>
    </w:p>
    <w:p>
      <w:pPr>
        <w:spacing w:after="0" w:line="2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price is the market price of the Common Stock on the previous business day.</w:t>
      </w:r>
    </w:p>
    <w:p>
      <w:pPr>
        <w:spacing w:after="0" w:line="60"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Joshua D. Shannon, Deputy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05/27/2026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4"/>
              </w:rPr>
              <w:t>CIO</w:t>
            </w:r>
          </w:p>
        </w:tc>
        <w:tc>
          <w:tcPr>
            <w:tcW w:w="17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560" w:hanging="1"/>
        <w:spacing w:after="0" w:line="33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938543" TargetMode="External"/><Relationship Id="rId14" Type="http://schemas.openxmlformats.org/officeDocument/2006/relationships/hyperlink" Target="http://www.sec.gov/cgi-bin/browse-edgar?action=getcompany&amp;CIK=00000471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2026-05-27T16:54:03Z</dcterms:created>
  <dcterms:modified xsi:type="dcterms:W3CDTF">2026-05-27T16:54:03Z</dcterms:modified>
</cp:coreProperties>
</file>