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435610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t>UNITED STATES</w:t>
      </w:r>
    </w:p>
    <w:p>
      <w:pPr>
        <w:jc w:val="center"/>
        <w:ind w:right="-19"/>
        <w:spacing w:after="0" w:line="209"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21" w:lineRule="exact"/>
        <w:rPr>
          <w:sz w:val="24"/>
          <w:szCs w:val="24"/>
          <w:color w:val="auto"/>
        </w:rPr>
      </w:pPr>
    </w:p>
    <w:p>
      <w:pPr>
        <w:ind w:left="1260" w:hanging="347"/>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0" w:lineRule="exact"/>
        <w:rPr>
          <w:sz w:val="24"/>
          <w:szCs w:val="24"/>
          <w:color w:val="auto"/>
        </w:rPr>
      </w:pPr>
    </w:p>
    <w:p>
      <w:pPr>
        <w:ind w:left="1260" w:hanging="347"/>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2"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transition period from ______to_______</w:t>
      </w:r>
    </w:p>
    <w:p>
      <w:pPr>
        <w:jc w:val="center"/>
        <w:ind w:right="-19"/>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-13335</wp:posOffset>
            </wp:positionV>
            <wp:extent cx="1438910" cy="473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8910" cy="4737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THE HERSHEY COMPANY</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560" w:type="dxa"/>
            <w:vAlign w:val="bottom"/>
          </w:tcPr>
          <w:p>
            <w:pPr>
              <w:jc w:val="center"/>
              <w:ind w:left="1511"/>
              <w:spacing w:after="0"/>
              <w:rPr>
                <w:sz w:val="20"/>
                <w:szCs w:val="20"/>
                <w:color w:val="auto"/>
              </w:rPr>
            </w:pPr>
            <w:r>
              <w:rPr>
                <w:rFonts w:ascii="Arial" w:cs="Arial" w:eastAsia="Arial" w:hAnsi="Arial"/>
                <w:sz w:val="18"/>
                <w:szCs w:val="18"/>
                <w:b w:val="1"/>
                <w:bCs w:val="1"/>
                <w:color w:val="auto"/>
                <w:w w:val="91"/>
              </w:rPr>
              <w:t>Delaware</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jc w:val="right"/>
              <w:ind w:right="2071"/>
              <w:spacing w:after="0"/>
              <w:rPr>
                <w:sz w:val="20"/>
                <w:szCs w:val="20"/>
                <w:color w:val="auto"/>
              </w:rPr>
            </w:pPr>
            <w:r>
              <w:rPr>
                <w:rFonts w:ascii="Arial" w:cs="Arial" w:eastAsia="Arial" w:hAnsi="Arial"/>
                <w:sz w:val="18"/>
                <w:szCs w:val="18"/>
                <w:b w:val="1"/>
                <w:bCs w:val="1"/>
                <w:color w:val="auto"/>
              </w:rPr>
              <w:t>23-0691590</w:t>
            </w:r>
          </w:p>
        </w:tc>
      </w:tr>
      <w:tr>
        <w:trPr>
          <w:trHeight w:val="227"/>
        </w:trPr>
        <w:tc>
          <w:tcPr>
            <w:tcW w:w="40" w:type="dxa"/>
            <w:vAlign w:val="bottom"/>
          </w:tcPr>
          <w:p>
            <w:pPr>
              <w:spacing w:after="0"/>
              <w:rPr>
                <w:sz w:val="19"/>
                <w:szCs w:val="19"/>
                <w:color w:val="auto"/>
              </w:rPr>
            </w:pPr>
          </w:p>
        </w:tc>
        <w:tc>
          <w:tcPr>
            <w:tcW w:w="6920" w:type="dxa"/>
            <w:vAlign w:val="bottom"/>
            <w:gridSpan w:val="5"/>
          </w:tcPr>
          <w:p>
            <w:pPr>
              <w:jc w:val="center"/>
              <w:ind w:right="1760"/>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4260" w:type="dxa"/>
            <w:vAlign w:val="bottom"/>
          </w:tcPr>
          <w:p>
            <w:pPr>
              <w:jc w:val="center"/>
              <w:ind w:right="831"/>
              <w:spacing w:after="0"/>
              <w:rPr>
                <w:sz w:val="20"/>
                <w:szCs w:val="20"/>
                <w:color w:val="auto"/>
              </w:rPr>
            </w:pPr>
            <w:r>
              <w:rPr>
                <w:rFonts w:ascii="Arial" w:cs="Arial" w:eastAsia="Arial" w:hAnsi="Arial"/>
                <w:sz w:val="18"/>
                <w:szCs w:val="18"/>
                <w:color w:val="auto"/>
                <w:w w:val="93"/>
              </w:rPr>
              <w:t>(I.R.S. Employer Identification No.)</w:t>
            </w:r>
          </w:p>
        </w:tc>
      </w:tr>
      <w:tr>
        <w:trPr>
          <w:trHeight w:val="242"/>
        </w:trPr>
        <w:tc>
          <w:tcPr>
            <w:tcW w:w="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7620" w:type="dxa"/>
            <w:vAlign w:val="bottom"/>
            <w:gridSpan w:val="5"/>
          </w:tcPr>
          <w:p>
            <w:pPr>
              <w:jc w:val="center"/>
              <w:ind w:right="3451"/>
              <w:spacing w:after="0"/>
              <w:rPr>
                <w:sz w:val="20"/>
                <w:szCs w:val="20"/>
                <w:color w:val="auto"/>
              </w:rPr>
            </w:pPr>
            <w:r>
              <w:rPr>
                <w:rFonts w:ascii="Arial" w:cs="Arial" w:eastAsia="Arial" w:hAnsi="Arial"/>
                <w:sz w:val="18"/>
                <w:szCs w:val="18"/>
                <w:b w:val="1"/>
                <w:bCs w:val="1"/>
                <w:color w:val="auto"/>
                <w:w w:val="87"/>
              </w:rPr>
              <w:t>19 East Chocolate Avenue, Hershey, PA 17033</w:t>
            </w:r>
          </w:p>
        </w:tc>
      </w:tr>
      <w:tr>
        <w:trPr>
          <w:trHeight w:val="172"/>
        </w:trPr>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620" w:type="dxa"/>
            <w:vAlign w:val="bottom"/>
            <w:gridSpan w:val="5"/>
          </w:tcPr>
          <w:p>
            <w:pPr>
              <w:jc w:val="center"/>
              <w:ind w:right="3451"/>
              <w:spacing w:after="0" w:line="172" w:lineRule="exact"/>
              <w:rPr>
                <w:sz w:val="20"/>
                <w:szCs w:val="20"/>
                <w:color w:val="auto"/>
              </w:rPr>
            </w:pPr>
            <w:r>
              <w:rPr>
                <w:rFonts w:ascii="Arial" w:cs="Arial" w:eastAsia="Arial" w:hAnsi="Arial"/>
                <w:sz w:val="18"/>
                <w:szCs w:val="18"/>
                <w:color w:val="auto"/>
                <w:w w:val="91"/>
              </w:rPr>
              <w:t>(Address of principal executive offices and Zip Code)</w:t>
            </w:r>
          </w:p>
        </w:tc>
      </w:tr>
      <w:tr>
        <w:trPr>
          <w:trHeight w:val="174"/>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240" w:type="dxa"/>
            <w:vAlign w:val="bottom"/>
            <w:gridSpan w:val="3"/>
          </w:tcPr>
          <w:p>
            <w:pPr>
              <w:jc w:val="center"/>
              <w:ind w:left="711"/>
              <w:spacing w:after="0" w:line="175" w:lineRule="exact"/>
              <w:rPr>
                <w:sz w:val="20"/>
                <w:szCs w:val="20"/>
                <w:color w:val="auto"/>
              </w:rPr>
            </w:pPr>
            <w:r>
              <w:rPr>
                <w:rFonts w:ascii="Arial" w:cs="Arial" w:eastAsia="Arial" w:hAnsi="Arial"/>
                <w:sz w:val="18"/>
                <w:szCs w:val="18"/>
                <w:b w:val="1"/>
                <w:bCs w:val="1"/>
                <w:color w:val="auto"/>
                <w:w w:val="90"/>
              </w:rPr>
              <w:t>(717) 534-4200</w:t>
            </w:r>
          </w:p>
        </w:tc>
        <w:tc>
          <w:tcPr>
            <w:tcW w:w="120" w:type="dxa"/>
            <w:vAlign w:val="bottom"/>
          </w:tcPr>
          <w:p>
            <w:pPr>
              <w:spacing w:after="0"/>
              <w:rPr>
                <w:sz w:val="15"/>
                <w:szCs w:val="15"/>
                <w:color w:val="auto"/>
              </w:rPr>
            </w:pPr>
          </w:p>
        </w:tc>
        <w:tc>
          <w:tcPr>
            <w:tcW w:w="426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620" w:type="dxa"/>
            <w:vAlign w:val="bottom"/>
            <w:gridSpan w:val="5"/>
          </w:tcPr>
          <w:p>
            <w:pPr>
              <w:jc w:val="center"/>
              <w:ind w:right="3471"/>
              <w:spacing w:after="0" w:line="172" w:lineRule="exact"/>
              <w:rPr>
                <w:sz w:val="20"/>
                <w:szCs w:val="20"/>
                <w:color w:val="auto"/>
              </w:rPr>
            </w:pPr>
            <w:r>
              <w:rPr>
                <w:rFonts w:ascii="Arial" w:cs="Arial" w:eastAsia="Arial" w:hAnsi="Arial"/>
                <w:sz w:val="18"/>
                <w:szCs w:val="18"/>
                <w:color w:val="auto"/>
                <w:w w:val="88"/>
              </w:rPr>
              <w:t>(Registrant's telephone number, including area code)</w:t>
            </w:r>
          </w:p>
        </w:tc>
      </w:tr>
      <w:tr>
        <w:trPr>
          <w:trHeight w:val="230"/>
        </w:trPr>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260" w:type="dxa"/>
            <w:vAlign w:val="bottom"/>
          </w:tcPr>
          <w:p>
            <w:pPr>
              <w:spacing w:after="0"/>
              <w:rPr>
                <w:sz w:val="20"/>
                <w:szCs w:val="20"/>
                <w:color w:val="auto"/>
              </w:rPr>
            </w:pPr>
          </w:p>
        </w:tc>
      </w:tr>
      <w:tr>
        <w:trPr>
          <w:trHeight w:val="315"/>
        </w:trPr>
        <w:tc>
          <w:tcPr>
            <w:tcW w:w="40" w:type="dxa"/>
            <w:vAlign w:val="bottom"/>
          </w:tcPr>
          <w:p>
            <w:pPr>
              <w:spacing w:after="0"/>
              <w:rPr>
                <w:sz w:val="24"/>
                <w:szCs w:val="24"/>
                <w:color w:val="auto"/>
              </w:rPr>
            </w:pPr>
          </w:p>
        </w:tc>
        <w:tc>
          <w:tcPr>
            <w:tcW w:w="3560" w:type="dxa"/>
            <w:vAlign w:val="bottom"/>
            <w:tcBorders>
              <w:bottom w:val="single" w:sz="8" w:color="auto"/>
            </w:tcBorders>
          </w:tcPr>
          <w:p>
            <w:pPr>
              <w:jc w:val="center"/>
              <w:ind w:left="571"/>
              <w:spacing w:after="0"/>
              <w:rPr>
                <w:sz w:val="20"/>
                <w:szCs w:val="20"/>
                <w:color w:val="auto"/>
              </w:rPr>
            </w:pPr>
            <w:r>
              <w:rPr>
                <w:rFonts w:ascii="Arial" w:cs="Arial" w:eastAsia="Arial" w:hAnsi="Arial"/>
                <w:sz w:val="18"/>
                <w:szCs w:val="18"/>
                <w:b w:val="1"/>
                <w:bCs w:val="1"/>
                <w:color w:val="auto"/>
                <w:w w:val="86"/>
              </w:rPr>
              <w:t>Title of each class</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20" w:type="dxa"/>
            <w:vAlign w:val="bottom"/>
          </w:tcPr>
          <w:p>
            <w:pPr>
              <w:spacing w:after="0"/>
              <w:rPr>
                <w:sz w:val="24"/>
                <w:szCs w:val="24"/>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19"/>
        </w:trPr>
        <w:tc>
          <w:tcPr>
            <w:tcW w:w="40" w:type="dxa"/>
            <w:vAlign w:val="bottom"/>
          </w:tcPr>
          <w:p>
            <w:pPr>
              <w:spacing w:after="0"/>
              <w:rPr>
                <w:sz w:val="19"/>
                <w:szCs w:val="19"/>
                <w:color w:val="auto"/>
              </w:rPr>
            </w:pPr>
          </w:p>
        </w:tc>
        <w:tc>
          <w:tcPr>
            <w:tcW w:w="3560" w:type="dxa"/>
            <w:vAlign w:val="bottom"/>
          </w:tcPr>
          <w:p>
            <w:pPr>
              <w:jc w:val="center"/>
              <w:ind w:left="571"/>
              <w:spacing w:after="0"/>
              <w:rPr>
                <w:sz w:val="20"/>
                <w:szCs w:val="20"/>
                <w:color w:val="auto"/>
              </w:rPr>
            </w:pPr>
            <w:r>
              <w:rPr>
                <w:rFonts w:ascii="Arial" w:cs="Arial" w:eastAsia="Arial" w:hAnsi="Arial"/>
                <w:sz w:val="18"/>
                <w:szCs w:val="18"/>
                <w:color w:val="auto"/>
                <w:w w:val="89"/>
              </w:rPr>
              <w:t>Common Stock, one dollar par value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HSY</w:t>
            </w: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New York Stock Exchange</w:t>
            </w:r>
          </w:p>
        </w:tc>
      </w:tr>
    </w:tbl>
    <w:p>
      <w:pPr>
        <w:spacing w:after="0" w:line="2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Class B Common Stock, one dollar par value</w:t>
      </w:r>
    </w:p>
    <w:p>
      <w:pPr>
        <w:spacing w:after="0" w:line="178" w:lineRule="exact"/>
        <w:rPr>
          <w:sz w:val="24"/>
          <w:szCs w:val="24"/>
          <w:color w:val="auto"/>
        </w:rPr>
      </w:pPr>
    </w:p>
    <w:p>
      <w:pPr>
        <w:ind w:right="1760"/>
        <w:spacing w:after="0" w:line="19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17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260"/>
        <w:spacing w:after="0" w:line="17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60"/>
        <w:spacing w:after="0" w:line="21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p>
      <w:pPr>
        <w:ind w:left="160"/>
        <w:spacing w:after="0" w:line="207" w:lineRule="exact"/>
        <w:tabs>
          <w:tab w:leader="none" w:pos="1940" w:val="left"/>
          <w:tab w:leader="none" w:pos="2340" w:val="left"/>
          <w:tab w:leader="none" w:pos="3740" w:val="left"/>
          <w:tab w:leader="none" w:pos="6220" w:val="left"/>
          <w:tab w:leader="none" w:pos="8380" w:val="left"/>
          <w:tab w:leader="none" w:pos="8800" w:val="left"/>
          <w:tab w:leader="none" w:pos="110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21" w:lineRule="exact"/>
        <w:rPr>
          <w:sz w:val="24"/>
          <w:szCs w:val="24"/>
          <w:color w:val="auto"/>
        </w:rPr>
      </w:pPr>
    </w:p>
    <w:p>
      <w:pPr>
        <w:ind w:right="120"/>
        <w:spacing w:after="0" w:line="18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60"/>
        <w:spacing w:after="0" w:line="171"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9" w:lineRule="exact"/>
        <w:rPr>
          <w:sz w:val="24"/>
          <w:szCs w:val="24"/>
          <w:color w:val="auto"/>
        </w:rPr>
      </w:pPr>
    </w:p>
    <w:p>
      <w:pPr>
        <w:ind w:right="280"/>
        <w:spacing w:after="0" w:line="239" w:lineRule="auto"/>
        <w:rPr>
          <w:sz w:val="20"/>
          <w:szCs w:val="20"/>
          <w:color w:val="auto"/>
        </w:rPr>
      </w:pPr>
      <w:r>
        <w:rPr>
          <w:rFonts w:ascii="Arial" w:cs="Arial" w:eastAsia="Arial" w:hAnsi="Arial"/>
          <w:sz w:val="16"/>
          <w:szCs w:val="16"/>
          <w:color w:val="auto"/>
        </w:rPr>
        <w:t>As of June 26, 2020 (the last business day of the registrant’s most recently completed second fiscal quarter), the aggregate market value of the voting and non-voting common equity held by non-affiliates was $18,511,997,783. Class B Common Stock is not listed for public trading on any exchange or market system. However, Class B shares are convertible into shares of Common Stock at any time on a share-for-share basis. Determination of aggregate market value assumes all outstanding shares of Class B Common Stock were converted to Common Stock as of June 26, 2020. The market value indicated is calculated based on the closing price of the Common Stock on the New York Stock Exchange on June 26, 2020 ($125.85 per share).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40"/>
        <w:spacing w:after="0" w:line="200" w:lineRule="auto"/>
        <w:rPr>
          <w:sz w:val="20"/>
          <w:szCs w:val="20"/>
          <w:color w:val="auto"/>
        </w:rPr>
      </w:pPr>
      <w:r>
        <w:rPr>
          <w:rFonts w:ascii="Arial" w:cs="Arial" w:eastAsia="Arial" w:hAnsi="Arial"/>
          <w:sz w:val="18"/>
          <w:szCs w:val="18"/>
          <w:color w:val="auto"/>
        </w:rPr>
        <w:t>Common Stock, one dollar par value—146,551,766 shares, as of February 12, 2021.</w:t>
      </w:r>
    </w:p>
    <w:p>
      <w:pPr>
        <w:spacing w:after="0" w:line="1" w:lineRule="exact"/>
        <w:rPr>
          <w:sz w:val="24"/>
          <w:szCs w:val="24"/>
          <w:color w:val="auto"/>
        </w:rPr>
      </w:pPr>
    </w:p>
    <w:p>
      <w:pPr>
        <w:ind w:left="640"/>
        <w:spacing w:after="0"/>
        <w:rPr>
          <w:sz w:val="20"/>
          <w:szCs w:val="20"/>
          <w:color w:val="auto"/>
        </w:rPr>
      </w:pPr>
      <w:r>
        <w:rPr>
          <w:rFonts w:ascii="Arial" w:cs="Arial" w:eastAsia="Arial" w:hAnsi="Arial"/>
          <w:sz w:val="18"/>
          <w:szCs w:val="18"/>
          <w:color w:val="auto"/>
        </w:rPr>
        <w:t>Class B Common Stock, one dollar par value—60,613,777 shares, as of February 12, 2021.</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ind w:right="40"/>
        <w:spacing w:after="0" w:line="222" w:lineRule="auto"/>
        <w:rPr>
          <w:sz w:val="20"/>
          <w:szCs w:val="20"/>
          <w:color w:val="auto"/>
        </w:rPr>
      </w:pPr>
      <w:r>
        <w:rPr>
          <w:rFonts w:ascii="Arial" w:cs="Arial" w:eastAsia="Arial" w:hAnsi="Arial"/>
          <w:sz w:val="18"/>
          <w:szCs w:val="18"/>
          <w:color w:val="auto"/>
        </w:rPr>
        <w:t>Portions of the Company's Proxy Statement for the 2021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238125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52070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 w:name="page2"/>
    <w:bookmarkEnd w:id="1"/>
    <w:p>
      <w:pPr>
        <w:ind w:left="4500"/>
        <w:spacing w:after="0"/>
        <w:rPr>
          <w:sz w:val="20"/>
          <w:szCs w:val="20"/>
          <w:color w:val="auto"/>
        </w:rPr>
      </w:pPr>
      <w:r>
        <w:rPr>
          <w:rFonts w:ascii="Arial" w:cs="Arial" w:eastAsia="Arial" w:hAnsi="Arial"/>
          <w:sz w:val="18"/>
          <w:szCs w:val="18"/>
          <w:b w:val="1"/>
          <w:bCs w:val="1"/>
          <w:color w:val="auto"/>
        </w:rPr>
        <w:t>THE HERSHEY COMPANY</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Annual Report on Form 10-K</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20" w:type="dxa"/>
            <w:vAlign w:val="bottom"/>
            <w:gridSpan w:val="2"/>
          </w:tcPr>
          <w:p>
            <w:pPr>
              <w:ind w:left="24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1"/>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34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5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84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8560" w:type="dxa"/>
            <w:vAlign w:val="bottom"/>
            <w:gridSpan w:val="3"/>
          </w:tcPr>
          <w:p>
            <w:pPr>
              <w:ind w:left="3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80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2</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ind w:left="14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Item 1A.</w:t>
              </w:r>
            </w:hyperlink>
          </w:p>
        </w:tc>
        <w:tc>
          <w:tcPr>
            <w:tcW w:w="8560" w:type="dxa"/>
            <w:vAlign w:val="bottom"/>
            <w:gridSpan w:val="3"/>
            <w:shd w:val="clear" w:color="auto" w:fill="CCEEFF"/>
          </w:tcPr>
          <w:p>
            <w:pPr>
              <w:ind w:left="34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Risk Factors</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8</w:t>
              </w:r>
            </w:hyperlink>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840" w:type="dxa"/>
            <w:vAlign w:val="bottom"/>
          </w:tcPr>
          <w:p>
            <w:pPr>
              <w:ind w:left="14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Item 1B.</w:t>
              </w:r>
            </w:hyperlink>
          </w:p>
        </w:tc>
        <w:tc>
          <w:tcPr>
            <w:tcW w:w="8560" w:type="dxa"/>
            <w:vAlign w:val="bottom"/>
            <w:gridSpan w:val="3"/>
          </w:tcPr>
          <w:p>
            <w:pPr>
              <w:ind w:left="34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Unresolved Staff Comments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14</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ind w:left="14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Item 2.</w:t>
              </w:r>
            </w:hyperlink>
          </w:p>
        </w:tc>
        <w:tc>
          <w:tcPr>
            <w:tcW w:w="8560" w:type="dxa"/>
            <w:vAlign w:val="bottom"/>
            <w:gridSpan w:val="3"/>
            <w:shd w:val="clear" w:color="auto" w:fill="CCEEFF"/>
          </w:tcPr>
          <w:p>
            <w:pPr>
              <w:ind w:left="34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Properties</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15</w:t>
              </w:r>
            </w:hyperlink>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840" w:type="dxa"/>
            <w:vAlign w:val="bottom"/>
          </w:tcPr>
          <w:p>
            <w:pPr>
              <w:ind w:left="1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3.</w:t>
              </w:r>
            </w:hyperlink>
          </w:p>
        </w:tc>
        <w:tc>
          <w:tcPr>
            <w:tcW w:w="8560" w:type="dxa"/>
            <w:vAlign w:val="bottom"/>
            <w:gridSpan w:val="3"/>
          </w:tcPr>
          <w:p>
            <w:pPr>
              <w:ind w:left="3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Legal Proceedings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17">
              <w:r>
                <w:rPr>
                  <w:rFonts w:ascii="Arial" w:cs="Arial" w:eastAsia="Arial" w:hAnsi="Arial"/>
                  <w:sz w:val="18"/>
                  <w:szCs w:val="18"/>
                  <w:u w:val="single" w:color="auto"/>
                  <w:color w:val="0000FF"/>
                  <w:w w:val="89"/>
                </w:rPr>
                <w:t>15</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ind w:left="1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4.</w:t>
              </w:r>
            </w:hyperlink>
          </w:p>
        </w:tc>
        <w:tc>
          <w:tcPr>
            <w:tcW w:w="8560" w:type="dxa"/>
            <w:vAlign w:val="bottom"/>
            <w:gridSpan w:val="3"/>
            <w:shd w:val="clear" w:color="auto" w:fill="CCEEFF"/>
          </w:tcPr>
          <w:p>
            <w:pPr>
              <w:ind w:left="3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Mine Safety Disclosures</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17">
              <w:r>
                <w:rPr>
                  <w:rFonts w:ascii="Arial" w:cs="Arial" w:eastAsia="Arial" w:hAnsi="Arial"/>
                  <w:sz w:val="18"/>
                  <w:szCs w:val="18"/>
                  <w:u w:val="single" w:color="auto"/>
                  <w:color w:val="0000FF"/>
                  <w:w w:val="89"/>
                </w:rPr>
                <w:t>15</w:t>
              </w:r>
            </w:hyperlink>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840" w:type="dxa"/>
            <w:vAlign w:val="bottom"/>
          </w:tcPr>
          <w:p>
            <w:pPr>
              <w:ind w:left="1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Supplemental Item</w:t>
              </w:r>
            </w:hyperlink>
          </w:p>
        </w:tc>
        <w:tc>
          <w:tcPr>
            <w:tcW w:w="8560" w:type="dxa"/>
            <w:vAlign w:val="bottom"/>
            <w:gridSpan w:val="3"/>
          </w:tcPr>
          <w:p>
            <w:pPr>
              <w:ind w:left="3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Information About Our Executive Officers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17">
              <w:r>
                <w:rPr>
                  <w:rFonts w:ascii="Arial" w:cs="Arial" w:eastAsia="Arial" w:hAnsi="Arial"/>
                  <w:sz w:val="18"/>
                  <w:szCs w:val="18"/>
                  <w:u w:val="single" w:color="auto"/>
                  <w:color w:val="0000FF"/>
                  <w:w w:val="89"/>
                </w:rPr>
                <w:t>16</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34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5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840" w:type="dxa"/>
            <w:vAlign w:val="bottom"/>
          </w:tcPr>
          <w:p>
            <w:pPr>
              <w:ind w:left="14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Item 5.</w:t>
              </w:r>
            </w:hyperlink>
          </w:p>
        </w:tc>
        <w:tc>
          <w:tcPr>
            <w:tcW w:w="8560" w:type="dxa"/>
            <w:vAlign w:val="bottom"/>
            <w:gridSpan w:val="3"/>
          </w:tcPr>
          <w:p>
            <w:pPr>
              <w:ind w:left="340"/>
              <w:spacing w:after="0"/>
              <w:rPr>
                <w:rFonts w:ascii="Arial" w:cs="Arial" w:eastAsia="Arial" w:hAnsi="Arial"/>
                <w:sz w:val="18"/>
                <w:szCs w:val="18"/>
                <w:u w:val="single" w:color="auto"/>
                <w:color w:val="0000FF"/>
                <w:w w:val="92"/>
              </w:rPr>
            </w:pPr>
            <w:hyperlink w:anchor="page18">
              <w:r>
                <w:rPr>
                  <w:rFonts w:ascii="Arial" w:cs="Arial" w:eastAsia="Arial" w:hAnsi="Arial"/>
                  <w:sz w:val="18"/>
                  <w:szCs w:val="18"/>
                  <w:u w:val="single" w:color="auto"/>
                  <w:color w:val="0000FF"/>
                  <w:w w:val="92"/>
                </w:rPr>
                <w:t>Market for Registrant's Common Equity, Related Stockholder Matters and Issuer Purchases of Equity Securities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18">
              <w:r>
                <w:rPr>
                  <w:rFonts w:ascii="Arial" w:cs="Arial" w:eastAsia="Arial" w:hAnsi="Arial"/>
                  <w:sz w:val="18"/>
                  <w:szCs w:val="18"/>
                  <w:u w:val="single" w:color="auto"/>
                  <w:color w:val="0000FF"/>
                  <w:w w:val="89"/>
                </w:rPr>
                <w:t>17</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ind w:left="1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Item 6.</w:t>
              </w:r>
            </w:hyperlink>
          </w:p>
        </w:tc>
        <w:tc>
          <w:tcPr>
            <w:tcW w:w="8560" w:type="dxa"/>
            <w:vAlign w:val="bottom"/>
            <w:gridSpan w:val="3"/>
            <w:shd w:val="clear" w:color="auto" w:fill="CCEEFF"/>
          </w:tcPr>
          <w:p>
            <w:pPr>
              <w:ind w:left="3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Selected Financial Data</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19</w:t>
              </w:r>
            </w:hyperlink>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840" w:type="dxa"/>
            <w:vAlign w:val="bottom"/>
          </w:tcPr>
          <w:p>
            <w:pPr>
              <w:ind w:left="14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7.</w:t>
              </w:r>
            </w:hyperlink>
          </w:p>
        </w:tc>
        <w:tc>
          <w:tcPr>
            <w:tcW w:w="8560" w:type="dxa"/>
            <w:vAlign w:val="bottom"/>
            <w:gridSpan w:val="3"/>
          </w:tcPr>
          <w:p>
            <w:pPr>
              <w:ind w:left="34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20</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ind w:left="14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7A.</w:t>
              </w:r>
            </w:hyperlink>
          </w:p>
        </w:tc>
        <w:tc>
          <w:tcPr>
            <w:tcW w:w="8560" w:type="dxa"/>
            <w:vAlign w:val="bottom"/>
            <w:gridSpan w:val="3"/>
            <w:shd w:val="clear" w:color="auto" w:fill="CCEEFF"/>
          </w:tcPr>
          <w:p>
            <w:pPr>
              <w:ind w:left="34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Quantitative and Qualitative Disclosures About Market Risk</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41</w:t>
              </w:r>
            </w:hyperlink>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840" w:type="dxa"/>
            <w:vAlign w:val="bottom"/>
          </w:tcPr>
          <w:p>
            <w:pPr>
              <w:ind w:left="14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8.</w:t>
              </w:r>
            </w:hyperlink>
          </w:p>
        </w:tc>
        <w:tc>
          <w:tcPr>
            <w:tcW w:w="8560" w:type="dxa"/>
            <w:vAlign w:val="bottom"/>
            <w:gridSpan w:val="3"/>
          </w:tcPr>
          <w:p>
            <w:pPr>
              <w:ind w:left="34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Financial Statements and Supplementary Data</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45</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ind w:left="140"/>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Item 9.</w:t>
              </w:r>
            </w:hyperlink>
          </w:p>
        </w:tc>
        <w:tc>
          <w:tcPr>
            <w:tcW w:w="8560" w:type="dxa"/>
            <w:vAlign w:val="bottom"/>
            <w:gridSpan w:val="3"/>
            <w:shd w:val="clear" w:color="auto" w:fill="CCEEFF"/>
          </w:tcPr>
          <w:p>
            <w:pPr>
              <w:ind w:left="340"/>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Changes in and Disagreements with Accountants on Accounting and Financial Disclosure</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100">
              <w:r>
                <w:rPr>
                  <w:rFonts w:ascii="Arial" w:cs="Arial" w:eastAsia="Arial" w:hAnsi="Arial"/>
                  <w:sz w:val="18"/>
                  <w:szCs w:val="18"/>
                  <w:u w:val="single" w:color="auto"/>
                  <w:color w:val="0000FF"/>
                  <w:w w:val="89"/>
                </w:rPr>
                <w:t>99</w:t>
              </w:r>
            </w:hyperlink>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840" w:type="dxa"/>
            <w:vAlign w:val="bottom"/>
          </w:tcPr>
          <w:p>
            <w:pPr>
              <w:ind w:left="14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Item 9A.</w:t>
              </w:r>
            </w:hyperlink>
          </w:p>
        </w:tc>
        <w:tc>
          <w:tcPr>
            <w:tcW w:w="8560" w:type="dxa"/>
            <w:vAlign w:val="bottom"/>
            <w:gridSpan w:val="3"/>
          </w:tcPr>
          <w:p>
            <w:pPr>
              <w:ind w:left="34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Controls and Procedures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101">
              <w:r>
                <w:rPr>
                  <w:rFonts w:ascii="Arial" w:cs="Arial" w:eastAsia="Arial" w:hAnsi="Arial"/>
                  <w:sz w:val="18"/>
                  <w:szCs w:val="18"/>
                  <w:u w:val="single" w:color="auto"/>
                  <w:color w:val="0000FF"/>
                  <w:w w:val="89"/>
                </w:rPr>
                <w:t>99</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ind w:left="14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Item 9B.</w:t>
              </w:r>
            </w:hyperlink>
          </w:p>
        </w:tc>
        <w:tc>
          <w:tcPr>
            <w:tcW w:w="8560" w:type="dxa"/>
            <w:vAlign w:val="bottom"/>
            <w:gridSpan w:val="3"/>
            <w:shd w:val="clear" w:color="auto" w:fill="CCEEFF"/>
          </w:tcPr>
          <w:p>
            <w:pPr>
              <w:ind w:left="34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Other Information</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6"/>
              </w:rPr>
            </w:pPr>
            <w:hyperlink w:anchor="page102">
              <w:r>
                <w:rPr>
                  <w:rFonts w:ascii="Arial" w:cs="Arial" w:eastAsia="Arial" w:hAnsi="Arial"/>
                  <w:sz w:val="18"/>
                  <w:szCs w:val="18"/>
                  <w:u w:val="single" w:color="auto"/>
                  <w:color w:val="0000FF"/>
                  <w:w w:val="86"/>
                </w:rPr>
                <w:t>100</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3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ind w:left="14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Item 10.</w:t>
              </w:r>
            </w:hyperlink>
          </w:p>
        </w:tc>
        <w:tc>
          <w:tcPr>
            <w:tcW w:w="8560" w:type="dxa"/>
            <w:vAlign w:val="bottom"/>
            <w:gridSpan w:val="3"/>
            <w:shd w:val="clear" w:color="auto" w:fill="CCEEFF"/>
          </w:tcPr>
          <w:p>
            <w:pPr>
              <w:ind w:left="34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Directors, Executive Officers and Corporate Governance</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6"/>
              </w:rPr>
            </w:pPr>
            <w:hyperlink w:anchor="page102">
              <w:r>
                <w:rPr>
                  <w:rFonts w:ascii="Arial" w:cs="Arial" w:eastAsia="Arial" w:hAnsi="Arial"/>
                  <w:sz w:val="18"/>
                  <w:szCs w:val="18"/>
                  <w:u w:val="single" w:color="auto"/>
                  <w:color w:val="0000FF"/>
                  <w:w w:val="86"/>
                </w:rPr>
                <w:t>101</w:t>
              </w:r>
            </w:hyperlink>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840" w:type="dxa"/>
            <w:vAlign w:val="bottom"/>
          </w:tcPr>
          <w:p>
            <w:pPr>
              <w:ind w:left="14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Item 11.</w:t>
              </w:r>
            </w:hyperlink>
          </w:p>
        </w:tc>
        <w:tc>
          <w:tcPr>
            <w:tcW w:w="8560" w:type="dxa"/>
            <w:vAlign w:val="bottom"/>
            <w:gridSpan w:val="3"/>
          </w:tcPr>
          <w:p>
            <w:pPr>
              <w:ind w:left="34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Executive Compensation</w:t>
              </w:r>
            </w:hyperlink>
          </w:p>
        </w:tc>
        <w:tc>
          <w:tcPr>
            <w:tcW w:w="800" w:type="dxa"/>
            <w:vAlign w:val="bottom"/>
          </w:tcPr>
          <w:p>
            <w:pPr>
              <w:jc w:val="center"/>
              <w:spacing w:after="0"/>
              <w:rPr>
                <w:rFonts w:ascii="Arial" w:cs="Arial" w:eastAsia="Arial" w:hAnsi="Arial"/>
                <w:sz w:val="18"/>
                <w:szCs w:val="18"/>
                <w:u w:val="single" w:color="auto"/>
                <w:color w:val="0000FF"/>
                <w:w w:val="86"/>
              </w:rPr>
            </w:pPr>
            <w:hyperlink w:anchor="page103">
              <w:r>
                <w:rPr>
                  <w:rFonts w:ascii="Arial" w:cs="Arial" w:eastAsia="Arial" w:hAnsi="Arial"/>
                  <w:sz w:val="18"/>
                  <w:szCs w:val="18"/>
                  <w:u w:val="single" w:color="auto"/>
                  <w:color w:val="0000FF"/>
                  <w:w w:val="86"/>
                </w:rPr>
                <w:t>101</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ind w:left="14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Item 12.</w:t>
              </w:r>
            </w:hyperlink>
          </w:p>
        </w:tc>
        <w:tc>
          <w:tcPr>
            <w:tcW w:w="8560" w:type="dxa"/>
            <w:vAlign w:val="bottom"/>
            <w:gridSpan w:val="3"/>
            <w:shd w:val="clear" w:color="auto" w:fill="CCEEFF"/>
          </w:tcPr>
          <w:p>
            <w:pPr>
              <w:ind w:left="34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Security Ownership of Certain Beneficial Owners and Management and Related Stockholder Matters</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6"/>
              </w:rPr>
            </w:pPr>
            <w:hyperlink w:anchor="page103">
              <w:r>
                <w:rPr>
                  <w:rFonts w:ascii="Arial" w:cs="Arial" w:eastAsia="Arial" w:hAnsi="Arial"/>
                  <w:sz w:val="18"/>
                  <w:szCs w:val="18"/>
                  <w:u w:val="single" w:color="auto"/>
                  <w:color w:val="0000FF"/>
                  <w:w w:val="86"/>
                </w:rPr>
                <w:t>101</w:t>
              </w:r>
            </w:hyperlink>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840" w:type="dxa"/>
            <w:vAlign w:val="bottom"/>
          </w:tcPr>
          <w:p>
            <w:pPr>
              <w:ind w:left="14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Item 13.</w:t>
              </w:r>
            </w:hyperlink>
          </w:p>
        </w:tc>
        <w:tc>
          <w:tcPr>
            <w:tcW w:w="8560" w:type="dxa"/>
            <w:vAlign w:val="bottom"/>
            <w:gridSpan w:val="3"/>
          </w:tcPr>
          <w:p>
            <w:pPr>
              <w:ind w:left="34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Certain Relationships and Related Transactions, and Director Independence</w:t>
              </w:r>
            </w:hyperlink>
          </w:p>
        </w:tc>
        <w:tc>
          <w:tcPr>
            <w:tcW w:w="800" w:type="dxa"/>
            <w:vAlign w:val="bottom"/>
          </w:tcPr>
          <w:p>
            <w:pPr>
              <w:jc w:val="center"/>
              <w:spacing w:after="0"/>
              <w:rPr>
                <w:rFonts w:ascii="Arial" w:cs="Arial" w:eastAsia="Arial" w:hAnsi="Arial"/>
                <w:sz w:val="18"/>
                <w:szCs w:val="18"/>
                <w:u w:val="single" w:color="auto"/>
                <w:color w:val="0000FF"/>
                <w:w w:val="86"/>
              </w:rPr>
            </w:pPr>
            <w:hyperlink w:anchor="page103">
              <w:r>
                <w:rPr>
                  <w:rFonts w:ascii="Arial" w:cs="Arial" w:eastAsia="Arial" w:hAnsi="Arial"/>
                  <w:sz w:val="18"/>
                  <w:szCs w:val="18"/>
                  <w:u w:val="single" w:color="auto"/>
                  <w:color w:val="0000FF"/>
                  <w:w w:val="86"/>
                </w:rPr>
                <w:t>102</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ind w:left="140"/>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Item 14.</w:t>
              </w:r>
            </w:hyperlink>
          </w:p>
        </w:tc>
        <w:tc>
          <w:tcPr>
            <w:tcW w:w="8560" w:type="dxa"/>
            <w:vAlign w:val="bottom"/>
            <w:gridSpan w:val="3"/>
            <w:shd w:val="clear" w:color="auto" w:fill="CCEEFF"/>
          </w:tcPr>
          <w:p>
            <w:pPr>
              <w:ind w:left="340"/>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Principal Accountant Fees and Services</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6"/>
              </w:rPr>
            </w:pPr>
            <w:hyperlink w:anchor="page104">
              <w:r>
                <w:rPr>
                  <w:rFonts w:ascii="Arial" w:cs="Arial" w:eastAsia="Arial" w:hAnsi="Arial"/>
                  <w:sz w:val="18"/>
                  <w:szCs w:val="18"/>
                  <w:u w:val="single" w:color="auto"/>
                  <w:color w:val="0000FF"/>
                  <w:w w:val="86"/>
                </w:rPr>
                <w:t>102</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3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1840" w:type="dxa"/>
            <w:vAlign w:val="bottom"/>
            <w:shd w:val="clear" w:color="auto" w:fill="CCEEFF"/>
          </w:tcPr>
          <w:p>
            <w:pPr>
              <w:ind w:left="140"/>
              <w:spacing w:after="0" w:line="187" w:lineRule="exact"/>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Item 15.</w:t>
              </w:r>
            </w:hyperlink>
          </w:p>
        </w:tc>
        <w:tc>
          <w:tcPr>
            <w:tcW w:w="8560" w:type="dxa"/>
            <w:vAlign w:val="bottom"/>
            <w:gridSpan w:val="3"/>
            <w:shd w:val="clear" w:color="auto" w:fill="CCEEFF"/>
          </w:tcPr>
          <w:p>
            <w:pPr>
              <w:ind w:left="340"/>
              <w:spacing w:after="0" w:line="187" w:lineRule="exact"/>
              <w:rPr>
                <w:rFonts w:ascii="Arial" w:cs="Arial" w:eastAsia="Arial" w:hAnsi="Arial"/>
                <w:sz w:val="18"/>
                <w:szCs w:val="18"/>
                <w:color w:val="0000FF"/>
              </w:rPr>
            </w:pPr>
            <w:hyperlink w:anchor="page104">
              <w:r>
                <w:rPr>
                  <w:rFonts w:ascii="Arial" w:cs="Arial" w:eastAsia="Arial" w:hAnsi="Arial"/>
                  <w:sz w:val="18"/>
                  <w:szCs w:val="18"/>
                  <w:color w:val="0000FF"/>
                </w:rPr>
                <w:t>Exhibits and Financial Statement Schedules</w:t>
              </w:r>
            </w:hyperlink>
          </w:p>
        </w:tc>
        <w:tc>
          <w:tcPr>
            <w:tcW w:w="800" w:type="dxa"/>
            <w:vAlign w:val="bottom"/>
            <w:shd w:val="clear" w:color="auto" w:fill="CCEEFF"/>
          </w:tcPr>
          <w:p>
            <w:pPr>
              <w:jc w:val="center"/>
              <w:spacing w:after="0" w:line="187" w:lineRule="exact"/>
              <w:rPr>
                <w:rFonts w:ascii="Arial" w:cs="Arial" w:eastAsia="Arial" w:hAnsi="Arial"/>
                <w:sz w:val="18"/>
                <w:szCs w:val="18"/>
                <w:u w:val="single" w:color="auto"/>
                <w:color w:val="0000FF"/>
                <w:w w:val="86"/>
              </w:rPr>
            </w:pPr>
            <w:hyperlink w:anchor="page104">
              <w:r>
                <w:rPr>
                  <w:rFonts w:ascii="Arial" w:cs="Arial" w:eastAsia="Arial" w:hAnsi="Arial"/>
                  <w:sz w:val="18"/>
                  <w:szCs w:val="18"/>
                  <w:u w:val="single" w:color="auto"/>
                  <w:color w:val="0000FF"/>
                  <w:w w:val="86"/>
                </w:rPr>
                <w:t>103</w:t>
              </w:r>
            </w:hyperlink>
          </w:p>
        </w:tc>
        <w:tc>
          <w:tcPr>
            <w:tcW w:w="20" w:type="dxa"/>
            <w:vAlign w:val="bottom"/>
          </w:tcPr>
          <w:p>
            <w:pPr>
              <w:spacing w:after="0"/>
              <w:rPr>
                <w:sz w:val="16"/>
                <w:szCs w:val="16"/>
                <w:color w:val="auto"/>
              </w:rPr>
            </w:pPr>
          </w:p>
        </w:tc>
      </w:tr>
      <w:tr>
        <w:trPr>
          <w:trHeight w:val="40"/>
        </w:trPr>
        <w:tc>
          <w:tcPr>
            <w:tcW w:w="20" w:type="dxa"/>
            <w:vAlign w:val="bottom"/>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120" w:type="dxa"/>
            <w:vAlign w:val="bottom"/>
            <w:shd w:val="clear" w:color="auto" w:fill="0000FF"/>
          </w:tcPr>
          <w:p>
            <w:pPr>
              <w:spacing w:after="0"/>
              <w:rPr>
                <w:sz w:val="3"/>
                <w:szCs w:val="3"/>
                <w:color w:val="auto"/>
              </w:rPr>
            </w:pPr>
          </w:p>
        </w:tc>
        <w:tc>
          <w:tcPr>
            <w:tcW w:w="5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26"/>
        </w:trPr>
        <w:tc>
          <w:tcPr>
            <w:tcW w:w="20" w:type="dxa"/>
            <w:vAlign w:val="bottom"/>
          </w:tcPr>
          <w:p>
            <w:pPr>
              <w:spacing w:after="0"/>
              <w:rPr>
                <w:sz w:val="19"/>
                <w:szCs w:val="19"/>
                <w:color w:val="auto"/>
              </w:rPr>
            </w:pPr>
          </w:p>
        </w:tc>
        <w:tc>
          <w:tcPr>
            <w:tcW w:w="1840" w:type="dxa"/>
            <w:vAlign w:val="bottom"/>
          </w:tcPr>
          <w:p>
            <w:pPr>
              <w:ind w:left="14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Item 16.</w:t>
              </w:r>
            </w:hyperlink>
          </w:p>
        </w:tc>
        <w:tc>
          <w:tcPr>
            <w:tcW w:w="8560" w:type="dxa"/>
            <w:vAlign w:val="bottom"/>
            <w:gridSpan w:val="3"/>
          </w:tcPr>
          <w:p>
            <w:pPr>
              <w:ind w:left="34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Form 10-K Summary</w:t>
              </w:r>
            </w:hyperlink>
          </w:p>
        </w:tc>
        <w:tc>
          <w:tcPr>
            <w:tcW w:w="800" w:type="dxa"/>
            <w:vAlign w:val="bottom"/>
          </w:tcPr>
          <w:p>
            <w:pPr>
              <w:jc w:val="center"/>
              <w:spacing w:after="0"/>
              <w:rPr>
                <w:rFonts w:ascii="Arial" w:cs="Arial" w:eastAsia="Arial" w:hAnsi="Arial"/>
                <w:sz w:val="18"/>
                <w:szCs w:val="18"/>
                <w:u w:val="single" w:color="auto"/>
                <w:color w:val="0000FF"/>
                <w:w w:val="86"/>
              </w:rPr>
            </w:pPr>
            <w:hyperlink w:anchor="page108">
              <w:r>
                <w:rPr>
                  <w:rFonts w:ascii="Arial" w:cs="Arial" w:eastAsia="Arial" w:hAnsi="Arial"/>
                  <w:sz w:val="18"/>
                  <w:szCs w:val="18"/>
                  <w:u w:val="single" w:color="auto"/>
                  <w:color w:val="0000FF"/>
                  <w:w w:val="86"/>
                </w:rPr>
                <w:t>106</w:t>
              </w:r>
            </w:hyperlink>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560" w:type="dxa"/>
            <w:vAlign w:val="bottom"/>
            <w:gridSpan w:val="3"/>
            <w:shd w:val="clear" w:color="auto" w:fill="CCEEFF"/>
          </w:tcPr>
          <w:p>
            <w:pPr>
              <w:ind w:left="34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Signatures</w:t>
              </w:r>
            </w:hyperlink>
          </w:p>
        </w:tc>
        <w:tc>
          <w:tcPr>
            <w:tcW w:w="800" w:type="dxa"/>
            <w:vAlign w:val="bottom"/>
            <w:shd w:val="clear" w:color="auto" w:fill="CCEEFF"/>
          </w:tcPr>
          <w:p>
            <w:pPr>
              <w:jc w:val="center"/>
              <w:spacing w:after="0"/>
              <w:rPr>
                <w:rFonts w:ascii="Arial" w:cs="Arial" w:eastAsia="Arial" w:hAnsi="Arial"/>
                <w:sz w:val="18"/>
                <w:szCs w:val="18"/>
                <w:u w:val="single" w:color="auto"/>
                <w:color w:val="0000FF"/>
                <w:w w:val="86"/>
              </w:rPr>
            </w:pPr>
            <w:hyperlink w:anchor="page108">
              <w:r>
                <w:rPr>
                  <w:rFonts w:ascii="Arial" w:cs="Arial" w:eastAsia="Arial" w:hAnsi="Arial"/>
                  <w:sz w:val="18"/>
                  <w:szCs w:val="18"/>
                  <w:u w:val="single" w:color="auto"/>
                  <w:color w:val="0000FF"/>
                  <w:w w:val="86"/>
                </w:rPr>
                <w:t>107</w:t>
              </w:r>
            </w:hyperlink>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560" w:type="dxa"/>
            <w:vAlign w:val="bottom"/>
            <w:gridSpan w:val="3"/>
          </w:tcPr>
          <w:p>
            <w:pPr>
              <w:ind w:left="34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Schedule II—Valuation and Qualifying Accounts</w:t>
              </w:r>
            </w:hyperlink>
          </w:p>
        </w:tc>
        <w:tc>
          <w:tcPr>
            <w:tcW w:w="800" w:type="dxa"/>
            <w:vAlign w:val="bottom"/>
          </w:tcPr>
          <w:p>
            <w:pPr>
              <w:jc w:val="center"/>
              <w:spacing w:after="0"/>
              <w:rPr>
                <w:rFonts w:ascii="Arial" w:cs="Arial" w:eastAsia="Arial" w:hAnsi="Arial"/>
                <w:sz w:val="18"/>
                <w:szCs w:val="18"/>
                <w:u w:val="single" w:color="auto"/>
                <w:color w:val="0000FF"/>
                <w:w w:val="86"/>
              </w:rPr>
            </w:pPr>
            <w:hyperlink w:anchor="page109">
              <w:r>
                <w:rPr>
                  <w:rFonts w:ascii="Arial" w:cs="Arial" w:eastAsia="Arial" w:hAnsi="Arial"/>
                  <w:sz w:val="18"/>
                  <w:szCs w:val="18"/>
                  <w:u w:val="single" w:color="auto"/>
                  <w:color w:val="0000FF"/>
                  <w:w w:val="86"/>
                </w:rPr>
                <w:t>108</w:t>
              </w:r>
            </w:hyperlink>
          </w:p>
        </w:tc>
        <w:tc>
          <w:tcPr>
            <w:tcW w:w="20" w:type="dxa"/>
            <w:vAlign w:val="bottom"/>
          </w:tcPr>
          <w:p>
            <w:pPr>
              <w:spacing w:after="0"/>
              <w:rPr>
                <w:sz w:val="19"/>
                <w:szCs w:val="19"/>
                <w:color w:val="auto"/>
              </w:rPr>
            </w:pPr>
          </w:p>
        </w:tc>
      </w:tr>
      <w:tr>
        <w:trPr>
          <w:trHeight w:val="1554"/>
        </w:trPr>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contains “forward-looking statements” within the meaning of the Private Securities Litigation Reform Act of 1995.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 Forward-looking statements are predictions only and actual results could differ materially from management’s expectations due to a variety of factors, including those described below in Item 1A. “Risk Factors” and in Item 7. “Management’s Discussion and Analysis of Financial Condition and Results of Operations.” All forward-looking statements attributable to us or persons working on our behalf are expressly qualified in their entirety by such risk factors. Given these risks and uncertainties, you should not rely on forward-looking statements as a prediction of actual results. The forward-looking statements that we make in this Annual Report on Form 10-K are based on management’s current views and assumptions regarding future events and speak only as of their dates. We assume no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659130</wp:posOffset>
            </wp:positionV>
            <wp:extent cx="194945" cy="169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166"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10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Hershey Company was incorporated under the laws of the State of Delaware on October 24, 1927 as a successor to a business founded in 1894 by Milton S. Hershey. In this report, the terms “Hershey,” “Company,” “we,” “us” or “our” mean The Hershey Company and its wholly-owned subsidiaries and entities in which it has a controlling financial interest, unless the context indicates otherwise.</w:t>
      </w:r>
    </w:p>
    <w:p>
      <w:pPr>
        <w:spacing w:after="0" w:line="135" w:lineRule="exact"/>
        <w:rPr>
          <w:sz w:val="20"/>
          <w:szCs w:val="20"/>
          <w:color w:val="auto"/>
        </w:rPr>
      </w:pPr>
    </w:p>
    <w:p>
      <w:pPr>
        <w:jc w:val="both"/>
        <w:ind w:right="60"/>
        <w:spacing w:after="0" w:line="304" w:lineRule="auto"/>
        <w:rPr>
          <w:sz w:val="20"/>
          <w:szCs w:val="20"/>
          <w:color w:val="auto"/>
        </w:rPr>
      </w:pPr>
      <w:r>
        <w:rPr>
          <w:rFonts w:ascii="Arial" w:cs="Arial" w:eastAsia="Arial" w:hAnsi="Arial"/>
          <w:sz w:val="16"/>
          <w:szCs w:val="16"/>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and a global leader in chocolate and non-chocolate confectionery. We market, sell and distribute our products under more than 90 brand names in approximately 85 countries worldwide.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06"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Our organizational structure is designed to ensure continued focus on North America, coupled with an emphasis on profitable growth in our focus international markets. Our business is primarily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91%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15" w:lineRule="exact"/>
        <w:rPr>
          <w:sz w:val="20"/>
          <w:szCs w:val="20"/>
          <w:color w:val="auto"/>
        </w:rPr>
      </w:pPr>
    </w:p>
    <w:p>
      <w:pPr>
        <w:ind w:left="640" w:right="180" w:hanging="314"/>
        <w:spacing w:after="0" w:line="257" w:lineRule="auto"/>
        <w:tabs>
          <w:tab w:leader="none" w:pos="63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color w:val="auto"/>
        </w:rPr>
        <w:t>- 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34" w:lineRule="exact"/>
        <w:rPr>
          <w:rFonts w:ascii="Arial" w:cs="Arial" w:eastAsia="Arial" w:hAnsi="Arial"/>
          <w:sz w:val="18"/>
          <w:szCs w:val="18"/>
          <w:b w:val="1"/>
          <w:bCs w:val="1"/>
          <w:i w:val="1"/>
          <w:iCs w:val="1"/>
          <w:color w:val="auto"/>
        </w:rPr>
      </w:pPr>
    </w:p>
    <w:p>
      <w:pPr>
        <w:ind w:left="640" w:right="20" w:hanging="314"/>
        <w:spacing w:after="0" w:line="288" w:lineRule="auto"/>
        <w:tabs>
          <w:tab w:leader="none" w:pos="635"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color w:val="auto"/>
        </w:rPr>
        <w:t>- International and Other is a combination of all other operating segments that are not individually material,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15" w:lineRule="exact"/>
        <w:rPr>
          <w:sz w:val="20"/>
          <w:szCs w:val="20"/>
          <w:color w:val="auto"/>
        </w:rPr>
      </w:pPr>
    </w:p>
    <w:p>
      <w:pPr>
        <w:ind w:right="960"/>
        <w:spacing w:after="0" w:line="267" w:lineRule="auto"/>
        <w:rPr>
          <w:rFonts w:ascii="Arial" w:cs="Arial" w:eastAsia="Arial" w:hAnsi="Arial"/>
          <w:sz w:val="18"/>
          <w:szCs w:val="18"/>
          <w:color w:val="auto"/>
        </w:rPr>
      </w:pPr>
      <w:r>
        <w:rPr>
          <w:rFonts w:ascii="Arial" w:cs="Arial" w:eastAsia="Arial" w:hAnsi="Arial"/>
          <w:sz w:val="18"/>
          <w:szCs w:val="18"/>
          <w:color w:val="auto"/>
        </w:rPr>
        <w:t xml:space="preserve">Financial and other information regarding our reportable segments is provided in our Management’s Discussion and Analysis and </w:t>
      </w:r>
      <w:hyperlink w:anchor="page91">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 and Divestitures</w:t>
      </w:r>
    </w:p>
    <w:p>
      <w:pPr>
        <w:spacing w:after="0" w:line="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October 2020, we entered into a definitive agreement to divest Lotte Shanghai Foods Co., Ltd. ("LSFC"). The sale of LSFC was completed in January 2021 and was previously included within the International and Other segment results in our consolidated financial statements. Additionally, during the second quarter of 2020, we completed the divestitures of KRAVE Pure Foods, Inc. ("Krave") and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all of which were previously included within the North America segment results in our consolidated financial statements.</w:t>
      </w:r>
    </w:p>
    <w:p>
      <w:pPr>
        <w:spacing w:after="0" w:line="123"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 xml:space="preserve">In September 2019, we completed the acquisition of ONE Brands, LLC ("ONE Brands"), previously a privately held company that sells a line of low-sugar, high-protein nutrition bars to retailers and distributors in the United States, with the </w:t>
      </w:r>
      <w:r>
        <w:rPr>
          <w:rFonts w:ascii="Arial" w:cs="Arial" w:eastAsia="Arial" w:hAnsi="Arial"/>
          <w:sz w:val="18"/>
          <w:szCs w:val="18"/>
          <w:i w:val="1"/>
          <w:iCs w:val="1"/>
          <w:color w:val="auto"/>
        </w:rPr>
        <w:t>ONE Bar</w:t>
      </w:r>
      <w:r>
        <w:rPr>
          <w:rFonts w:ascii="Arial" w:cs="Arial" w:eastAsia="Arial" w:hAnsi="Arial"/>
          <w:sz w:val="18"/>
          <w:szCs w:val="18"/>
          <w:color w:val="auto"/>
        </w:rPr>
        <w:t xml:space="preserve"> as its primary product.</w:t>
      </w:r>
    </w:p>
    <w:p>
      <w:pPr>
        <w:spacing w:after="0" w:line="126"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color w:val="auto"/>
        </w:rPr>
        <w:t xml:space="preserve">In October 2018, we completed the acquisition of Pirate Brands, which includes the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Smart Puffs</w:t>
      </w:r>
      <w:r>
        <w:rPr>
          <w:rFonts w:ascii="Arial" w:cs="Arial" w:eastAsia="Arial" w:hAnsi="Arial"/>
          <w:sz w:val="16"/>
          <w:szCs w:val="16"/>
          <w:color w:val="auto"/>
        </w:rPr>
        <w:t xml:space="preserve"> and </w:t>
      </w:r>
      <w:r>
        <w:rPr>
          <w:rFonts w:ascii="Arial" w:cs="Arial" w:eastAsia="Arial" w:hAnsi="Arial"/>
          <w:sz w:val="16"/>
          <w:szCs w:val="16"/>
          <w:i w:val="1"/>
          <w:iCs w:val="1"/>
          <w:color w:val="auto"/>
        </w:rPr>
        <w:t>Original Tings</w:t>
      </w:r>
      <w:r>
        <w:rPr>
          <w:rFonts w:ascii="Arial" w:cs="Arial" w:eastAsia="Arial" w:hAnsi="Arial"/>
          <w:sz w:val="16"/>
          <w:szCs w:val="16"/>
          <w:color w:val="auto"/>
        </w:rPr>
        <w:t xml:space="preserve"> brands, from B&amp;G Foods, Inc. Pirate Brands offers baked, trans fat free and gluten free snacks and is available in a wide range of food distribution channels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389255</wp:posOffset>
            </wp:positionV>
            <wp:extent cx="194945" cy="169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4" w:name="page5"/>
    <w:bookmarkEnd w:id="4"/>
    <w:p>
      <w:pPr>
        <w:jc w:val="both"/>
        <w:ind w:right="120"/>
        <w:spacing w:after="0" w:line="257" w:lineRule="auto"/>
        <w:rPr>
          <w:sz w:val="20"/>
          <w:szCs w:val="20"/>
          <w:color w:val="auto"/>
        </w:rPr>
      </w:pPr>
      <w:r>
        <w:rPr>
          <w:rFonts w:ascii="Arial" w:cs="Arial" w:eastAsia="Arial" w:hAnsi="Arial"/>
          <w:sz w:val="18"/>
          <w:szCs w:val="18"/>
          <w:color w:val="auto"/>
        </w:rPr>
        <w:t xml:space="preserve">In January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w:t>
      </w:r>
      <w:r>
        <w:rPr>
          <w:rFonts w:ascii="Arial" w:cs="Arial" w:eastAsia="Arial" w:hAnsi="Arial"/>
          <w:sz w:val="18"/>
          <w:szCs w:val="18"/>
          <w:i w:val="1"/>
          <w:iCs w:val="1"/>
          <w:color w:val="auto"/>
        </w:rPr>
        <w:t>Oatmega</w:t>
      </w:r>
      <w:r>
        <w:rPr>
          <w:rFonts w:ascii="Arial" w:cs="Arial" w:eastAsia="Arial" w:hAnsi="Arial"/>
          <w:sz w:val="18"/>
          <w:szCs w:val="18"/>
          <w:color w:val="auto"/>
        </w:rPr>
        <w:t xml:space="preserve"> and </w:t>
      </w:r>
      <w:r>
        <w:rPr>
          <w:rFonts w:ascii="Arial" w:cs="Arial" w:eastAsia="Arial" w:hAnsi="Arial"/>
          <w:sz w:val="18"/>
          <w:szCs w:val="18"/>
          <w:i w:val="1"/>
          <w:iCs w:val="1"/>
          <w:color w:val="auto"/>
        </w:rPr>
        <w:t>Paqui</w:t>
      </w:r>
      <w:r>
        <w:rPr>
          <w:rFonts w:ascii="Arial" w:cs="Arial" w:eastAsia="Arial" w:hAnsi="Arial"/>
          <w:sz w:val="18"/>
          <w:szCs w:val="18"/>
          <w:color w:val="auto"/>
        </w:rPr>
        <w:t>. The acquisition enables us to capture more consumer snacking occasions by creating a broader portfolio of brands.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Brands</w:t>
      </w:r>
    </w:p>
    <w:p>
      <w:pPr>
        <w:spacing w:after="0" w:line="92" w:lineRule="exact"/>
        <w:rPr>
          <w:sz w:val="20"/>
          <w:szCs w:val="20"/>
          <w:color w:val="auto"/>
        </w:rPr>
      </w:pPr>
    </w:p>
    <w:p>
      <w:pPr>
        <w:ind w:right="560"/>
        <w:spacing w:after="0" w:line="257" w:lineRule="auto"/>
        <w:rPr>
          <w:sz w:val="20"/>
          <w:szCs w:val="20"/>
          <w:color w:val="auto"/>
        </w:rPr>
      </w:pPr>
      <w:r>
        <w:rPr>
          <w:rFonts w:ascii="Arial" w:cs="Arial" w:eastAsia="Arial" w:hAnsi="Arial"/>
          <w:sz w:val="18"/>
          <w:szCs w:val="18"/>
          <w:color w:val="auto"/>
        </w:rPr>
        <w:t>Our principal product offerings include chocolate and non-chocolate confectionery products; gum and mint refreshment products; snack items such as popcorn, protein bars and cookies, spreads, bars and snack bites/mixes, and meat snacks; and pantry items, such as baking ingredients, toppings and beverages.</w:t>
      </w:r>
    </w:p>
    <w:p>
      <w:pPr>
        <w:spacing w:after="0" w:line="135" w:lineRule="exact"/>
        <w:rPr>
          <w:sz w:val="20"/>
          <w:szCs w:val="20"/>
          <w:color w:val="auto"/>
        </w:rPr>
      </w:pPr>
    </w:p>
    <w:p>
      <w:pPr>
        <w:ind w:left="640" w:right="60" w:hanging="314"/>
        <w:spacing w:after="0" w:line="286" w:lineRule="auto"/>
        <w:tabs>
          <w:tab w:leader="none" w:pos="6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Within our North America markets, our product portfolio includes a wide variety of chocolate offerings marketed and sold under the renowned brands of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w:t>
      </w:r>
      <w:r>
        <w:rPr>
          <w:rFonts w:ascii="Arial" w:cs="Arial" w:eastAsia="Arial" w:hAnsi="Arial"/>
          <w:sz w:val="16"/>
          <w:szCs w:val="16"/>
          <w:i w:val="1"/>
          <w:iCs w:val="1"/>
          <w:color w:val="auto"/>
        </w:rPr>
        <w:t>Reese’s</w:t>
      </w:r>
      <w:r>
        <w:rPr>
          <w:rFonts w:ascii="Arial" w:cs="Arial" w:eastAsia="Arial" w:hAnsi="Arial"/>
          <w:sz w:val="16"/>
          <w:szCs w:val="16"/>
          <w:color w:val="auto"/>
        </w:rPr>
        <w:t xml:space="preserve"> and </w:t>
      </w:r>
      <w:r>
        <w:rPr>
          <w:rFonts w:ascii="Arial" w:cs="Arial" w:eastAsia="Arial" w:hAnsi="Arial"/>
          <w:sz w:val="16"/>
          <w:szCs w:val="16"/>
          <w:i w:val="1"/>
          <w:iCs w:val="1"/>
          <w:color w:val="auto"/>
        </w:rPr>
        <w:t>Kisses</w:t>
      </w:r>
      <w:r>
        <w:rPr>
          <w:rFonts w:ascii="Arial" w:cs="Arial" w:eastAsia="Arial" w:hAnsi="Arial"/>
          <w:sz w:val="16"/>
          <w:szCs w:val="16"/>
          <w:color w:val="auto"/>
        </w:rPr>
        <w:t xml:space="preserve">, along with other popular chocolate and non-chocolate confectionery brands such as </w:t>
      </w:r>
      <w:r>
        <w:rPr>
          <w:rFonts w:ascii="Arial" w:cs="Arial" w:eastAsia="Arial" w:hAnsi="Arial"/>
          <w:sz w:val="16"/>
          <w:szCs w:val="16"/>
          <w:i w:val="1"/>
          <w:iCs w:val="1"/>
          <w:color w:val="auto"/>
        </w:rPr>
        <w:t>Jolly Rancher</w:t>
      </w:r>
      <w:r>
        <w:rPr>
          <w:rFonts w:ascii="Arial" w:cs="Arial" w:eastAsia="Arial" w:hAnsi="Arial"/>
          <w:sz w:val="16"/>
          <w:szCs w:val="16"/>
          <w:color w:val="auto"/>
        </w:rPr>
        <w:t xml:space="preserve">, </w:t>
      </w:r>
      <w:r>
        <w:rPr>
          <w:rFonts w:ascii="Arial" w:cs="Arial" w:eastAsia="Arial" w:hAnsi="Arial"/>
          <w:sz w:val="16"/>
          <w:szCs w:val="16"/>
          <w:i w:val="1"/>
          <w:iCs w:val="1"/>
          <w:color w:val="auto"/>
        </w:rPr>
        <w:t>Almond</w:t>
      </w:r>
      <w:r>
        <w:rPr>
          <w:rFonts w:ascii="Arial" w:cs="Arial" w:eastAsia="Arial" w:hAnsi="Arial"/>
          <w:sz w:val="16"/>
          <w:szCs w:val="16"/>
          <w:color w:val="auto"/>
        </w:rPr>
        <w:t xml:space="preserve"> </w:t>
      </w:r>
      <w:r>
        <w:rPr>
          <w:rFonts w:ascii="Arial" w:cs="Arial" w:eastAsia="Arial" w:hAnsi="Arial"/>
          <w:sz w:val="16"/>
          <w:szCs w:val="16"/>
          <w:i w:val="1"/>
          <w:iCs w:val="1"/>
          <w:color w:val="auto"/>
        </w:rPr>
        <w:t>Joy</w:t>
      </w:r>
      <w:r>
        <w:rPr>
          <w:rFonts w:ascii="Arial" w:cs="Arial" w:eastAsia="Arial" w:hAnsi="Arial"/>
          <w:sz w:val="16"/>
          <w:szCs w:val="16"/>
          <w:color w:val="auto"/>
        </w:rPr>
        <w:t>,</w:t>
      </w:r>
      <w:r>
        <w:rPr>
          <w:rFonts w:ascii="Arial" w:cs="Arial" w:eastAsia="Arial" w:hAnsi="Arial"/>
          <w:sz w:val="16"/>
          <w:szCs w:val="16"/>
          <w:i w:val="1"/>
          <w:iCs w:val="1"/>
          <w:color w:val="auto"/>
        </w:rPr>
        <w:t xml:space="preserve"> Brookside, barkTHINS</w:t>
      </w:r>
      <w:r>
        <w:rPr>
          <w:rFonts w:ascii="Arial" w:cs="Arial" w:eastAsia="Arial" w:hAnsi="Arial"/>
          <w:sz w:val="16"/>
          <w:szCs w:val="16"/>
          <w:color w:val="auto"/>
        </w:rPr>
        <w:t>,</w:t>
      </w:r>
      <w:r>
        <w:rPr>
          <w:rFonts w:ascii="Arial" w:cs="Arial" w:eastAsia="Arial" w:hAnsi="Arial"/>
          <w:sz w:val="16"/>
          <w:szCs w:val="16"/>
          <w:i w:val="1"/>
          <w:iCs w:val="1"/>
          <w:color w:val="auto"/>
        </w:rPr>
        <w:t xml:space="preserve"> Cadbury, Good &amp; Plenty</w:t>
      </w:r>
      <w:r>
        <w:rPr>
          <w:rFonts w:ascii="Arial" w:cs="Arial" w:eastAsia="Arial" w:hAnsi="Arial"/>
          <w:sz w:val="16"/>
          <w:szCs w:val="16"/>
          <w:color w:val="auto"/>
        </w:rPr>
        <w:t>,</w:t>
      </w:r>
      <w:r>
        <w:rPr>
          <w:rFonts w:ascii="Arial" w:cs="Arial" w:eastAsia="Arial" w:hAnsi="Arial"/>
          <w:sz w:val="16"/>
          <w:szCs w:val="16"/>
          <w:i w:val="1"/>
          <w:iCs w:val="1"/>
          <w:color w:val="auto"/>
        </w:rPr>
        <w:t xml:space="preserve"> Heath</w:t>
      </w:r>
      <w:r>
        <w:rPr>
          <w:rFonts w:ascii="Arial" w:cs="Arial" w:eastAsia="Arial" w:hAnsi="Arial"/>
          <w:sz w:val="16"/>
          <w:szCs w:val="16"/>
          <w:color w:val="auto"/>
        </w:rPr>
        <w:t>,</w:t>
      </w:r>
      <w:r>
        <w:rPr>
          <w:rFonts w:ascii="Arial" w:cs="Arial" w:eastAsia="Arial" w:hAnsi="Arial"/>
          <w:sz w:val="16"/>
          <w:szCs w:val="16"/>
          <w:i w:val="1"/>
          <w:iCs w:val="1"/>
          <w:color w:val="auto"/>
        </w:rPr>
        <w:t xml:space="preserve"> Kit Kat</w:t>
      </w:r>
      <w:r>
        <w:rPr>
          <w:rFonts w:ascii="Arial" w:cs="Arial" w:eastAsia="Arial" w:hAnsi="Arial"/>
          <w:sz w:val="12"/>
          <w:szCs w:val="12"/>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Lancaster</w:t>
      </w:r>
      <w:r>
        <w:rPr>
          <w:rFonts w:ascii="Arial" w:cs="Arial" w:eastAsia="Arial" w:hAnsi="Arial"/>
          <w:sz w:val="16"/>
          <w:szCs w:val="16"/>
          <w:color w:val="auto"/>
        </w:rPr>
        <w:t>,</w:t>
      </w:r>
      <w:r>
        <w:rPr>
          <w:rFonts w:ascii="Arial" w:cs="Arial" w:eastAsia="Arial" w:hAnsi="Arial"/>
          <w:sz w:val="16"/>
          <w:szCs w:val="16"/>
          <w:i w:val="1"/>
          <w:iCs w:val="1"/>
          <w:color w:val="auto"/>
        </w:rPr>
        <w:t xml:space="preserve"> Payday</w:t>
      </w:r>
      <w:r>
        <w:rPr>
          <w:rFonts w:ascii="Arial" w:cs="Arial" w:eastAsia="Arial" w:hAnsi="Arial"/>
          <w:sz w:val="16"/>
          <w:szCs w:val="16"/>
          <w:color w:val="auto"/>
        </w:rPr>
        <w:t>,</w:t>
      </w:r>
      <w:r>
        <w:rPr>
          <w:rFonts w:ascii="Arial" w:cs="Arial" w:eastAsia="Arial" w:hAnsi="Arial"/>
          <w:sz w:val="16"/>
          <w:szCs w:val="16"/>
          <w:i w:val="1"/>
          <w:iCs w:val="1"/>
          <w:color w:val="auto"/>
        </w:rPr>
        <w:t xml:space="preserve"> Rolo</w:t>
      </w:r>
      <w:r>
        <w:rPr>
          <w:rFonts w:ascii="Arial" w:cs="Arial" w:eastAsia="Arial" w:hAnsi="Arial"/>
          <w:sz w:val="12"/>
          <w:szCs w:val="12"/>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Twizzlers</w:t>
      </w:r>
      <w:r>
        <w:rPr>
          <w:rFonts w:ascii="Arial" w:cs="Arial" w:eastAsia="Arial" w:hAnsi="Arial"/>
          <w:sz w:val="16"/>
          <w:szCs w:val="16"/>
          <w:color w:val="auto"/>
        </w:rPr>
        <w:t>,</w:t>
      </w:r>
      <w:r>
        <w:rPr>
          <w:rFonts w:ascii="Arial" w:cs="Arial" w:eastAsia="Arial" w:hAnsi="Arial"/>
          <w:sz w:val="16"/>
          <w:szCs w:val="16"/>
          <w:i w:val="1"/>
          <w:iCs w:val="1"/>
          <w:color w:val="auto"/>
        </w:rPr>
        <w:t xml:space="preserve"> Whoppers </w:t>
      </w:r>
      <w:r>
        <w:rPr>
          <w:rFonts w:ascii="Arial" w:cs="Arial" w:eastAsia="Arial" w:hAnsi="Arial"/>
          <w:sz w:val="16"/>
          <w:szCs w:val="16"/>
          <w:color w:val="auto"/>
        </w:rPr>
        <w:t>and</w:t>
      </w:r>
      <w:r>
        <w:rPr>
          <w:rFonts w:ascii="Arial" w:cs="Arial" w:eastAsia="Arial" w:hAnsi="Arial"/>
          <w:sz w:val="16"/>
          <w:szCs w:val="16"/>
          <w:i w:val="1"/>
          <w:iCs w:val="1"/>
          <w:color w:val="auto"/>
        </w:rPr>
        <w:t xml:space="preserve"> York</w:t>
      </w:r>
      <w:r>
        <w:rPr>
          <w:rFonts w:ascii="Arial" w:cs="Arial" w:eastAsia="Arial" w:hAnsi="Arial"/>
          <w:sz w:val="16"/>
          <w:szCs w:val="16"/>
          <w:color w:val="auto"/>
        </w:rPr>
        <w:t>. Our gum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mint products include </w:t>
      </w:r>
      <w:r>
        <w:rPr>
          <w:rFonts w:ascii="Arial" w:cs="Arial" w:eastAsia="Arial" w:hAnsi="Arial"/>
          <w:sz w:val="16"/>
          <w:szCs w:val="16"/>
          <w:i w:val="1"/>
          <w:iCs w:val="1"/>
          <w:color w:val="auto"/>
        </w:rPr>
        <w:t>Ice Breakers</w:t>
      </w:r>
      <w:r>
        <w:rPr>
          <w:rFonts w:ascii="Arial" w:cs="Arial" w:eastAsia="Arial" w:hAnsi="Arial"/>
          <w:sz w:val="16"/>
          <w:szCs w:val="16"/>
          <w:color w:val="auto"/>
        </w:rPr>
        <w:t xml:space="preserve"> mints and chewing gum, </w:t>
      </w:r>
      <w:r>
        <w:rPr>
          <w:rFonts w:ascii="Arial" w:cs="Arial" w:eastAsia="Arial" w:hAnsi="Arial"/>
          <w:sz w:val="16"/>
          <w:szCs w:val="16"/>
          <w:i w:val="1"/>
          <w:iCs w:val="1"/>
          <w:color w:val="auto"/>
        </w:rPr>
        <w:t>Breathsavers</w:t>
      </w:r>
      <w:r>
        <w:rPr>
          <w:rFonts w:ascii="Arial" w:cs="Arial" w:eastAsia="Arial" w:hAnsi="Arial"/>
          <w:sz w:val="16"/>
          <w:szCs w:val="16"/>
          <w:color w:val="auto"/>
        </w:rPr>
        <w:t xml:space="preserve"> mints and </w:t>
      </w:r>
      <w:r>
        <w:rPr>
          <w:rFonts w:ascii="Arial" w:cs="Arial" w:eastAsia="Arial" w:hAnsi="Arial"/>
          <w:sz w:val="16"/>
          <w:szCs w:val="16"/>
          <w:i w:val="1"/>
          <w:iCs w:val="1"/>
          <w:color w:val="auto"/>
        </w:rPr>
        <w:t>Bubble Yum</w:t>
      </w:r>
      <w:r>
        <w:rPr>
          <w:rFonts w:ascii="Arial" w:cs="Arial" w:eastAsia="Arial" w:hAnsi="Arial"/>
          <w:sz w:val="16"/>
          <w:szCs w:val="16"/>
          <w:color w:val="auto"/>
        </w:rPr>
        <w:t xml:space="preserve"> bubble gum. Our pantry and snack items that are principally sold in North America include ready-to-eat </w:t>
      </w:r>
      <w:r>
        <w:rPr>
          <w:rFonts w:ascii="Arial" w:cs="Arial" w:eastAsia="Arial" w:hAnsi="Arial"/>
          <w:sz w:val="16"/>
          <w:szCs w:val="16"/>
          <w:i w:val="1"/>
          <w:iCs w:val="1"/>
          <w:color w:val="auto"/>
        </w:rPr>
        <w:t>SkinnyPop</w:t>
      </w:r>
      <w:r>
        <w:rPr>
          <w:rFonts w:ascii="Arial" w:cs="Arial" w:eastAsia="Arial" w:hAnsi="Arial"/>
          <w:sz w:val="16"/>
          <w:szCs w:val="16"/>
          <w:color w:val="auto"/>
        </w:rPr>
        <w:t xml:space="preserve"> popcorn, baked and trans fat free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snacks and other better-for-you snack brands such as </w:t>
      </w:r>
      <w:r>
        <w:rPr>
          <w:rFonts w:ascii="Arial" w:cs="Arial" w:eastAsia="Arial" w:hAnsi="Arial"/>
          <w:sz w:val="16"/>
          <w:szCs w:val="16"/>
          <w:i w:val="1"/>
          <w:iCs w:val="1"/>
          <w:color w:val="auto"/>
        </w:rPr>
        <w:t>Oatmega, Paqui and ONE Bar,</w:t>
      </w:r>
      <w:r>
        <w:rPr>
          <w:rFonts w:ascii="Arial" w:cs="Arial" w:eastAsia="Arial" w:hAnsi="Arial"/>
          <w:sz w:val="16"/>
          <w:szCs w:val="16"/>
          <w:color w:val="auto"/>
        </w:rPr>
        <w:t xml:space="preserve"> baking products, toppings and sundae syrups sold under the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w:t>
      </w:r>
      <w:r>
        <w:rPr>
          <w:rFonts w:ascii="Arial" w:cs="Arial" w:eastAsia="Arial" w:hAnsi="Arial"/>
          <w:sz w:val="16"/>
          <w:szCs w:val="16"/>
          <w:i w:val="1"/>
          <w:iCs w:val="1"/>
          <w:color w:val="auto"/>
        </w:rPr>
        <w:t>Reese’s</w:t>
      </w:r>
      <w:r>
        <w:rPr>
          <w:rFonts w:ascii="Arial" w:cs="Arial" w:eastAsia="Arial" w:hAnsi="Arial"/>
          <w:sz w:val="16"/>
          <w:szCs w:val="16"/>
          <w:color w:val="auto"/>
        </w:rPr>
        <w:t xml:space="preserve"> and </w:t>
      </w:r>
      <w:r>
        <w:rPr>
          <w:rFonts w:ascii="Arial" w:cs="Arial" w:eastAsia="Arial" w:hAnsi="Arial"/>
          <w:sz w:val="16"/>
          <w:szCs w:val="16"/>
          <w:i w:val="1"/>
          <w:iCs w:val="1"/>
          <w:color w:val="auto"/>
        </w:rPr>
        <w:t>Heath</w:t>
      </w:r>
      <w:r>
        <w:rPr>
          <w:rFonts w:ascii="Arial" w:cs="Arial" w:eastAsia="Arial" w:hAnsi="Arial"/>
          <w:sz w:val="16"/>
          <w:szCs w:val="16"/>
          <w:color w:val="auto"/>
        </w:rPr>
        <w:t xml:space="preserve"> brands, as well as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and </w:t>
      </w:r>
      <w:r>
        <w:rPr>
          <w:rFonts w:ascii="Arial" w:cs="Arial" w:eastAsia="Arial" w:hAnsi="Arial"/>
          <w:sz w:val="16"/>
          <w:szCs w:val="16"/>
          <w:i w:val="1"/>
          <w:iCs w:val="1"/>
          <w:color w:val="auto"/>
        </w:rPr>
        <w:t>Reese’s</w:t>
      </w:r>
      <w:r>
        <w:rPr>
          <w:rFonts w:ascii="Arial" w:cs="Arial" w:eastAsia="Arial" w:hAnsi="Arial"/>
          <w:sz w:val="16"/>
          <w:szCs w:val="16"/>
          <w:color w:val="auto"/>
        </w:rPr>
        <w:t xml:space="preserve"> chocolate spreads, and snack bites and mixes</w:t>
      </w:r>
      <w:r>
        <w:rPr>
          <w:rFonts w:ascii="Arial" w:cs="Arial" w:eastAsia="Arial" w:hAnsi="Arial"/>
          <w:sz w:val="16"/>
          <w:szCs w:val="16"/>
          <w:i w:val="1"/>
          <w:iCs w:val="1"/>
          <w:color w:val="auto"/>
        </w:rPr>
        <w:t>.</w:t>
      </w:r>
    </w:p>
    <w:p>
      <w:pPr>
        <w:spacing w:after="0" w:line="117" w:lineRule="exact"/>
        <w:rPr>
          <w:rFonts w:ascii="Arial" w:cs="Arial" w:eastAsia="Arial" w:hAnsi="Arial"/>
          <w:sz w:val="16"/>
          <w:szCs w:val="16"/>
          <w:color w:val="auto"/>
        </w:rPr>
      </w:pPr>
    </w:p>
    <w:p>
      <w:pPr>
        <w:ind w:left="640" w:right="140" w:hanging="314"/>
        <w:spacing w:after="0" w:line="412" w:lineRule="auto"/>
        <w:tabs>
          <w:tab w:leader="none" w:pos="635"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Within our International and Other markets, we manufacture, market and sell many of these same brands, as well as other brands that are marketed regionally, such as </w:t>
      </w:r>
      <w:r>
        <w:rPr>
          <w:rFonts w:ascii="Arial" w:cs="Arial" w:eastAsia="Arial" w:hAnsi="Arial"/>
          <w:sz w:val="14"/>
          <w:szCs w:val="14"/>
          <w:i w:val="1"/>
          <w:iCs w:val="1"/>
          <w:color w:val="auto"/>
        </w:rPr>
        <w:t>Pelon Pelo Rico</w:t>
      </w:r>
      <w:r>
        <w:rPr>
          <w:rFonts w:ascii="Arial" w:cs="Arial" w:eastAsia="Arial" w:hAnsi="Arial"/>
          <w:sz w:val="14"/>
          <w:szCs w:val="14"/>
          <w:color w:val="auto"/>
        </w:rPr>
        <w:t xml:space="preserve"> confectionery products in Mexico, </w:t>
      </w:r>
      <w:r>
        <w:rPr>
          <w:rFonts w:ascii="Arial" w:cs="Arial" w:eastAsia="Arial" w:hAnsi="Arial"/>
          <w:sz w:val="14"/>
          <w:szCs w:val="14"/>
          <w:i w:val="1"/>
          <w:iCs w:val="1"/>
          <w:color w:val="auto"/>
        </w:rPr>
        <w:t>IO-IO</w:t>
      </w:r>
      <w:r>
        <w:rPr>
          <w:rFonts w:ascii="Arial" w:cs="Arial" w:eastAsia="Arial" w:hAnsi="Arial"/>
          <w:sz w:val="14"/>
          <w:szCs w:val="14"/>
          <w:color w:val="auto"/>
        </w:rPr>
        <w:t xml:space="preserve"> snack products in Brazil, and </w:t>
      </w:r>
      <w:r>
        <w:rPr>
          <w:rFonts w:ascii="Arial" w:cs="Arial" w:eastAsia="Arial" w:hAnsi="Arial"/>
          <w:sz w:val="14"/>
          <w:szCs w:val="14"/>
          <w:i w:val="1"/>
          <w:iCs w:val="1"/>
          <w:color w:val="auto"/>
        </w:rPr>
        <w:t>Sofit</w:t>
      </w:r>
      <w:r>
        <w:rPr>
          <w:rFonts w:ascii="Arial" w:cs="Arial" w:eastAsia="Arial" w:hAnsi="Arial"/>
          <w:sz w:val="14"/>
          <w:szCs w:val="14"/>
          <w:color w:val="auto"/>
        </w:rPr>
        <w:t xml:space="preserve"> beverage products in India.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Customers and Marketing Strategy</w:t>
      </w:r>
    </w:p>
    <w:p>
      <w:pPr>
        <w:spacing w:after="0" w:line="10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customers are mainly wholesale distributors, chain grocery stores, mass merchandisers, chain drug stores, vending companies, wholesale clubs, convenience stores, dollar stores, concessionaires and department stores. The majority of our customers, with the exception of wholesale distributors, resell our products to end-consumers in retail outlets in North America and other locations worldwide.</w:t>
      </w:r>
    </w:p>
    <w:p>
      <w:pPr>
        <w:spacing w:after="0" w:line="135" w:lineRule="exact"/>
        <w:rPr>
          <w:sz w:val="20"/>
          <w:szCs w:val="20"/>
          <w:color w:val="auto"/>
        </w:rPr>
      </w:pPr>
    </w:p>
    <w:p>
      <w:pPr>
        <w:ind w:right="40"/>
        <w:spacing w:after="0" w:line="330" w:lineRule="auto"/>
        <w:rPr>
          <w:sz w:val="20"/>
          <w:szCs w:val="20"/>
          <w:color w:val="auto"/>
        </w:rPr>
      </w:pPr>
      <w:r>
        <w:rPr>
          <w:rFonts w:ascii="Arial" w:cs="Arial" w:eastAsia="Arial" w:hAnsi="Arial"/>
          <w:sz w:val="16"/>
          <w:szCs w:val="16"/>
          <w:color w:val="auto"/>
        </w:rPr>
        <w:t>In 2020, approximately 31% of our consolidated net sales were made to McLane Company, Inc., one of the largest wholesale distributors in the United States ("U.S.") to convenience stores, drug stores, wholesale clubs and mass merchandisers and the primary distributor of our products to Wal-Mart Stores, Inc.</w:t>
      </w:r>
    </w:p>
    <w:p>
      <w:pPr>
        <w:spacing w:after="0" w:line="8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foundation of our marketing strategy is our strong brand equities, product innovation and the consistently superior quality of our products. We devote considerable resources to the identification, development, testing, manufacturing and marketing of new products. We utilize a variety of promotional programs directed towards our customers, as well as advertising and promotional programs for consumers of our products, to stimulate sales of certain products at various times throughout the year.</w:t>
      </w:r>
    </w:p>
    <w:p>
      <w:pPr>
        <w:spacing w:after="0" w:line="14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conjunction with our sales and marketing efforts, our efficient product distribution network helps us maintain sales growth and provide superior customer service by facilitating the shipment of our products from our manufacturing plants to strategically located distribution centers. We primarily use common carriers to deliver our products from these distribution points to our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Pricing</w:t>
      </w:r>
    </w:p>
    <w:p>
      <w:pPr>
        <w:spacing w:after="0" w:line="106"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Cocoa products, including cocoa liquor, cocoa butter and cocoa powder processed from cocoa beans, are the most significant raw materials we use to produce our chocolate products. These cocoa products are purchased directly from third-party suppliers, who source cocoa beans that are grown principally in Far Eastern, West African, Central and South American regions. West Africa accounts for approximately 70% of the world’s supply of cocoa beans.</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Adverse changes in climate or extreme weather, crop disease, political unrest and other problems in cocoa-producing countries have caused price fluctuations in the past, but have never resulted in the total loss of a particular producing country’s cocoa crop and/or exports. In the event that a significant disruption occurs in any given country, we believe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414655</wp:posOffset>
            </wp:positionV>
            <wp:extent cx="194945" cy="169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cocoa from other producing countries and from current physical cocoa stocks in consuming countries would provide a significant supply buffer.</w:t>
      </w:r>
    </w:p>
    <w:p>
      <w:pPr>
        <w:spacing w:after="0" w:line="178"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Our trading company in Switzerland performs all aspects of cocoa procurement, including price risk management, physical supply procurement and sustainable sourcing oversight. The trading company optimizes the supply chain for our cocoa requirements, with a strategic focus on gaining real time access to cocoa market intelligence. It also provides us with the ability to recruit and retain world class commodities traders and procurement professionals and enables enhanced collaboration with commodities trade groups, the global cocoa community and sustainable sourcing resources.</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use substantial quantities of sugar, Class II and IV dairy products, peanuts, almonds and energy in our production process. Most of these inputs for our domestic and Canadian operations are purchased from suppliers in the United States. For our international operations, inputs not locally available may be imported from other countries.</w:t>
      </w:r>
    </w:p>
    <w:p>
      <w:pPr>
        <w:spacing w:after="0" w:line="135"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We change prices and weights of our products when necessary to accommodate changes in input costs, the competitive environment and profit objectives, while at the same time maintaining consumer value. Price increases and weight changes help to offset increases in our input costs, including raw and packaging materials, fuel, utilities, transportation costs and employee benefits. When we implement price increases, there is usually a time lag between the effective date of the list price increases and the impact of the price increases on net sales, in part because we typically honor previous commitments to planned consumer and customer promotions and merchandising events subsequent to the effective date of the price increases. In addition, promotional allowances may be increased subsequent to the effective date, delaying or partially offsetting the impact of price increases on net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Many of our confectionery brands enjoy wide consumer acceptance and are among the leading brands sold in the marketplace in North America and certain international markets. We sell our brands in highly competitive markets with many other global multinational, national, regional and local firms. Some of our competitors are large companies with significant resources and substantial international operations. Competition in our product categories is based on product innovation, product quality, price, brand recognition and loyalty, effectiveness of marketing and promotional activity, the ability to identify and satisfy consumer preferences, as well as convenience and service. We have also experienced increased competition from other snack items, and we are focused on expanding the boundaries of our core confection brands to capture new snacking occasions.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Seasonality and Backlog</w:t>
      </w:r>
    </w:p>
    <w:p>
      <w:pPr>
        <w:spacing w:after="0" w:line="10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Our sales are typically higher during the third and fourth quarters of the year, representing seasonal and holiday-related sales patterns. We manufacture primarily for stock and typically fill customer orders within a few days of receipt. Therefore, the backlog of any unfilled orders is not material to our total annual sales. Additional information relating to our cash flows from operations and working capital practices is provided in our Management’s Discussion and Analysis.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License Agreements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own various registered and unregistered trademarks and service marks. The trademarks covering our key product brands are of material importance to our business. We follow a practice of seeking trademark protection in the United States and other key international markets where our products are sold. We also grant trademark licenses to third parties to produce and sell pantry items, flavored milks and various other products primarily under the </w:t>
      </w:r>
      <w:r>
        <w:rPr>
          <w:rFonts w:ascii="Arial" w:cs="Arial" w:eastAsia="Arial" w:hAnsi="Arial"/>
          <w:sz w:val="18"/>
          <w:szCs w:val="18"/>
          <w:i w:val="1"/>
          <w:iCs w:val="1"/>
          <w:color w:val="auto"/>
        </w:rPr>
        <w:t>Hershey’s</w:t>
      </w:r>
      <w:r>
        <w:rPr>
          <w:rFonts w:ascii="Arial" w:cs="Arial" w:eastAsia="Arial" w:hAnsi="Arial"/>
          <w:sz w:val="18"/>
          <w:szCs w:val="18"/>
          <w:color w:val="auto"/>
        </w:rPr>
        <w:t xml:space="preserve"> and </w:t>
      </w:r>
      <w:r>
        <w:rPr>
          <w:rFonts w:ascii="Arial" w:cs="Arial" w:eastAsia="Arial" w:hAnsi="Arial"/>
          <w:sz w:val="18"/>
          <w:szCs w:val="18"/>
          <w:i w:val="1"/>
          <w:iCs w:val="1"/>
          <w:color w:val="auto"/>
        </w:rPr>
        <w:t>Reese’s</w:t>
      </w:r>
      <w:r>
        <w:rPr>
          <w:rFonts w:ascii="Arial" w:cs="Arial" w:eastAsia="Arial" w:hAnsi="Arial"/>
          <w:sz w:val="18"/>
          <w:szCs w:val="18"/>
          <w:color w:val="auto"/>
        </w:rPr>
        <w:t xml:space="preserve"> brand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418465</wp:posOffset>
            </wp:positionV>
            <wp:extent cx="194945" cy="169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6" w:name="page7"/>
    <w:bookmarkEnd w:id="6"/>
    <w:p>
      <w:pPr>
        <w:ind w:right="300"/>
        <w:spacing w:after="0" w:line="297" w:lineRule="auto"/>
        <w:rPr>
          <w:sz w:val="20"/>
          <w:szCs w:val="20"/>
          <w:color w:val="auto"/>
        </w:rPr>
      </w:pPr>
      <w:r>
        <w:rPr>
          <w:rFonts w:ascii="Arial" w:cs="Arial" w:eastAsia="Arial" w:hAnsi="Arial"/>
          <w:sz w:val="17"/>
          <w:szCs w:val="17"/>
          <w:color w:val="auto"/>
        </w:rPr>
        <w:t>Furthermore, we have rights under license agreements with several companies to manufacture and/or sell and distribute certain products. Our rights under these agreements are extendible on a long-term basis at our option. Our most significant licensing agreements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Company</w:t>
            </w:r>
          </w:p>
        </w:tc>
        <w:tc>
          <w:tcPr>
            <w:tcW w:w="22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Brand</w:t>
            </w:r>
          </w:p>
        </w:tc>
        <w:tc>
          <w:tcPr>
            <w:tcW w:w="186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Location</w:t>
            </w:r>
          </w:p>
        </w:tc>
        <w:tc>
          <w:tcPr>
            <w:tcW w:w="25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Requirements</w:t>
            </w:r>
          </w:p>
        </w:tc>
        <w:tc>
          <w:tcPr>
            <w:tcW w:w="0" w:type="dxa"/>
            <w:vAlign w:val="bottom"/>
          </w:tcPr>
          <w:p>
            <w:pPr>
              <w:spacing w:after="0"/>
              <w:rPr>
                <w:sz w:val="1"/>
                <w:szCs w:val="1"/>
                <w:color w:val="auto"/>
              </w:rPr>
            </w:pPr>
          </w:p>
        </w:tc>
      </w:tr>
      <w:tr>
        <w:trPr>
          <w:trHeight w:val="210"/>
        </w:trPr>
        <w:tc>
          <w:tcPr>
            <w:tcW w:w="4620" w:type="dxa"/>
            <w:vAlign w:val="bottom"/>
            <w:vMerge w:val="restart"/>
          </w:tcPr>
          <w:p>
            <w:pPr>
              <w:ind w:left="20"/>
              <w:spacing w:after="0"/>
              <w:rPr>
                <w:sz w:val="20"/>
                <w:szCs w:val="20"/>
                <w:color w:val="auto"/>
              </w:rPr>
            </w:pPr>
            <w:r>
              <w:rPr>
                <w:rFonts w:ascii="Arial" w:cs="Arial" w:eastAsia="Arial" w:hAnsi="Arial"/>
                <w:sz w:val="18"/>
                <w:szCs w:val="18"/>
                <w:color w:val="auto"/>
                <w:w w:val="94"/>
              </w:rPr>
              <w:t>Kraft Foods Ireland Intellectual Property Limited/Cadbury UK</w:t>
            </w:r>
          </w:p>
        </w:tc>
        <w:tc>
          <w:tcPr>
            <w:tcW w:w="2260" w:type="dxa"/>
            <w:vAlign w:val="bottom"/>
          </w:tcPr>
          <w:p>
            <w:pPr>
              <w:ind w:left="120"/>
              <w:spacing w:after="0"/>
              <w:rPr>
                <w:sz w:val="20"/>
                <w:szCs w:val="20"/>
                <w:color w:val="auto"/>
              </w:rPr>
            </w:pPr>
            <w:r>
              <w:rPr>
                <w:rFonts w:ascii="Arial" w:cs="Arial" w:eastAsia="Arial" w:hAnsi="Arial"/>
                <w:sz w:val="18"/>
                <w:szCs w:val="18"/>
                <w:i w:val="1"/>
                <w:iCs w:val="1"/>
                <w:color w:val="auto"/>
              </w:rPr>
              <w:t>York</w:t>
            </w:r>
          </w:p>
        </w:tc>
        <w:tc>
          <w:tcPr>
            <w:tcW w:w="1860" w:type="dxa"/>
            <w:vAlign w:val="bottom"/>
            <w:vMerge w:val="restart"/>
          </w:tcPr>
          <w:p>
            <w:pPr>
              <w:ind w:left="480"/>
              <w:spacing w:after="0"/>
              <w:rPr>
                <w:sz w:val="20"/>
                <w:szCs w:val="20"/>
                <w:color w:val="auto"/>
              </w:rPr>
            </w:pPr>
            <w:r>
              <w:rPr>
                <w:rFonts w:ascii="Arial" w:cs="Arial" w:eastAsia="Arial" w:hAnsi="Arial"/>
                <w:sz w:val="18"/>
                <w:szCs w:val="18"/>
                <w:color w:val="auto"/>
              </w:rPr>
              <w:t>Worldwide</w:t>
            </w:r>
          </w:p>
        </w:tc>
        <w:tc>
          <w:tcPr>
            <w:tcW w:w="2500" w:type="dxa"/>
            <w:vAlign w:val="bottom"/>
            <w:vMerge w:val="restart"/>
          </w:tcPr>
          <w:p>
            <w:pPr>
              <w:ind w:left="4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19"/>
        </w:trPr>
        <w:tc>
          <w:tcPr>
            <w:tcW w:w="4620" w:type="dxa"/>
            <w:vAlign w:val="bottom"/>
            <w:vMerge w:val="continue"/>
          </w:tcPr>
          <w:p>
            <w:pPr>
              <w:spacing w:after="0"/>
              <w:rPr>
                <w:sz w:val="10"/>
                <w:szCs w:val="10"/>
                <w:color w:val="auto"/>
              </w:rPr>
            </w:pPr>
          </w:p>
        </w:tc>
        <w:tc>
          <w:tcPr>
            <w:tcW w:w="2260" w:type="dxa"/>
            <w:vAlign w:val="bottom"/>
          </w:tcPr>
          <w:p>
            <w:pPr>
              <w:ind w:left="120"/>
              <w:spacing w:after="0" w:line="119" w:lineRule="exact"/>
              <w:rPr>
                <w:sz w:val="20"/>
                <w:szCs w:val="20"/>
                <w:color w:val="auto"/>
              </w:rPr>
            </w:pPr>
            <w:r>
              <w:rPr>
                <w:rFonts w:ascii="Arial" w:cs="Arial" w:eastAsia="Arial" w:hAnsi="Arial"/>
                <w:sz w:val="13"/>
                <w:szCs w:val="13"/>
                <w:i w:val="1"/>
                <w:iCs w:val="1"/>
                <w:color w:val="auto"/>
              </w:rPr>
              <w:t>Peter Paul Almond Joy</w:t>
            </w:r>
          </w:p>
        </w:tc>
        <w:tc>
          <w:tcPr>
            <w:tcW w:w="186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20"/>
              <w:spacing w:after="0"/>
              <w:rPr>
                <w:sz w:val="20"/>
                <w:szCs w:val="20"/>
                <w:color w:val="auto"/>
              </w:rPr>
            </w:pPr>
            <w:r>
              <w:rPr>
                <w:rFonts w:ascii="Arial" w:cs="Arial" w:eastAsia="Arial" w:hAnsi="Arial"/>
                <w:sz w:val="18"/>
                <w:szCs w:val="18"/>
                <w:color w:val="auto"/>
              </w:rPr>
              <w:t>Limited</w:t>
            </w:r>
          </w:p>
        </w:tc>
        <w:tc>
          <w:tcPr>
            <w:tcW w:w="226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Peter Paul Mounds</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6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vMerge w:val="continue"/>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4620" w:type="dxa"/>
            <w:vAlign w:val="bottom"/>
          </w:tcPr>
          <w:p>
            <w:pPr>
              <w:ind w:left="20"/>
              <w:spacing w:after="0"/>
              <w:rPr>
                <w:sz w:val="20"/>
                <w:szCs w:val="20"/>
                <w:color w:val="auto"/>
              </w:rPr>
            </w:pPr>
            <w:r>
              <w:rPr>
                <w:rFonts w:ascii="Arial" w:cs="Arial" w:eastAsia="Arial" w:hAnsi="Arial"/>
                <w:sz w:val="18"/>
                <w:szCs w:val="18"/>
                <w:color w:val="auto"/>
              </w:rPr>
              <w:t>Cadbury UK Limited</w:t>
            </w:r>
          </w:p>
        </w:tc>
        <w:tc>
          <w:tcPr>
            <w:tcW w:w="2260" w:type="dxa"/>
            <w:vAlign w:val="bottom"/>
          </w:tcPr>
          <w:p>
            <w:pPr>
              <w:ind w:left="120"/>
              <w:spacing w:after="0"/>
              <w:rPr>
                <w:sz w:val="20"/>
                <w:szCs w:val="20"/>
                <w:color w:val="auto"/>
              </w:rPr>
            </w:pPr>
            <w:r>
              <w:rPr>
                <w:rFonts w:ascii="Arial" w:cs="Arial" w:eastAsia="Arial" w:hAnsi="Arial"/>
                <w:sz w:val="18"/>
                <w:szCs w:val="18"/>
                <w:i w:val="1"/>
                <w:iCs w:val="1"/>
                <w:color w:val="auto"/>
              </w:rPr>
              <w:t>Cadbury</w:t>
            </w:r>
          </w:p>
        </w:tc>
        <w:tc>
          <w:tcPr>
            <w:tcW w:w="186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2500" w:type="dxa"/>
            <w:vAlign w:val="bottom"/>
          </w:tcPr>
          <w:p>
            <w:pPr>
              <w:ind w:left="420"/>
              <w:spacing w:after="0"/>
              <w:rPr>
                <w:sz w:val="20"/>
                <w:szCs w:val="20"/>
                <w:color w:val="auto"/>
              </w:rPr>
            </w:pPr>
            <w:r>
              <w:rPr>
                <w:rFonts w:ascii="Arial" w:cs="Arial" w:eastAsia="Arial" w:hAnsi="Arial"/>
                <w:sz w:val="18"/>
                <w:szCs w:val="18"/>
                <w:color w:val="auto"/>
                <w:w w:val="93"/>
              </w:rPr>
              <w:t>Minimum sales requirement</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ind w:left="120"/>
              <w:spacing w:after="0" w:line="173" w:lineRule="exact"/>
              <w:rPr>
                <w:sz w:val="20"/>
                <w:szCs w:val="20"/>
                <w:color w:val="auto"/>
              </w:rPr>
            </w:pPr>
            <w:r>
              <w:rPr>
                <w:rFonts w:ascii="Arial" w:cs="Arial" w:eastAsia="Arial" w:hAnsi="Arial"/>
                <w:sz w:val="18"/>
                <w:szCs w:val="18"/>
                <w:i w:val="1"/>
                <w:iCs w:val="1"/>
                <w:color w:val="auto"/>
              </w:rPr>
              <w:t>Caramello</w:t>
            </w:r>
          </w:p>
        </w:tc>
        <w:tc>
          <w:tcPr>
            <w:tcW w:w="18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ind w:left="420"/>
              <w:spacing w:after="0" w:line="173" w:lineRule="exact"/>
              <w:rPr>
                <w:sz w:val="20"/>
                <w:szCs w:val="20"/>
                <w:color w:val="auto"/>
              </w:rPr>
            </w:pPr>
            <w:r>
              <w:rPr>
                <w:rFonts w:ascii="Arial" w:cs="Arial" w:eastAsia="Arial" w:hAnsi="Arial"/>
                <w:sz w:val="18"/>
                <w:szCs w:val="18"/>
                <w:color w:val="auto"/>
              </w:rPr>
              <w:t>exceeded in 2020</w:t>
            </w:r>
          </w:p>
        </w:tc>
        <w:tc>
          <w:tcPr>
            <w:tcW w:w="0" w:type="dxa"/>
            <w:vAlign w:val="bottom"/>
          </w:tcPr>
          <w:p>
            <w:pPr>
              <w:spacing w:after="0"/>
              <w:rPr>
                <w:sz w:val="1"/>
                <w:szCs w:val="1"/>
                <w:color w:val="auto"/>
              </w:rPr>
            </w:pPr>
          </w:p>
        </w:tc>
      </w:tr>
      <w:tr>
        <w:trPr>
          <w:trHeight w:val="273"/>
        </w:trPr>
        <w:tc>
          <w:tcPr>
            <w:tcW w:w="4620" w:type="dxa"/>
            <w:vAlign w:val="bottom"/>
          </w:tcPr>
          <w:p>
            <w:pPr>
              <w:ind w:left="20"/>
              <w:spacing w:after="0"/>
              <w:rPr>
                <w:sz w:val="20"/>
                <w:szCs w:val="20"/>
                <w:color w:val="auto"/>
              </w:rPr>
            </w:pPr>
            <w:r>
              <w:rPr>
                <w:rFonts w:ascii="Arial" w:cs="Arial" w:eastAsia="Arial" w:hAnsi="Arial"/>
                <w:sz w:val="18"/>
                <w:szCs w:val="18"/>
                <w:color w:val="auto"/>
              </w:rPr>
              <w:t>Société des Produits Nestlé SA</w:t>
            </w:r>
          </w:p>
        </w:tc>
        <w:tc>
          <w:tcPr>
            <w:tcW w:w="2260" w:type="dxa"/>
            <w:vAlign w:val="bottom"/>
          </w:tcPr>
          <w:p>
            <w:pPr>
              <w:ind w:left="140"/>
              <w:spacing w:after="0"/>
              <w:rPr>
                <w:sz w:val="20"/>
                <w:szCs w:val="20"/>
                <w:color w:val="auto"/>
              </w:rPr>
            </w:pPr>
            <w:r>
              <w:rPr>
                <w:rFonts w:ascii="Arial" w:cs="Arial" w:eastAsia="Arial" w:hAnsi="Arial"/>
                <w:sz w:val="18"/>
                <w:szCs w:val="18"/>
                <w:i w:val="1"/>
                <w:iCs w:val="1"/>
                <w:color w:val="auto"/>
              </w:rPr>
              <w:t>Kit Kat</w:t>
            </w:r>
            <w:r>
              <w:rPr>
                <w:rFonts w:ascii="Arial" w:cs="Arial" w:eastAsia="Arial" w:hAnsi="Arial"/>
                <w:sz w:val="14"/>
                <w:szCs w:val="14"/>
                <w:i w:val="1"/>
                <w:iCs w:val="1"/>
                <w:color w:val="auto"/>
              </w:rPr>
              <w:t>®</w:t>
            </w:r>
          </w:p>
        </w:tc>
        <w:tc>
          <w:tcPr>
            <w:tcW w:w="186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2500" w:type="dxa"/>
            <w:vAlign w:val="bottom"/>
          </w:tcPr>
          <w:p>
            <w:pPr>
              <w:ind w:left="420"/>
              <w:spacing w:after="0"/>
              <w:rPr>
                <w:sz w:val="20"/>
                <w:szCs w:val="20"/>
                <w:color w:val="auto"/>
              </w:rPr>
            </w:pPr>
            <w:r>
              <w:rPr>
                <w:rFonts w:ascii="Arial" w:cs="Arial" w:eastAsia="Arial" w:hAnsi="Arial"/>
                <w:sz w:val="18"/>
                <w:szCs w:val="18"/>
                <w:color w:val="auto"/>
                <w:w w:val="94"/>
              </w:rPr>
              <w:t>Minimum unit volume sales</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Rolo</w:t>
            </w:r>
            <w:r>
              <w:rPr>
                <w:rFonts w:ascii="Arial" w:cs="Arial" w:eastAsia="Arial" w:hAnsi="Arial"/>
                <w:sz w:val="14"/>
                <w:szCs w:val="14"/>
                <w:i w:val="1"/>
                <w:iCs w:val="1"/>
                <w:color w:val="auto"/>
              </w:rPr>
              <w:t>®</w:t>
            </w:r>
          </w:p>
        </w:tc>
        <w:tc>
          <w:tcPr>
            <w:tcW w:w="1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exceeded in 2020</w:t>
            </w:r>
          </w:p>
        </w:tc>
        <w:tc>
          <w:tcPr>
            <w:tcW w:w="0" w:type="dxa"/>
            <w:vAlign w:val="bottom"/>
          </w:tcPr>
          <w:p>
            <w:pPr>
              <w:spacing w:after="0"/>
              <w:rPr>
                <w:sz w:val="1"/>
                <w:szCs w:val="1"/>
                <w:color w:val="auto"/>
              </w:rPr>
            </w:pPr>
          </w:p>
        </w:tc>
      </w:tr>
      <w:tr>
        <w:trPr>
          <w:trHeight w:val="208"/>
        </w:trPr>
        <w:tc>
          <w:tcPr>
            <w:tcW w:w="462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Arial" w:cs="Arial" w:eastAsia="Arial" w:hAnsi="Arial"/>
                <w:sz w:val="18"/>
                <w:szCs w:val="18"/>
                <w:i w:val="1"/>
                <w:iCs w:val="1"/>
                <w:color w:val="auto"/>
              </w:rPr>
              <w:t>Good &amp; Plenty</w:t>
            </w:r>
          </w:p>
        </w:tc>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2260" w:type="dxa"/>
            <w:vAlign w:val="bottom"/>
          </w:tcPr>
          <w:p>
            <w:pPr>
              <w:ind w:left="140"/>
              <w:spacing w:after="0" w:line="173" w:lineRule="exact"/>
              <w:rPr>
                <w:sz w:val="20"/>
                <w:szCs w:val="20"/>
                <w:color w:val="auto"/>
              </w:rPr>
            </w:pPr>
            <w:r>
              <w:rPr>
                <w:rFonts w:ascii="Arial" w:cs="Arial" w:eastAsia="Arial" w:hAnsi="Arial"/>
                <w:sz w:val="18"/>
                <w:szCs w:val="18"/>
                <w:i w:val="1"/>
                <w:iCs w:val="1"/>
                <w:color w:val="auto"/>
              </w:rPr>
              <w:t>Heath</w:t>
            </w:r>
          </w:p>
        </w:tc>
        <w:tc>
          <w:tcPr>
            <w:tcW w:w="18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620" w:type="dxa"/>
            <w:vAlign w:val="bottom"/>
          </w:tcPr>
          <w:p>
            <w:pPr>
              <w:ind w:left="20"/>
              <w:spacing w:after="0"/>
              <w:rPr>
                <w:sz w:val="20"/>
                <w:szCs w:val="20"/>
                <w:color w:val="auto"/>
              </w:rPr>
            </w:pPr>
            <w:r>
              <w:rPr>
                <w:rFonts w:ascii="Arial" w:cs="Arial" w:eastAsia="Arial" w:hAnsi="Arial"/>
                <w:sz w:val="18"/>
                <w:szCs w:val="18"/>
                <w:color w:val="auto"/>
              </w:rPr>
              <w:t>Iconic IP Interests, LLC</w:t>
            </w:r>
          </w:p>
        </w:tc>
        <w:tc>
          <w:tcPr>
            <w:tcW w:w="2260" w:type="dxa"/>
            <w:vAlign w:val="bottom"/>
          </w:tcPr>
          <w:p>
            <w:pPr>
              <w:ind w:left="140"/>
              <w:spacing w:after="0"/>
              <w:rPr>
                <w:sz w:val="20"/>
                <w:szCs w:val="20"/>
                <w:color w:val="auto"/>
              </w:rPr>
            </w:pPr>
            <w:r>
              <w:rPr>
                <w:rFonts w:ascii="Arial" w:cs="Arial" w:eastAsia="Arial" w:hAnsi="Arial"/>
                <w:sz w:val="18"/>
                <w:szCs w:val="18"/>
                <w:i w:val="1"/>
                <w:iCs w:val="1"/>
                <w:color w:val="auto"/>
              </w:rPr>
              <w:t>Jolly Rancher</w:t>
            </w:r>
          </w:p>
        </w:tc>
        <w:tc>
          <w:tcPr>
            <w:tcW w:w="1860" w:type="dxa"/>
            <w:vAlign w:val="bottom"/>
          </w:tcPr>
          <w:p>
            <w:pPr>
              <w:ind w:left="480"/>
              <w:spacing w:after="0"/>
              <w:rPr>
                <w:sz w:val="20"/>
                <w:szCs w:val="20"/>
                <w:color w:val="auto"/>
              </w:rPr>
            </w:pPr>
            <w:r>
              <w:rPr>
                <w:rFonts w:ascii="Arial" w:cs="Arial" w:eastAsia="Arial" w:hAnsi="Arial"/>
                <w:sz w:val="18"/>
                <w:szCs w:val="18"/>
                <w:color w:val="auto"/>
              </w:rPr>
              <w:t>Worldwide</w:t>
            </w:r>
          </w:p>
        </w:tc>
        <w:tc>
          <w:tcPr>
            <w:tcW w:w="2500" w:type="dxa"/>
            <w:vAlign w:val="bottom"/>
          </w:tcPr>
          <w:p>
            <w:pPr>
              <w:ind w:left="4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81"/>
        </w:trPr>
        <w:tc>
          <w:tcPr>
            <w:tcW w:w="4620" w:type="dxa"/>
            <w:vAlign w:val="bottom"/>
          </w:tcPr>
          <w:p>
            <w:pPr>
              <w:spacing w:after="0"/>
              <w:rPr>
                <w:sz w:val="7"/>
                <w:szCs w:val="7"/>
                <w:color w:val="auto"/>
              </w:rPr>
            </w:pPr>
          </w:p>
        </w:tc>
        <w:tc>
          <w:tcPr>
            <w:tcW w:w="2260" w:type="dxa"/>
            <w:vAlign w:val="bottom"/>
          </w:tcPr>
          <w:p>
            <w:pPr>
              <w:ind w:left="140"/>
              <w:spacing w:after="0" w:line="81" w:lineRule="exact"/>
              <w:rPr>
                <w:sz w:val="20"/>
                <w:szCs w:val="20"/>
                <w:color w:val="auto"/>
              </w:rPr>
            </w:pPr>
            <w:r>
              <w:rPr>
                <w:rFonts w:ascii="Arial" w:cs="Arial" w:eastAsia="Arial" w:hAnsi="Arial"/>
                <w:sz w:val="9"/>
                <w:szCs w:val="9"/>
                <w:i w:val="1"/>
                <w:iCs w:val="1"/>
                <w:color w:val="auto"/>
              </w:rPr>
              <w:t>Milk Duds</w:t>
            </w:r>
          </w:p>
        </w:tc>
        <w:tc>
          <w:tcPr>
            <w:tcW w:w="1860" w:type="dxa"/>
            <w:vAlign w:val="bottom"/>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2260" w:type="dxa"/>
            <w:vAlign w:val="bottom"/>
          </w:tcPr>
          <w:p>
            <w:pPr>
              <w:ind w:left="140"/>
              <w:spacing w:after="0" w:line="173" w:lineRule="exact"/>
              <w:rPr>
                <w:sz w:val="20"/>
                <w:szCs w:val="20"/>
                <w:color w:val="auto"/>
              </w:rPr>
            </w:pPr>
            <w:r>
              <w:rPr>
                <w:rFonts w:ascii="Arial" w:cs="Arial" w:eastAsia="Arial" w:hAnsi="Arial"/>
                <w:sz w:val="18"/>
                <w:szCs w:val="18"/>
                <w:i w:val="1"/>
                <w:iCs w:val="1"/>
                <w:color w:val="auto"/>
              </w:rPr>
              <w:t>Payday</w:t>
            </w:r>
          </w:p>
        </w:tc>
        <w:tc>
          <w:tcPr>
            <w:tcW w:w="18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6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Whoppers</w:t>
            </w:r>
          </w:p>
        </w:tc>
        <w:tc>
          <w:tcPr>
            <w:tcW w:w="18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2" w:lineRule="exact"/>
        <w:rPr>
          <w:sz w:val="20"/>
          <w:szCs w:val="20"/>
          <w:color w:val="auto"/>
        </w:rPr>
      </w:pPr>
    </w:p>
    <w:p>
      <w:pPr>
        <w:ind w:right="8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We engage in a variety of research and development activities in a number of countries, including the U.S., Mexico, Brazil and India. We develop new products, improve the quality of existing products, improve and modernize production processes, and develop and implement new technologies to enhance the quality and value of both current and proposed product lines. Information concerning our research and development expense is contained in </w:t>
      </w:r>
      <w:hyperlink w:anchor="page57">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Quality and Safety Regulation</w:t>
      </w:r>
    </w:p>
    <w:p>
      <w:pPr>
        <w:spacing w:after="0" w:line="106" w:lineRule="exact"/>
        <w:rPr>
          <w:sz w:val="20"/>
          <w:szCs w:val="20"/>
          <w:color w:val="auto"/>
        </w:rPr>
      </w:pPr>
    </w:p>
    <w:p>
      <w:pPr>
        <w:jc w:val="both"/>
        <w:ind w:right="80"/>
        <w:spacing w:after="0" w:line="304" w:lineRule="auto"/>
        <w:rPr>
          <w:sz w:val="20"/>
          <w:szCs w:val="20"/>
          <w:color w:val="auto"/>
        </w:rPr>
      </w:pPr>
      <w:r>
        <w:rPr>
          <w:rFonts w:ascii="Arial" w:cs="Arial" w:eastAsia="Arial" w:hAnsi="Arial"/>
          <w:sz w:val="16"/>
          <w:szCs w:val="16"/>
          <w:color w:val="auto"/>
        </w:rPr>
        <w:t>The manufacture and sale of consumer food products is highly regulated. In the United States, our activities are subject to regulation by various government agencies, including the Food and Drug Administration, the Department of Agriculture, the Federal Trade Commission, the Department of Commerce and the Environmental Protection Agency, as well as various state and local agencies. Similar agencies also regulate our businesses outside of the United States.</w:t>
      </w:r>
    </w:p>
    <w:p>
      <w:pPr>
        <w:spacing w:after="0" w:line="10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believe our Product Excellence Program provides us with an effective product quality and safety program. This program is integral to our global supply chain platform and is intended to ensure that all products we purchase, manufacture and distribute are safe, are of high quality and comply with applicable laws and regulations.</w:t>
      </w:r>
    </w:p>
    <w:p>
      <w:pPr>
        <w:spacing w:after="0" w:line="13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Through our Product Excellence Program, we evaluate our supply chain including ingredients, packaging, processes, products, distribution and the environment to determine where product quality and safety controls are necessary. We identify risks and establish controls intended to ensure product quality and safety. Various government agencies and third-party firms as well as our quality assurance staff conduct audits of all facilities that manufacture our products to assure effectiveness and compliance with our program and applicable laws and regulations.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Considerations</w:t>
      </w:r>
    </w:p>
    <w:p>
      <w:pPr>
        <w:spacing w:after="0" w:line="106" w:lineRule="exact"/>
        <w:rPr>
          <w:sz w:val="20"/>
          <w:szCs w:val="20"/>
          <w:color w:val="auto"/>
        </w:rPr>
      </w:pPr>
    </w:p>
    <w:p>
      <w:pPr>
        <w:ind w:right="580"/>
        <w:spacing w:after="0" w:line="273" w:lineRule="auto"/>
        <w:rPr>
          <w:sz w:val="20"/>
          <w:szCs w:val="20"/>
          <w:color w:val="auto"/>
        </w:rPr>
      </w:pPr>
      <w:r>
        <w:rPr>
          <w:rFonts w:ascii="Arial" w:cs="Arial" w:eastAsia="Arial" w:hAnsi="Arial"/>
          <w:sz w:val="17"/>
          <w:szCs w:val="17"/>
          <w:color w:val="auto"/>
        </w:rPr>
        <w:t>Beyond ordinary course operating and capital expenditures we make to comply with environmental laws and regulations, we have made a number of commitments to protect and reduce our impact on the environment in recent years, including efforts to protect forests and forested habitats and reduce emissions across our supply chain. The annual operating and capital expenditures associated with these ordinary course payments and additional commitments are not material with respect to our results of operations, capital expenditures or competitive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720725</wp:posOffset>
            </wp:positionV>
            <wp:extent cx="194945" cy="169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7" w:name="page8"/>
    <w:bookmarkEnd w:id="7"/>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principal operations and markets are located in the United States. The percentage of total consolidated net sales for our businesses outside of the United States was 13.6% for 2020, 15.8% for 2019 and 16.1% for 2018. The percentage of total long-lived assets outside of the United States was 19.7% as of December 31, 2020 and 20.2% as of December 31, 2019.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December 31, 2020, the Company employed approximately 15,200 full-time and 1,680 part-time employees worldwide. Collective bargaining agreements covered approximately 6,285 employees, or approximately 37% of the Company’s employees worldwide. During 2021, agreements will be negotiated for certain employees at four facilities outside of the United States, comprising approximately 70% of total employees under collective bargaining agreements. We believe our efforts in managing our workforce have been effective, as evidenced by a strong culture and a good relationship between the Company and our employees.</w:t>
      </w:r>
    </w:p>
    <w:p>
      <w:pPr>
        <w:spacing w:after="0" w:line="13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 purpose-driven company and for more than a century, our iconic brands have been built on a foundation of community investment and connections between people around the world. We could not have achieved this without our remarkable employees who make our purpose a reality. As a result, our human capital strategies are material to our operations and core to the long-term success of the Company.</w:t>
      </w:r>
    </w:p>
    <w:p>
      <w:pPr>
        <w:spacing w:after="0" w:line="118" w:lineRule="exact"/>
        <w:rPr>
          <w:sz w:val="20"/>
          <w:szCs w:val="20"/>
          <w:color w:val="auto"/>
        </w:rPr>
      </w:pPr>
    </w:p>
    <w:p>
      <w:pPr>
        <w:ind w:left="640" w:right="60" w:hanging="314"/>
        <w:spacing w:after="0" w:line="267"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Our People, Safety and Employee Engagement</w:t>
      </w:r>
      <w:r>
        <w:rPr>
          <w:rFonts w:ascii="Arial" w:cs="Arial" w:eastAsia="Arial" w:hAnsi="Arial"/>
          <w:sz w:val="17"/>
          <w:szCs w:val="17"/>
          <w:color w:val="auto"/>
        </w:rPr>
        <w:t>. We believe our employees are among our most important resources and are critical to our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success. We provide a workplace that develops, supports and motivates our people. The overall well-being and safety of our employees is a key value and remains our top priority. We continue to invest in training, workplace resources and leading systems and processes to ensure the responsible management of all facilities. Additionally, our annual Many Voices, One Hershey survey reaches all of our employees around the world to hear their thoughts on the Company's direction and their place in it. Post-survey action planning has resulted in changes to our decision-making processes and significantly improved annual survey scores over time. We also use surveys throughout the year to engage our employees on the Company's strategy, initiatives and leadership.</w:t>
      </w:r>
    </w:p>
    <w:p>
      <w:pPr>
        <w:spacing w:after="0" w:line="130" w:lineRule="exact"/>
        <w:rPr>
          <w:rFonts w:ascii="Arial" w:cs="Arial" w:eastAsia="Arial" w:hAnsi="Arial"/>
          <w:sz w:val="17"/>
          <w:szCs w:val="17"/>
          <w:color w:val="auto"/>
        </w:rPr>
      </w:pPr>
    </w:p>
    <w:p>
      <w:pPr>
        <w:ind w:left="640" w:hanging="314"/>
        <w:spacing w:after="0" w:line="288"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Talent Acquisition, Development and Training</w:t>
      </w:r>
      <w:r>
        <w:rPr>
          <w:rFonts w:ascii="Arial" w:cs="Arial" w:eastAsia="Arial" w:hAnsi="Arial"/>
          <w:sz w:val="16"/>
          <w:szCs w:val="16"/>
          <w:color w:val="auto"/>
        </w:rPr>
        <w:t>. Hiring and developing our employees is critically important to our operations and we are focused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creating experiences and programs that foster growth and performance. We provide all employees the chance to learn, grow and own their work. We have partnered with leading online content experts and increased internal learning development to expand our catalog of online and classroom courses. Additionally, we have co-created a culture of development with the enthusiastic support of our employees. Through individual development plans, learning opportunities, feedback and coaching, employees can build careers at The Hershey Company, as evidenced by the fact that five out of our six executive officers were promoted from within the organization (see </w:t>
      </w:r>
      <w:hyperlink w:anchor="page17">
        <w:r>
          <w:rPr>
            <w:rFonts w:ascii="Arial" w:cs="Arial" w:eastAsia="Arial" w:hAnsi="Arial"/>
            <w:sz w:val="16"/>
            <w:szCs w:val="16"/>
            <w:u w:val="single" w:color="auto"/>
            <w:color w:val="0000FF"/>
          </w:rPr>
          <w:t>Information About Our Executive Officers</w:t>
        </w:r>
      </w:hyperlink>
      <w:r>
        <w:rPr>
          <w:rFonts w:ascii="Arial" w:cs="Arial" w:eastAsia="Arial" w:hAnsi="Arial"/>
          <w:sz w:val="16"/>
          <w:szCs w:val="16"/>
          <w:color w:val="auto"/>
        </w:rPr>
        <w:t>).</w:t>
      </w:r>
    </w:p>
    <w:p>
      <w:pPr>
        <w:spacing w:after="0" w:line="114" w:lineRule="exact"/>
        <w:rPr>
          <w:rFonts w:ascii="Arial" w:cs="Arial" w:eastAsia="Arial" w:hAnsi="Arial"/>
          <w:sz w:val="16"/>
          <w:szCs w:val="16"/>
          <w:color w:val="auto"/>
        </w:rPr>
      </w:pPr>
    </w:p>
    <w:p>
      <w:pPr>
        <w:ind w:left="640" w:right="60" w:hanging="314"/>
        <w:spacing w:after="0" w:line="286"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Compensation, Benefits and Wellness</w:t>
      </w:r>
      <w:r>
        <w:rPr>
          <w:rFonts w:ascii="Arial" w:cs="Arial" w:eastAsia="Arial" w:hAnsi="Arial"/>
          <w:sz w:val="16"/>
          <w:szCs w:val="16"/>
          <w:color w:val="auto"/>
        </w:rPr>
        <w:t>. In addition to offering competitive, fair and transparent compensation, we also offer a suite of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comprehensive health and meaningful retirement benefits to eligible employees, tying incentive compensation to both business and individual performance, offering parental leave and adoption benefits and maintaining an employee stock purchase plan. We also provide a number of innovative programs designed to promote physical and emotional well-being, including ergonomic workspaces, a state-of-the-art fitness center at our Hershey, Pennsylvania campus and private rooms designed for quiet reflection, prayer or wellness breaks. In 2016, we introduced SmartFlex as part of the Company's evolution into a more agile place of work. SmartFlex is a suite of policies that allows individuals to create their own balance between work and personal life, as well as improve productivity, job satisfaction and increase employee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404495</wp:posOffset>
            </wp:positionV>
            <wp:extent cx="194945" cy="169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ind w:left="640" w:right="140" w:hanging="314"/>
        <w:spacing w:after="0" w:line="285" w:lineRule="auto"/>
        <w:tabs>
          <w:tab w:leader="none" w:pos="6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Diversity and Inclusion</w:t>
      </w:r>
      <w:r>
        <w:rPr>
          <w:rFonts w:ascii="Arial" w:cs="Arial" w:eastAsia="Arial" w:hAnsi="Arial"/>
          <w:sz w:val="16"/>
          <w:szCs w:val="16"/>
          <w:color w:val="auto"/>
        </w:rPr>
        <w:t>. Our diverse and inclusive culture makes the difference across all areas of the business. Our gender representation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women occupying many of the top positions in the Company, including Chief Executive Officer and Chairman of the Board, and Chief Growth Officer, and approximately 50% representation across the Company. Across the salaried workforce in the United States, we paid women $1.00 on the dollar compared to men. Additionally, five of our 14 Board of Directors are women. Additionally, we create a welcoming and inclusive work environment for all employees around the world. Our eight employee-led Business Resource Groups, which include Abilities First, African American, Asian, GenH (Generations), Latino, Prism (LGBTQ), Veteran’s and Women’s, play a critical role in attracting diverse talent, providing mentoring and career development opportunities, delivering commercial business insights and connecting people to the Company and the communities where we do business. In 2020, the Company was ranked #21 on DiversityInc’s Top 50 Companies for Diversity.</w:t>
      </w:r>
    </w:p>
    <w:p>
      <w:pPr>
        <w:spacing w:after="0" w:line="117" w:lineRule="exact"/>
        <w:rPr>
          <w:rFonts w:ascii="Arial" w:cs="Arial" w:eastAsia="Arial" w:hAnsi="Arial"/>
          <w:sz w:val="16"/>
          <w:szCs w:val="16"/>
          <w:color w:val="auto"/>
        </w:rPr>
      </w:pPr>
    </w:p>
    <w:p>
      <w:pPr>
        <w:ind w:left="640" w:hanging="314"/>
        <w:spacing w:after="0" w:line="27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Community and Social Impact</w:t>
      </w:r>
      <w:r>
        <w:rPr>
          <w:rFonts w:ascii="Arial" w:cs="Arial" w:eastAsia="Arial" w:hAnsi="Arial"/>
          <w:sz w:val="17"/>
          <w:szCs w:val="17"/>
          <w:color w:val="auto"/>
        </w:rPr>
        <w:t>. Our philanthropy and volunteerism efforts reflect how we live out the Company’s value of making a difference, from</w:t>
      </w:r>
      <w:r>
        <w:rPr>
          <w:rFonts w:ascii="Arial" w:cs="Arial" w:eastAsia="Arial" w:hAnsi="Arial"/>
          <w:sz w:val="17"/>
          <w:szCs w:val="17"/>
          <w:i w:val="1"/>
          <w:iCs w:val="1"/>
          <w:color w:val="auto"/>
        </w:rPr>
        <w:t xml:space="preserve"> </w:t>
      </w:r>
      <w:r>
        <w:rPr>
          <w:rFonts w:ascii="Arial" w:cs="Arial" w:eastAsia="Arial" w:hAnsi="Arial"/>
          <w:sz w:val="17"/>
          <w:szCs w:val="17"/>
          <w:color w:val="auto"/>
        </w:rPr>
        <w:t>supporting causes our employees care about to investing in the long-term success of the communities where we live and work. We work closely with counterparts in each of our plant and office locations across the United States and globally to identify local community needs and craft tailored approaches to provide support. This work includes forging partnerships with local non-governmental organizations, providing grants and contributions, and organizing volunteer service activities and employee fundraisers.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9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Hershey Company’s commitment to sustainability started with our founder’s belief in responsible citizenship. He was a purpose-driven leader who believed we could use chocolate to create goodness in the world. This belief resulted in strong investment in local communities and the establishment of the Milton Hershey School for disadvantaged kids. We continue that legacy today through our sustainability strategy “The Shared Goodness Promise” by operating the business with sustainable practices, sourcing ingredients responsibly, protecting our environment, making a difference in our communities and helping kids globally reach their full potential.</w:t>
      </w:r>
    </w:p>
    <w:p>
      <w:pPr>
        <w:spacing w:after="0" w:line="139"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 xml:space="preserve">To learn more about our sustainability goals, progress and initiatives, you can access the Sustainability section of our website at: </w:t>
      </w:r>
      <w:r>
        <w:rPr>
          <w:rFonts w:ascii="Arial" w:cs="Arial" w:eastAsia="Arial" w:hAnsi="Arial"/>
          <w:sz w:val="18"/>
          <w:szCs w:val="18"/>
          <w:u w:val="single" w:color="auto"/>
          <w:color w:val="auto"/>
        </w:rPr>
        <w:t>https://www.thehersheycompany.com/en_us/sustainability.html</w:t>
      </w:r>
      <w:r>
        <w:rPr>
          <w:rFonts w:ascii="Arial" w:cs="Arial" w:eastAsia="Arial" w:hAnsi="Arial"/>
          <w:sz w:val="18"/>
          <w:szCs w:val="18"/>
          <w:color w:val="auto"/>
        </w:rPr>
        <w:t xml:space="preserve">. In addition, we seek to provide investors with more information on topics identified as material by the Sustainability Accounting Standards Board ("SASB"). Our most recent Sustainability and SASB Reports are available at: </w:t>
      </w:r>
      <w:r>
        <w:rPr>
          <w:rFonts w:ascii="Arial" w:cs="Arial" w:eastAsia="Arial" w:hAnsi="Arial"/>
          <w:sz w:val="18"/>
          <w:szCs w:val="18"/>
          <w:u w:val="single" w:color="auto"/>
          <w:color w:val="auto"/>
        </w:rPr>
        <w:t>https://www.thehersheycompany.com/en_us/sustainability/csr-reports.html</w:t>
      </w:r>
      <w:r>
        <w:rPr>
          <w:rFonts w:ascii="Arial" w:cs="Arial" w:eastAsia="Arial" w:hAnsi="Arial"/>
          <w:sz w:val="18"/>
          <w:szCs w:val="18"/>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The Company's website address is </w:t>
      </w:r>
      <w:r>
        <w:rPr>
          <w:rFonts w:ascii="Arial" w:cs="Arial" w:eastAsia="Arial" w:hAnsi="Arial"/>
          <w:sz w:val="18"/>
          <w:szCs w:val="18"/>
          <w:u w:val="single" w:color="auto"/>
          <w:color w:val="auto"/>
        </w:rPr>
        <w:t>www.thehersheycompany.com</w:t>
      </w:r>
      <w:r>
        <w:rPr>
          <w:rFonts w:ascii="Arial" w:cs="Arial" w:eastAsia="Arial" w:hAnsi="Arial"/>
          <w:sz w:val="18"/>
          <w:szCs w:val="18"/>
          <w:color w:val="auto"/>
        </w:rPr>
        <w:t xml:space="preserve">. We file or furnish annual, quarterly and current reports, proxy statements and other information with the United States Securities and Exchange Commission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t>
      </w:r>
      <w:r>
        <w:rPr>
          <w:rFonts w:ascii="Arial" w:cs="Arial" w:eastAsia="Arial" w:hAnsi="Arial"/>
          <w:sz w:val="18"/>
          <w:szCs w:val="18"/>
          <w:u w:val="single" w:color="auto"/>
          <w:color w:val="auto"/>
        </w:rPr>
        <w:t>www.sec.gov</w:t>
      </w:r>
      <w:r>
        <w:rPr>
          <w:rFonts w:ascii="Arial" w:cs="Arial" w:eastAsia="Arial" w:hAnsi="Arial"/>
          <w:sz w:val="18"/>
          <w:szCs w:val="18"/>
          <w:color w:val="auto"/>
        </w:rPr>
        <w:t>. In addition, copies of the Company's annual report will be made available, free of charge, on written request to the Company.</w:t>
      </w:r>
    </w:p>
    <w:p>
      <w:pPr>
        <w:spacing w:after="0" w:line="139"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 xml:space="preserve">We have a Code of Conduct that applies to our Board of Directors (“Board”) and all Company officers and employees, including, without limitation, our Chief Executive Officer and “senior financial officers” (including the Chief Financial Officer, Chief Accounting Officer and persons performing similar functions). You can obtain a copy of our Code of Conduct, as well as our Corporate Governance Guidelines and charters for each of the Board’s standing committees, from the Investors section of our website at: </w:t>
      </w:r>
      <w:r>
        <w:rPr>
          <w:rFonts w:ascii="Arial" w:cs="Arial" w:eastAsia="Arial" w:hAnsi="Arial"/>
          <w:sz w:val="16"/>
          <w:szCs w:val="16"/>
          <w:u w:val="single" w:color="auto"/>
          <w:color w:val="auto"/>
        </w:rPr>
        <w:t>https://www.thehersheycompany.com/en_us/investors.html</w:t>
      </w:r>
      <w:r>
        <w:rPr>
          <w:rFonts w:ascii="Arial" w:cs="Arial" w:eastAsia="Arial" w:hAnsi="Arial"/>
          <w:sz w:val="16"/>
          <w:szCs w:val="16"/>
          <w:color w:val="auto"/>
        </w:rPr>
        <w:t>. If we change or waive any portion of the Code of Conduct that applies to any of our directors, executive officers or senior financial officers, we will post that information on our website. Information found on the Company's website is not part of this Annual Report on Form 10-K or any other report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960755</wp:posOffset>
            </wp:positionV>
            <wp:extent cx="194945" cy="169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9" w:name="page10"/>
    <w:bookmarkEnd w:id="9"/>
    <w:p>
      <w:pPr>
        <w:spacing w:after="0" w:line="54"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carefully read the following discussion of significant factors, events and uncertainties when evaluating our business and the forward-looking information contained in this Annual Report on Form 10-K. The events and consequences discussed in these risk factors could materially and adversely affect our business, operating results, liquidity and financial condition. While we believe we have identified and discussed below the key risk factors affecting our business, these risk factors do not identify all the risks we face, and there may be additional risks and uncertainties that we do not presently know or that we do not currently believe to be significant that may have a material adverse effect on our business, performance or financial condition in the future.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Macroeconomic Conditions</w:t>
      </w:r>
    </w:p>
    <w:p>
      <w:pPr>
        <w:spacing w:after="0" w:line="17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 such as, the current coronavirus disease 2019 ("COVID-19") global pandemic.</w:t>
      </w:r>
    </w:p>
    <w:p>
      <w:pPr>
        <w:spacing w:after="0" w:line="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operations are impacted by consumer spending levels, impulse purchases, the availability of our products at retail and our ability to manufacture, store and distribute products to our customers and consumers in an effective and efficient manner. The fear of exposure to or actual effects of a disease outbreak, epidemic, pandemic or similar widespread public health concern, such as the COVID-19 pandemic, could negatively impact our overall business and financial results. Specific factors that may impact our operations, some of which have had an unfavorable impact on our operations as a result of COVID-19, include, but are not limited to:</w:t>
      </w:r>
    </w:p>
    <w:p>
      <w:pPr>
        <w:spacing w:after="0" w:line="219" w:lineRule="exact"/>
        <w:rPr>
          <w:sz w:val="20"/>
          <w:szCs w:val="20"/>
          <w:color w:val="auto"/>
        </w:rPr>
      </w:pPr>
    </w:p>
    <w:p>
      <w:pPr>
        <w:ind w:left="640" w:right="20" w:hanging="314"/>
        <w:spacing w:after="0" w:line="25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reductions or volatility in demand for one or more of our products, which may be caused by, among other things: the temporary inability of consumers to purchase our products due to illness, quarantine or other travel restrictions, or financial hardship, shifts in demand away from one or more of our products, or pantry-loading activity; if prolonged, such impacts may further increase the difficulty of planning for operations and may negatively impact our results;</w:t>
      </w:r>
    </w:p>
    <w:p>
      <w:pPr>
        <w:spacing w:after="0" w:line="220" w:lineRule="exact"/>
        <w:rPr>
          <w:rFonts w:ascii="Arial" w:cs="Arial" w:eastAsia="Arial" w:hAnsi="Arial"/>
          <w:sz w:val="18"/>
          <w:szCs w:val="18"/>
          <w:color w:val="auto"/>
        </w:rPr>
      </w:pPr>
    </w:p>
    <w:p>
      <w:pPr>
        <w:ind w:left="640" w:right="640" w:hanging="314"/>
        <w:spacing w:after="0" w:line="26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reductions in the availability of one or more of our products as a result of retailers, common carriers or other shippers modifying restocking, fulfillment and shipping practices;</w:t>
      </w:r>
    </w:p>
    <w:p>
      <w:pPr>
        <w:spacing w:after="0" w:line="205" w:lineRule="exact"/>
        <w:rPr>
          <w:rFonts w:ascii="Arial" w:cs="Arial" w:eastAsia="Arial" w:hAnsi="Arial"/>
          <w:sz w:val="18"/>
          <w:szCs w:val="18"/>
          <w:color w:val="auto"/>
        </w:rPr>
      </w:pPr>
    </w:p>
    <w:p>
      <w:pPr>
        <w:ind w:left="640" w:right="460" w:hanging="314"/>
        <w:spacing w:after="0" w:line="25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meet our customers’ needs and achieve cost targets due to disruptions in our manufacturing operations or supply arrangements caused by the loss or disruption of essential manufacturing and supply elements such as raw materials or finished product components, transportation resources, workforce availability, or other manufacturing and distribution capability;</w:t>
      </w:r>
    </w:p>
    <w:p>
      <w:pPr>
        <w:spacing w:after="0" w:line="214" w:lineRule="exact"/>
        <w:rPr>
          <w:rFonts w:ascii="Arial" w:cs="Arial" w:eastAsia="Arial" w:hAnsi="Arial"/>
          <w:sz w:val="18"/>
          <w:szCs w:val="18"/>
          <w:color w:val="auto"/>
        </w:rPr>
      </w:pPr>
    </w:p>
    <w:p>
      <w:pPr>
        <w:ind w:left="640" w:right="140" w:hanging="314"/>
        <w:spacing w:after="0" w:line="25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effectively manage evolving health and welfare strategies, including but not limited to ongoing or not yet fully known costs related to operational adjustments to ensure continued employee and consumer safety and adherence to health guidelines as they are modified and supplemented;</w:t>
      </w:r>
    </w:p>
    <w:p>
      <w:pPr>
        <w:spacing w:after="0" w:line="214" w:lineRule="exact"/>
        <w:rPr>
          <w:rFonts w:ascii="Arial" w:cs="Arial" w:eastAsia="Arial" w:hAnsi="Arial"/>
          <w:sz w:val="18"/>
          <w:szCs w:val="18"/>
          <w:color w:val="auto"/>
        </w:rPr>
      </w:pPr>
    </w:p>
    <w:p>
      <w:pPr>
        <w:ind w:left="640" w:right="240" w:hanging="314"/>
        <w:spacing w:after="0" w:line="25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inability to effectively modify our trade promotion and advertising activities to reflect changing consumer viewing and shopping habits due to the cancellation or postponement of major sporting and entertainment events, reduced in-store visits, travel restrictions and a shift in customer advertising priorities, among other things;</w:t>
      </w:r>
    </w:p>
    <w:p>
      <w:pPr>
        <w:spacing w:after="0" w:line="214" w:lineRule="exact"/>
        <w:rPr>
          <w:rFonts w:ascii="Arial" w:cs="Arial" w:eastAsia="Arial" w:hAnsi="Arial"/>
          <w:sz w:val="18"/>
          <w:szCs w:val="18"/>
          <w:color w:val="auto"/>
        </w:rPr>
      </w:pPr>
    </w:p>
    <w:p>
      <w:pPr>
        <w:ind w:left="640" w:right="40" w:hanging="314"/>
        <w:spacing w:after="0" w:line="25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third parties on which we rely, including those third parties who supply our ingredients, packaging, capital equipment and other necessary operating materials, contract manufacturers, distributors, contractors, commercial banks and external business partners, to meet their obligations to the Company, or significant disruptions in their ability to do so, which may be caused by their own financial or operational difficulties and may negatively impact our operations; or</w:t>
      </w:r>
    </w:p>
    <w:p>
      <w:pPr>
        <w:spacing w:after="0" w:line="220" w:lineRule="exact"/>
        <w:rPr>
          <w:rFonts w:ascii="Arial" w:cs="Arial" w:eastAsia="Arial" w:hAnsi="Arial"/>
          <w:sz w:val="18"/>
          <w:szCs w:val="18"/>
          <w:color w:val="auto"/>
        </w:rPr>
      </w:pPr>
    </w:p>
    <w:p>
      <w:pPr>
        <w:ind w:left="640" w:right="380" w:hanging="314"/>
        <w:spacing w:after="0" w:line="25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the political conditions in markets in which we manufacture, sell or distribute our products, including quarantines, governmental or regulatory actions, closures or other restrictions that limit or close our operating and manufacturing facilities, restrict our employees’ ability to travel or perform necessary business functions, or otherwise prevent our third-party partners, suppliers, or customers from sufficiently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418465</wp:posOffset>
            </wp:positionV>
            <wp:extent cx="194945" cy="169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left="640" w:right="40"/>
        <w:spacing w:after="0" w:line="267" w:lineRule="auto"/>
        <w:rPr>
          <w:sz w:val="20"/>
          <w:szCs w:val="20"/>
          <w:color w:val="auto"/>
        </w:rPr>
      </w:pPr>
      <w:r>
        <w:rPr>
          <w:rFonts w:ascii="Arial" w:cs="Arial" w:eastAsia="Arial" w:hAnsi="Arial"/>
          <w:sz w:val="18"/>
          <w:szCs w:val="18"/>
          <w:color w:val="auto"/>
        </w:rPr>
        <w:t>staffing operations, including operations necessary for the production, distribution, sale, and support of our products, which could negatively impact our results.</w:t>
      </w:r>
    </w:p>
    <w:p>
      <w:pPr>
        <w:spacing w:after="0" w:line="20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With respect to COVID-19, the situation remains dynamic and subject to rapid and possibly material change. The Company's efforts to manage and mitigate these factors may be unsuccessful, and the effectiveness of these efforts depends on factors beyond our control, including the duration and severity of any disease outbreak, as well as third-party actions taken to contain its spread and mitigate public health effects.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Operations</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6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order to sell our iconic, branded products, we need to maintain a good reputation with our customers, consumers, suppliers, vendors and employees, among others. Issues related to the quality and safety of our products, ingredients or packaging could jeopardize our Company’s image and reputation. We have in the past and may in the future need to recall products if any of our products become unfit for consumption. Negative publicity related to these types of concerns, or related to product contamination or product tampering, whether valid or not, could decrease demand for our products or cause production and delivery disruptions. In addition, negative publicity related to our environmental, social or governance practices could also impact our reputation with customers, consumers, suppliers and vendors.</w:t>
      </w:r>
    </w:p>
    <w:p>
      <w:pPr>
        <w:spacing w:after="0" w:line="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in the past and in the future could potentially be subject to litigation or government actions as a result of issues or concerns relating to the quality and safety of our products, ingredients or packaging, human and workplace rights, and other environmental, social or governance matters, which could result in payments of fines or damages. Costs associated with these potential actions, as well as the potential impact on our reputation or ability to sell our products, could negatively affect our operating results.</w:t>
      </w:r>
    </w:p>
    <w:p>
      <w:pPr>
        <w:spacing w:after="0" w:line="140"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b w:val="1"/>
          <w:bCs w:val="1"/>
          <w:i w:val="1"/>
          <w:iCs w:val="1"/>
          <w:color w:val="auto"/>
        </w:rPr>
        <w:t>Disruption to our manufacturing operations or supply chain could impair our ability to produce or deliver finished products, resulting in a negative impact on our operating results.</w:t>
      </w:r>
    </w:p>
    <w:p>
      <w:pPr>
        <w:spacing w:after="0" w:line="59"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color w:val="auto"/>
        </w:rPr>
        <w:t>Approximately 72% of our manufacturing capacity is located in the United States. Disruption to our global manufacturing operations or our supply chain could result from, among other factors, the following:</w:t>
      </w:r>
    </w:p>
    <w:p>
      <w:pPr>
        <w:spacing w:after="0" w:line="59" w:lineRule="exact"/>
        <w:rPr>
          <w:sz w:val="20"/>
          <w:szCs w:val="20"/>
          <w:color w:val="auto"/>
        </w:rPr>
      </w:pPr>
    </w:p>
    <w:p>
      <w:pPr>
        <w:ind w:left="640" w:hanging="31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w:t>
      </w:r>
    </w:p>
    <w:p>
      <w:pPr>
        <w:spacing w:after="0" w:line="17" w:lineRule="exact"/>
        <w:rPr>
          <w:rFonts w:ascii="Arial" w:cs="Arial" w:eastAsia="Arial" w:hAnsi="Arial"/>
          <w:sz w:val="18"/>
          <w:szCs w:val="18"/>
          <w:color w:val="auto"/>
        </w:rPr>
      </w:pPr>
    </w:p>
    <w:p>
      <w:pPr>
        <w:ind w:left="640" w:hanging="31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Pandemic outbreak of disease;</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Climate change and severity of extreme weather;</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Fire or explosion;</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Terrorism or other acts of violence;</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strikes or other labor activities;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Unavailability of raw or packaging materials;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Operational and/or financial instability of key suppliers, and other vendors or service providers; and</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Suboptimal production planning which could impact our ability to cost-effectively meet product demand.</w:t>
      </w:r>
    </w:p>
    <w:p>
      <w:pPr>
        <w:spacing w:after="0" w:line="23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believe that we take adequate precautions to mitigate the impact of possible disruptions. We have strategies and plans in place to manage disruptive events if they were to occur, including our global supply chain strategies and our principle-based global labor relations strategy. If we are unable, or find that it is not financially feasible, to effectively plan for, mitigate or manage operational stability and business resiliency, particularly within our international markets and snacks portfolio, due to the potential impacts of such disruptive events on our manufacturing operations or supply chain, our financial condition and results of operations could be negatively impacted if such events were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663575</wp:posOffset>
            </wp:positionV>
            <wp:extent cx="194945" cy="169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4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 might not be able to hire, engage and retain the talented global workforce we need to drive our growth strategies.</w:t>
      </w:r>
    </w:p>
    <w:p>
      <w:pPr>
        <w:spacing w:after="0" w:line="100"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Our future success depends upon our ability to identify, hire, develop, engage and retain talented personnel across the globe. Competition for global talent is intense, and we might not be able to identify and hire the personnel we need to continue to evolve and grow our business. In particular, if we are unable to hire the right individuals to fill new or existing senior management positions as vacancies arise, our business performance may be impacted.</w:t>
      </w:r>
    </w:p>
    <w:p>
      <w:pPr>
        <w:spacing w:after="0" w:line="100" w:lineRule="exact"/>
        <w:rPr>
          <w:sz w:val="20"/>
          <w:szCs w:val="20"/>
          <w:color w:val="auto"/>
        </w:rPr>
      </w:pPr>
    </w:p>
    <w:p>
      <w:pPr>
        <w:ind w:right="360"/>
        <w:spacing w:after="0" w:line="297" w:lineRule="auto"/>
        <w:rPr>
          <w:sz w:val="20"/>
          <w:szCs w:val="20"/>
          <w:color w:val="auto"/>
        </w:rPr>
      </w:pPr>
      <w:r>
        <w:rPr>
          <w:rFonts w:ascii="Arial" w:cs="Arial" w:eastAsia="Arial" w:hAnsi="Arial"/>
          <w:sz w:val="17"/>
          <w:szCs w:val="17"/>
          <w:color w:val="auto"/>
        </w:rPr>
        <w:t>Activities related to identifying, recruiting, hiring and integrating qualified individuals require significant time and attention. We may also need to invest significant amounts of cash and equity to attract talented new employees, and we may never realize returns on these investments.</w:t>
      </w:r>
    </w:p>
    <w:p>
      <w:pPr>
        <w:spacing w:after="0" w:line="10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addition to hiring new employees, we must continue to focus on retaining and engaging the talented individuals we need to sustain our core business and lead our developing businesses into new markets, channels and categories. This may require significant investments in training, coaching and other career development and retention activities. If we are not able to effectively retain and grow our talent, our ability to achieve our strategic objectives will be adversely affected, which may impact our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Industry in Which We Operate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raw material and energy costs along with the availability of adequate supplies of raw materials could affect future financial results.</w:t>
      </w:r>
    </w:p>
    <w:p>
      <w:pPr>
        <w:spacing w:after="0" w:line="10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use many different commodities for our business, including cocoa products, sugar, corn products, dairy products, peanuts, almonds, natural gas and diesel fuel.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Commodities are subject to price volatility and changes in supply caused by numerous factors, including:</w:t>
      </w:r>
    </w:p>
    <w:p>
      <w:pPr>
        <w:spacing w:after="0" w:line="100" w:lineRule="exact"/>
        <w:rPr>
          <w:sz w:val="20"/>
          <w:szCs w:val="20"/>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Commodity market fluctuations;</w:t>
      </w:r>
    </w:p>
    <w:p>
      <w:pPr>
        <w:spacing w:after="0" w:line="17"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exchanges rates;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Imbalances between supply and demand;</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climate change and extreme weather on crop yield and quality;</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Speculative influences;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agreements among producing and consuming nations;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Supplier compliance with commitments;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Import/export requirements for raw materials and finished goods;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unrest in producing countries;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of living income premiums or similar requirements; and</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governmental agricultural programs and energy policies.</w:t>
      </w:r>
    </w:p>
    <w:p>
      <w:pPr>
        <w:spacing w:after="0" w:line="2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we use forward contracts and commodity futures and options contracts where possible to hedge commodity prices, commodity price increases ultimately result in corresponding increases in our raw material and energy costs. If we are unable to offset cost increases for major raw materials and energy, there could be a negative impact on our financial condition and results of operations.</w:t>
      </w:r>
    </w:p>
    <w:p>
      <w:pPr>
        <w:spacing w:after="0" w:line="135"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b w:val="1"/>
          <w:bCs w:val="1"/>
          <w:i w:val="1"/>
          <w:iCs w:val="1"/>
          <w:color w:val="auto"/>
        </w:rPr>
        <w:t>Price increases may not be sufficient to offset cost increases and maintain profitability or may result in sales volume declines associated with pricing elasticity.</w:t>
      </w:r>
    </w:p>
    <w:p>
      <w:pPr>
        <w:spacing w:after="0" w:line="4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We may be able to pass some or all raw material, energy and other input cost increases to customers by increasing the selling prices of our products or decreasing the size of our products; however, higher product prices or decreased product sizes may also result in a reduction in sales volume and/or consumption. If we are not able to increase our selling prices or reduce product sizes sufficiently, or in a timely manner, to offset increased raw material, energy or other input costs, including packaging, freight, direct labor, overhead and employee benefits, or if our sales volume decreases significantly, there could be a negative impact on our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418465</wp:posOffset>
            </wp:positionV>
            <wp:extent cx="194945" cy="169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Market demand for new and existing products could decline.</w:t>
      </w:r>
    </w:p>
    <w:p>
      <w:pPr>
        <w:spacing w:after="0" w:line="10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operate in highly competitive markets and rely on continued demand for our products. To generate revenues and profits, we must sell products that appeal to our customers and to consumers. Our continued success is impacted by many factors, including the following:</w:t>
      </w:r>
    </w:p>
    <w:p>
      <w:pPr>
        <w:spacing w:after="0" w:line="206" w:lineRule="exact"/>
        <w:rPr>
          <w:sz w:val="20"/>
          <w:szCs w:val="20"/>
          <w:color w:val="auto"/>
        </w:rPr>
      </w:pPr>
    </w:p>
    <w:p>
      <w:pPr>
        <w:ind w:left="640" w:hanging="31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retail execution;</w:t>
      </w:r>
    </w:p>
    <w:p>
      <w:pPr>
        <w:spacing w:after="0" w:line="17" w:lineRule="exact"/>
        <w:rPr>
          <w:rFonts w:ascii="Arial" w:cs="Arial" w:eastAsia="Arial" w:hAnsi="Arial"/>
          <w:sz w:val="18"/>
          <w:szCs w:val="18"/>
          <w:color w:val="auto"/>
        </w:rPr>
      </w:pPr>
    </w:p>
    <w:p>
      <w:pPr>
        <w:ind w:left="640" w:hanging="31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Appropriate advertising campaigns and marketing programs;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secure adequate shelf space at retail locations;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drive sustainable innovation and maintain a strong pipeline of new products in the confectionery and broader snacking categories;</w:t>
      </w:r>
    </w:p>
    <w:p>
      <w:pPr>
        <w:spacing w:after="0" w:line="29" w:lineRule="exact"/>
        <w:rPr>
          <w:rFonts w:ascii="Arial" w:cs="Arial" w:eastAsia="Arial" w:hAnsi="Arial"/>
          <w:sz w:val="16"/>
          <w:szCs w:val="16"/>
          <w:color w:val="auto"/>
        </w:rPr>
      </w:pPr>
    </w:p>
    <w:p>
      <w:pPr>
        <w:ind w:left="640" w:hanging="31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product category consumption;</w:t>
      </w:r>
    </w:p>
    <w:p>
      <w:pPr>
        <w:spacing w:after="0" w:line="6" w:lineRule="exact"/>
        <w:rPr>
          <w:rFonts w:ascii="Arial" w:cs="Arial" w:eastAsia="Arial" w:hAnsi="Arial"/>
          <w:sz w:val="18"/>
          <w:szCs w:val="18"/>
          <w:color w:val="auto"/>
        </w:rPr>
      </w:pPr>
    </w:p>
    <w:p>
      <w:pPr>
        <w:ind w:left="640" w:right="160" w:hanging="314"/>
        <w:spacing w:after="0" w:line="24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response to consumer demographics and trends, including but not limited to, trends relating to store trips and the impact of the growing digital commerce channel; and</w:t>
      </w:r>
    </w:p>
    <w:p>
      <w:pPr>
        <w:ind w:left="640" w:hanging="31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health concerns, including obesity and the consumption of certain ingredients.</w:t>
      </w:r>
    </w:p>
    <w:p>
      <w:pPr>
        <w:spacing w:after="0" w:line="2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There continues to be competitive product and pricing pressures in the markets where we operate, as well as challenges in maintaining profit margins. We must maintain mutually beneficial relationships with our key customers, including retailers and distributors, to compete effectively. Our largest customer, McLane Company, Inc., accounted for approximately 31% of our total net sales in 2020. McLane Company, Inc. is one of the largest wholesale distributors in the United States to convenience stores, drug stores, wholesale clubs and mass merchandisers, including Wal-Mart Stores, Inc.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marketplace competition could hurt our business.</w:t>
      </w:r>
    </w:p>
    <w:p>
      <w:pPr>
        <w:spacing w:after="0" w:line="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global confectionery packaged goods industry is intensely competitive and consolidation in this industry continues. Some of our competitors are large companies that have significant resources and substantial international operations. We continue to experience increased levels of in-store activity for other snack items, which has pressured confectionery category growth. In order to protect our existing market share or capture increased market share in this highly competitive retail environment, we may be required to increase expenditures for promotions and advertising, and must continue to introduce and establish new products. Due to inherent risks in the marketplace associated with advertising and new product introductions, including uncertainties about trade and consumer acceptance, increased expenditures may not prove successful in maintaining or enhancing our market share and could result in lower sales and profits. In addition, we may incur increased credit and other business risks because we operate in a highly competitive retail environment.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Strategic Initiatives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be adversely impacted by the failure to successfully execute or integrate acquisitions, divestitures and joint ventures.</w:t>
      </w:r>
    </w:p>
    <w:p>
      <w:pPr>
        <w:spacing w:after="0" w:line="12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From time to time, we may evaluate potential acquisitions, divestitures or joint ventures that align with our strategic objectives. The success of such activity depends, in part, upon our ability to identify suitable buyers, sellers or business partners; perform effective assessments prior to contract execution; negotiate contract terms; and, if applicable, obtain government approval. These activities may present certain financial, managerial, staffing and talent, and operational risks, including diversion of management’s attention from existing core businesses; difficulties integrating or separating businesses from existing operations; and challenges presented by acquisitions or joint ventures which may not achieve sales levels and profitability that justify the investments made. If the acquisitions, divestitures or joint ventures are not successfully implemented or completed, there could be a negative impact on our financial condition,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631825</wp:posOffset>
            </wp:positionV>
            <wp:extent cx="194945" cy="169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 w:name="page14"/>
    <w:bookmarkEnd w:id="13"/>
    <w:p>
      <w:pPr>
        <w:spacing w:after="0" w:line="285" w:lineRule="auto"/>
        <w:rPr>
          <w:sz w:val="20"/>
          <w:szCs w:val="20"/>
          <w:color w:val="auto"/>
        </w:rPr>
      </w:pPr>
      <w:r>
        <w:rPr>
          <w:rFonts w:ascii="Arial" w:cs="Arial" w:eastAsia="Arial" w:hAnsi="Arial"/>
          <w:sz w:val="16"/>
          <w:szCs w:val="16"/>
          <w:color w:val="auto"/>
        </w:rPr>
        <w:t xml:space="preserve">In 2020, we successfully completed the divestitures of Krave and the </w:t>
      </w:r>
      <w:r>
        <w:rPr>
          <w:rFonts w:ascii="Arial" w:cs="Arial" w:eastAsia="Arial" w:hAnsi="Arial"/>
          <w:sz w:val="16"/>
          <w:szCs w:val="16"/>
          <w:i w:val="1"/>
          <w:iCs w:val="1"/>
          <w:color w:val="auto"/>
        </w:rPr>
        <w:t>Scharffen Berger</w:t>
      </w:r>
      <w:r>
        <w:rPr>
          <w:rFonts w:ascii="Arial" w:cs="Arial" w:eastAsia="Arial" w:hAnsi="Arial"/>
          <w:sz w:val="16"/>
          <w:szCs w:val="16"/>
          <w:color w:val="auto"/>
        </w:rPr>
        <w:t xml:space="preserve"> and </w:t>
      </w:r>
      <w:r>
        <w:rPr>
          <w:rFonts w:ascii="Arial" w:cs="Arial" w:eastAsia="Arial" w:hAnsi="Arial"/>
          <w:sz w:val="16"/>
          <w:szCs w:val="16"/>
          <w:i w:val="1"/>
          <w:iCs w:val="1"/>
          <w:color w:val="auto"/>
        </w:rPr>
        <w:t>Dagoba</w:t>
      </w:r>
      <w:r>
        <w:rPr>
          <w:rFonts w:ascii="Arial" w:cs="Arial" w:eastAsia="Arial" w:hAnsi="Arial"/>
          <w:sz w:val="16"/>
          <w:szCs w:val="16"/>
          <w:color w:val="auto"/>
        </w:rPr>
        <w:t xml:space="preserve"> brands as we better prioritize resources against assets and brands that fit our business model and scale capabilities. Additionally, over the last several years, we have continued to invest in our snacks portfolio, specifically with the acquisitions of ONE Brands, LLC in September 2019, Pirate Brands in October 2018 and Amplify Snack Brands, Inc. in January 2018, respectively. While we believe significant operating synergies can be obtained in connection with these acquisitions, achievement of these synergies will be driven by our ability to successfully leverage Hershey's resources, expertise, capability-building, distribution locations and customer base. In addition, these acquisitions are important steps in our journey to expand our breadth in snacking, as they should enable us to bring scale and category management capabilities to a key sub-segment of the warehouse snack aisle. If we are unable to successfully couple Hershey’s scale and expertise in brand building with ONE Brands, Pirate Brands and Amplify's existing operations, it may impact our ability to expand our snacking footprint at our desired pace.</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international operations may not achieve projected growth objectives, which could adversely impact our overall business and results of operations.</w:t>
      </w:r>
    </w:p>
    <w:p>
      <w:pPr>
        <w:spacing w:after="0" w:line="21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2020, 2019 and 2018, respectively, we derived approximately 13.6%, 15.8% and 16.1% of our net sales from customers located outside of the United States. Additionally, approximately 20% of our total long-lived assets were located outside of the United States as of December 31, 2020. As part of our strategy, we have made investments outside of the United States, particularly in Canada, Malaysia, Mexico, Brazil and India. As a result, we are subject to risks and uncertainties relating to international sales and operations, including:</w:t>
      </w:r>
    </w:p>
    <w:p>
      <w:pPr>
        <w:spacing w:after="0" w:line="73" w:lineRule="exact"/>
        <w:rPr>
          <w:sz w:val="20"/>
          <w:szCs w:val="20"/>
          <w:color w:val="auto"/>
        </w:rPr>
      </w:pPr>
    </w:p>
    <w:p>
      <w:pPr>
        <w:ind w:left="640" w:right="560" w:hanging="314"/>
        <w:spacing w:after="0" w:line="268"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inability to manage operational stability and business resiliency within our international markets due to unforeseen global economic and environmental changes resulting in business interruption, supply constraints, inflation, deflation or decreased demand;</w:t>
      </w: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establish, develop and achieve market acceptance of our global brands in international markets;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and costs associated with compliance and enforcement of remedies under a wide variety of complex laws, treaties and regulations;</w:t>
      </w:r>
    </w:p>
    <w:p>
      <w:pPr>
        <w:spacing w:after="0" w:line="29" w:lineRule="exact"/>
        <w:rPr>
          <w:rFonts w:ascii="Arial" w:cs="Arial" w:eastAsia="Arial" w:hAnsi="Arial"/>
          <w:sz w:val="16"/>
          <w:szCs w:val="16"/>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environments;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economic instability, including the possibility of civil unrest, terrorism, mass violence or armed conflict;</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Nationalization of our properties by foreign governments;</w:t>
      </w:r>
    </w:p>
    <w:p>
      <w:pPr>
        <w:spacing w:after="0" w:line="6" w:lineRule="exact"/>
        <w:rPr>
          <w:rFonts w:ascii="Arial" w:cs="Arial" w:eastAsia="Arial" w:hAnsi="Arial"/>
          <w:sz w:val="18"/>
          <w:szCs w:val="18"/>
          <w:color w:val="auto"/>
        </w:rPr>
      </w:pPr>
    </w:p>
    <w:p>
      <w:pPr>
        <w:ind w:left="640" w:right="440" w:hanging="314"/>
        <w:spacing w:after="0" w:line="24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rates that may exceed those in the United States and earnings that may be subject to withholding requirements and incremental taxes upon repatriation;</w:t>
      </w: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tariffs, quotas, trade barriers, other trade protection measures and import or export licensing requirements;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costs, disruptions in shipping or reduced availability of freight transportation;</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currency exchange rate fluctuations between the U.S. dollar and foreign currencies;</w:t>
      </w:r>
    </w:p>
    <w:p>
      <w:pPr>
        <w:spacing w:after="0" w:line="6" w:lineRule="exact"/>
        <w:rPr>
          <w:rFonts w:ascii="Arial" w:cs="Arial" w:eastAsia="Arial" w:hAnsi="Arial"/>
          <w:sz w:val="18"/>
          <w:szCs w:val="18"/>
          <w:color w:val="auto"/>
        </w:rPr>
      </w:pPr>
    </w:p>
    <w:p>
      <w:pPr>
        <w:ind w:left="640" w:right="160" w:hanging="314"/>
        <w:spacing w:after="0" w:line="24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gain sufficient profitable scale in certain international markets resulting in an inability to cover manufacturing fixed costs or resulting in losses from impairment or sale of assets; and</w:t>
      </w: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recruit, retain and build a talented and engaged global workforce.</w:t>
      </w:r>
    </w:p>
    <w:p>
      <w:pPr>
        <w:spacing w:after="0" w:line="23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If we are not able to achieve our projected international growth objectives and mitigate the numerous risks and uncertainties associated with our international operations, there could be a negative impact on our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662940</wp:posOffset>
            </wp:positionV>
            <wp:extent cx="194945" cy="169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340" w:right="379" w:bottom="1440" w:gutter="0" w:footer="0" w:header="0"/>
        </w:sectPr>
      </w:pPr>
    </w:p>
    <w:bookmarkStart w:id="14" w:name="page15"/>
    <w:bookmarkEnd w:id="14"/>
    <w:p>
      <w:pPr>
        <w:spacing w:after="0" w:line="267" w:lineRule="auto"/>
        <w:rPr>
          <w:sz w:val="20"/>
          <w:szCs w:val="20"/>
          <w:color w:val="auto"/>
        </w:rPr>
      </w:pPr>
      <w:r>
        <w:rPr>
          <w:rFonts w:ascii="Arial" w:cs="Arial" w:eastAsia="Arial" w:hAnsi="Arial"/>
          <w:sz w:val="18"/>
          <w:szCs w:val="18"/>
          <w:b w:val="1"/>
          <w:bCs w:val="1"/>
          <w:i w:val="1"/>
          <w:iCs w:val="1"/>
          <w:color w:val="auto"/>
        </w:rPr>
        <w:t>We may not fully realize the expected costs savings and/or operating efficiencies associated with our strategic initiatives or restructuring programs, which may have an adverse impact on our business.</w:t>
      </w:r>
    </w:p>
    <w:p>
      <w:pPr>
        <w:spacing w:after="0" w:line="12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depend on our ability to evolve and grow, and as changes in our business environment occur, we may adjust our business plans by introducing new strategic initiatives or restructuring programs to meet these changes. Recently introduced strategic initiatives include our efforts to continue to expand our presence in digital commerce, to transform our manufacturing, commercial and corporate operations through digital technologies and to enhance our data analytics capabilities to develop new commercial insights. If we are not able to capture our share of the expanding digital commerce market, if we do not adequately leverage technology to improve operating efficiencies or if we are unable to develop the data analytics capabilities needed to generate actionable commercial insights, our business performance may be impacted, which may negatively impact our financial condition and results of operations.</w:t>
      </w:r>
    </w:p>
    <w:p>
      <w:pPr>
        <w:spacing w:after="0" w:line="115"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Additionally, from time to time we implement business realignment activities to support key strategic initiatives designed to maintain long-term sustainable growth, such as the International Optimization Program, which we commenced in the fourth quarter of 2020 and the Margin for Growth Program we commenced in the first quarter of 2017 and subsequently completed in mid-2020. These programs are intended to increase our operating effectiveness and efficiency, to reduce our costs and/or to generate savings that can be reinvested in other areas of our business. We cannot guarantee that we will be able to successfully implement these strategic initiatives and restructuring programs, that we will achieve or sustain the intended benefits under these programs, or that the benefits, even if achieved, will be adequate to meet our long-term growth and profitability expectations, which could in turn adversely affect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Governmental and Regulatory Changes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governmental laws and regulations could increase our costs and liabilities or impact demand for our products.</w:t>
      </w:r>
    </w:p>
    <w:p>
      <w:pPr>
        <w:spacing w:after="0" w:line="10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Changes in laws and regulations and the manner in which they are interpreted or applied may alter our business environment. These negative impacts could result from changes in food and drug laws, laws related to advertising and marketing practices, accounting standards, taxation requirements, competition laws, employment laws, import/export requirements and environmental laws, among others. It is possible that we could become subject to additional liabilities in the future resulting from changes in laws and regulations that could result in an adverse effect on our financial condition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economic and/or financial market conditions could negatively impact our financial results.</w:t>
      </w:r>
    </w:p>
    <w:p>
      <w:pPr>
        <w:spacing w:after="0" w:line="86" w:lineRule="exact"/>
        <w:rPr>
          <w:sz w:val="20"/>
          <w:szCs w:val="20"/>
          <w:color w:val="auto"/>
        </w:rPr>
      </w:pPr>
    </w:p>
    <w:p>
      <w:pPr>
        <w:ind w:right="360"/>
        <w:spacing w:after="0" w:line="295" w:lineRule="auto"/>
        <w:rPr>
          <w:sz w:val="20"/>
          <w:szCs w:val="20"/>
          <w:color w:val="auto"/>
        </w:rPr>
      </w:pPr>
      <w:r>
        <w:rPr>
          <w:rFonts w:ascii="Arial" w:cs="Arial" w:eastAsia="Arial" w:hAnsi="Arial"/>
          <w:sz w:val="16"/>
          <w:szCs w:val="16"/>
          <w:color w:val="auto"/>
        </w:rPr>
        <w:t>Our operations are impacted by consumer spending levels and impulse purchases, which are affected by general macroeconomic conditions, consumer confidence, employment levels, the availability of consumer credit and interest rates on that credit, consumer debt levels, energy costs and other factors. Volatility in food and energy costs, sustained global recessions, broad political instability, rising unemployment, pandemic outbreak of disease, climate change, weather, natural and other disasters and declines in personal spending could adversely impact our revenues, profitability and financial condition.</w:t>
      </w:r>
    </w:p>
    <w:p>
      <w:pPr>
        <w:spacing w:after="0" w:line="10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Changes in financial market conditions may make it difficult to access credit markets on commercially acceptable terms, which may reduce liquidity or increase borrowing costs for our Company, our customers and our suppliers. A significant reduction in liquidity could increase counterparty risk associated with certain suppliers and service providers, resulting in disruption to our supply chain and/or higher costs, and could impact our customers, resulting in a reduction in our revenue, or a possible increase in 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680720</wp:posOffset>
            </wp:positionV>
            <wp:extent cx="194945" cy="169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Risks Related to Digital Transformation, Cybersecurity and Data Privacy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failures or security breaches of our information technology infrastructure could have a negative impact on our operations.</w:t>
      </w:r>
    </w:p>
    <w:p>
      <w:pPr>
        <w:spacing w:after="0" w:line="111" w:lineRule="exact"/>
        <w:rPr>
          <w:sz w:val="20"/>
          <w:szCs w:val="20"/>
          <w:color w:val="auto"/>
        </w:rPr>
      </w:pPr>
    </w:p>
    <w:p>
      <w:pPr>
        <w:jc w:val="both"/>
        <w:ind w:right="680"/>
        <w:spacing w:after="0" w:line="257" w:lineRule="auto"/>
        <w:rPr>
          <w:sz w:val="20"/>
          <w:szCs w:val="20"/>
          <w:color w:val="auto"/>
        </w:rPr>
      </w:pPr>
      <w:r>
        <w:rPr>
          <w:rFonts w:ascii="Arial" w:cs="Arial" w:eastAsia="Arial" w:hAnsi="Arial"/>
          <w:sz w:val="18"/>
          <w:szCs w:val="18"/>
          <w:color w:val="auto"/>
        </w:rPr>
        <w:t>Information technology is critically important to our business operations. We use information technology to manage all business processes including manufacturing, financial, logistics, sales, marketing and administrative functions. These processes collect, interpret and distribute business data and communicate internally and externally with employees, suppliers, customers and others.</w:t>
      </w:r>
    </w:p>
    <w:p>
      <w:pPr>
        <w:spacing w:after="0" w:line="135" w:lineRule="exact"/>
        <w:rPr>
          <w:sz w:val="20"/>
          <w:szCs w:val="20"/>
          <w:color w:val="auto"/>
        </w:rPr>
      </w:pPr>
    </w:p>
    <w:p>
      <w:pPr>
        <w:ind w:right="100"/>
        <w:spacing w:after="0" w:line="333" w:lineRule="auto"/>
        <w:rPr>
          <w:sz w:val="20"/>
          <w:szCs w:val="20"/>
          <w:color w:val="auto"/>
        </w:rPr>
      </w:pPr>
      <w:r>
        <w:rPr>
          <w:rFonts w:ascii="Arial" w:cs="Arial" w:eastAsia="Arial" w:hAnsi="Arial"/>
          <w:sz w:val="14"/>
          <w:szCs w:val="14"/>
          <w:color w:val="auto"/>
        </w:rPr>
        <w:t>We are regularly the target of attempted cyber and other security threats. Therefore, we continuously monitor and update our information technology networks and infrastructure to prevent, detect, address and mitigate the risk of unauthorized access, misuse, computer viruses and other events that could have a security impact. We invest in industry standard security technology to protect the Company’s data and business processes against risk of data security breach and cyber attack. Our data security management program includes identity, trust, vulnerability and threat management business processes as well as adoption of standard data protection policies. We measure our data security effectiveness through industry-accepted methods and remediate significant findings. Additionally, we certify our major technology suppliers and any outsourced services through accepted security certification standards. We maintain and routinely test backup systems and disaster recovery, along with external network security penetration testing by an independent third party as part of our business resiliency preparedness. We also have processes in place to prevent disruptions resulting from our implementation of new software and systems.</w:t>
      </w:r>
    </w:p>
    <w:p>
      <w:pPr>
        <w:spacing w:after="0" w:line="30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While we have been subject to cyber attacks and other security breaches, these incidents did not have a significant impact on our business operations. We believe our security technology tools and processes provide adequate measures of protection against security breaches and in reducing cybersecurity risks. Nevertheless, despite continued vigilance in these areas, disruptions in or failures of information technology systems are possible and could have a negative impact on our operations or business reputation. Failure of our systems, including failures due to cyber attacks that would prevent the ability of systems to function as intended, could cause transaction errors, loss of customers and sales, and could have negative consequences to our Company, our employees and those with whom we do business. This in turn could have a negative impact on our financial condition and results or operations. In addition, the cost to remediate any damages to our information technology systems suffered as a result of a cyber attack could be significant.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Complications with the design or implementation of our new enterprise resource planning system could adversely impact our business and operations.</w:t>
      </w:r>
    </w:p>
    <w:p>
      <w:pPr>
        <w:spacing w:after="0" w:line="13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This ERP system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ERP system implementation process has required, and will continue to require, the investment of significant personnel and financial resources. We may not be able to successfully implement the ERP system without experiencing further delays, increased costs and other difficulties. We selectively paused certain aspects of the ERP system implementation due to resource constraints and challenges associated with the critical design phase during these uncertain times. We expect this to delay our overall ERP implementation by approximately one year. If we are unable to successfully design and implement the new ERP system as planned, our financial positions, results of operations and cash flows could be negatively impacted. Additionally, if we do not effectively implement the ERP system as planned or the ERP system does not operate as intended, the effectiveness of our internal control over financial reporting could be adversely affected or our ability to assess those controls adequately could be further delayed.</w:t>
      </w:r>
    </w:p>
    <w:p>
      <w:pPr>
        <w:spacing w:after="0" w:line="219"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434975</wp:posOffset>
            </wp:positionV>
            <wp:extent cx="194945" cy="169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6" w:name="page17"/>
    <w:bookmarkEnd w:id="16"/>
    <w:p>
      <w:pPr>
        <w:spacing w:after="0" w:line="54"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properties include the following:</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Country</w:t>
            </w:r>
          </w:p>
        </w:tc>
        <w:tc>
          <w:tcPr>
            <w:tcW w:w="100" w:type="dxa"/>
            <w:vAlign w:val="bottom"/>
            <w:vMerge w:val="restart"/>
          </w:tcPr>
          <w:p>
            <w:pPr>
              <w:spacing w:after="0"/>
              <w:rPr>
                <w:sz w:val="14"/>
                <w:szCs w:val="14"/>
                <w:color w:val="auto"/>
              </w:rPr>
            </w:pPr>
          </w:p>
        </w:tc>
        <w:tc>
          <w:tcPr>
            <w:tcW w:w="252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Location</w:t>
            </w:r>
          </w:p>
        </w:tc>
        <w:tc>
          <w:tcPr>
            <w:tcW w:w="100" w:type="dxa"/>
            <w:vAlign w:val="bottom"/>
            <w:vMerge w:val="restart"/>
          </w:tcPr>
          <w:p>
            <w:pPr>
              <w:spacing w:after="0"/>
              <w:rPr>
                <w:sz w:val="14"/>
                <w:szCs w:val="14"/>
                <w:color w:val="auto"/>
              </w:rPr>
            </w:pPr>
          </w:p>
        </w:tc>
        <w:tc>
          <w:tcPr>
            <w:tcW w:w="554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Type</w:t>
            </w:r>
          </w:p>
        </w:tc>
        <w:tc>
          <w:tcPr>
            <w:tcW w:w="100" w:type="dxa"/>
            <w:vAlign w:val="bottom"/>
            <w:vMerge w:val="restart"/>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186"/>
        </w:trPr>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(Own/Lease)</w:t>
            </w:r>
          </w:p>
        </w:tc>
        <w:tc>
          <w:tcPr>
            <w:tcW w:w="0" w:type="dxa"/>
            <w:vAlign w:val="bottom"/>
          </w:tcPr>
          <w:p>
            <w:pPr>
              <w:spacing w:after="0"/>
              <w:rPr>
                <w:sz w:val="1"/>
                <w:szCs w:val="1"/>
                <w:color w:val="auto"/>
              </w:rPr>
            </w:pPr>
          </w:p>
        </w:tc>
      </w:tr>
      <w:tr>
        <w:trPr>
          <w:trHeight w:val="169"/>
        </w:trPr>
        <w:tc>
          <w:tcPr>
            <w:tcW w:w="16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United States</w:t>
            </w:r>
          </w:p>
        </w:tc>
        <w:tc>
          <w:tcPr>
            <w:tcW w:w="26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Hershey, Pennsylvania</w:t>
            </w:r>
          </w:p>
        </w:tc>
        <w:tc>
          <w:tcPr>
            <w:tcW w:w="56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Manufacturing—confectionery products and pantry items</w:t>
            </w:r>
          </w:p>
        </w:tc>
        <w:tc>
          <w:tcPr>
            <w:tcW w:w="12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6"/>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 principal plants)</w:t>
            </w:r>
          </w:p>
        </w:tc>
        <w:tc>
          <w:tcPr>
            <w:tcW w:w="5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Lancaster, Pennsylvania</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Manufacturing—confectionery products</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7"/>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Hazleton, Pennsylvania</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Manufacturing—confectionery products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6"/>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Robinson, Illinois</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Manufacturing—confectionery products and pantry items</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7"/>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Stuarts Draft, Virginia</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Manufacturing—confectionery products and pantry items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6"/>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Edwardsville, Illinois</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Distribution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7"/>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Palmyra, Pennsylvania</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6"/>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Ogden, Utah</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Distribution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7"/>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Kennesaw, Georgia</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26"/>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Hershey, Pennsylvania</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Corporate administrative</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27"/>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New York</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26"/>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Brantford, Ontario</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Distribution</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Monterrey, Mexico</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Manufacturing—confectionery products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6"/>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El Salto, Mexico</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Manufacturing—confectionery products and pantry items</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Malaysia</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Johor, Malaysia</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Manufacturing—confectionery products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16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In addition to the locations indicated above, we also own or lease several other properties and buildings worldwide which we use for manufacturing, sales, distribution and administrative functions. Our facilities are well maintained and generally have adequate capacity to accommodate seasonal demands, changing product mixes and certain additional growth. We regularly improve our facilities to incorporate the latest technologies. The largest facilities are located in Hershey, Lancaster and Hazleton, Pennsylvania; Monterrey and El Salto, Mexico; and Stuarts Draft, Virginia. The U.S., Canada and Mexico facilities in the table above primarily support our North America segment, while the Malaysia facility primarily serves our International and Other segment. As discussed in </w:t>
      </w:r>
      <w:hyperlink w:anchor="page91">
        <w:r>
          <w:rPr>
            <w:rFonts w:ascii="Arial" w:cs="Arial" w:eastAsia="Arial" w:hAnsi="Arial"/>
            <w:sz w:val="17"/>
            <w:szCs w:val="17"/>
            <w:u w:val="single" w:color="auto"/>
            <w:color w:val="0000FF"/>
          </w:rPr>
          <w:t>Note 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we do not manage our assets on a segment basis given the integration of certain manufacturing, warehousing, distribution and other activities in support of our global operations.</w:t>
      </w:r>
    </w:p>
    <w:p>
      <w:pPr>
        <w:spacing w:after="0" w:line="21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LEGAL PROCEEDINGS</w:t>
      </w:r>
    </w:p>
    <w:p>
      <w:pPr>
        <w:spacing w:after="0" w:line="17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13"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443230</wp:posOffset>
            </wp:positionV>
            <wp:extent cx="194945" cy="169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SUPPLEMENTAL ITEM. INFORMATION ABOUT OUR EXECUTIVE OFFICERS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their positions and, as of February 12, 2021, their ages are set forth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762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Positions Held During the Last Five Years</w:t>
            </w:r>
          </w:p>
        </w:tc>
      </w:tr>
      <w:tr>
        <w:trPr>
          <w:trHeight w:val="227"/>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Michele G. Buck</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shd w:val="clear" w:color="auto" w:fill="CCEEFF"/>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6"/>
              </w:rPr>
              <w:t>Chairman of the Board, President and Chief Executive Officer (October 2019); President and Chief</w:t>
            </w:r>
          </w:p>
        </w:tc>
      </w:tr>
      <w:tr>
        <w:trPr>
          <w:trHeight w:val="213"/>
        </w:trPr>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 (March 2017); Executive Vice President, Chief Operating Officer (June 2016);</w:t>
            </w:r>
          </w:p>
        </w:tc>
      </w:tr>
      <w:tr>
        <w:trPr>
          <w:trHeight w:val="232"/>
        </w:trPr>
        <w:tc>
          <w:tcPr>
            <w:tcW w:w="2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President, North America (May 2013)</w:t>
            </w:r>
          </w:p>
        </w:tc>
      </w:tr>
      <w:tr>
        <w:trPr>
          <w:trHeight w:val="174"/>
        </w:trPr>
        <w:tc>
          <w:tcPr>
            <w:tcW w:w="284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Charles R. Raup</w:t>
            </w:r>
          </w:p>
        </w:tc>
        <w:tc>
          <w:tcPr>
            <w:tcW w:w="640" w:type="dxa"/>
            <w:vAlign w:val="bottom"/>
          </w:tcPr>
          <w:p>
            <w:pPr>
              <w:jc w:val="center"/>
              <w:spacing w:after="0" w:line="175" w:lineRule="exact"/>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5"/>
                <w:szCs w:val="15"/>
                <w:color w:val="auto"/>
              </w:rPr>
            </w:pPr>
          </w:p>
        </w:tc>
        <w:tc>
          <w:tcPr>
            <w:tcW w:w="7620" w:type="dxa"/>
            <w:vAlign w:val="bottom"/>
          </w:tcPr>
          <w:p>
            <w:pPr>
              <w:spacing w:after="0" w:line="175" w:lineRule="exact"/>
              <w:rPr>
                <w:sz w:val="20"/>
                <w:szCs w:val="20"/>
                <w:color w:val="auto"/>
              </w:rPr>
            </w:pPr>
            <w:r>
              <w:rPr>
                <w:rFonts w:ascii="Arial" w:cs="Arial" w:eastAsia="Arial" w:hAnsi="Arial"/>
                <w:sz w:val="18"/>
                <w:szCs w:val="18"/>
                <w:color w:val="auto"/>
                <w:w w:val="95"/>
              </w:rPr>
              <w:t>President, U.S. (January 2020); Vice President, U.S. CMG (June 2018); Vice President and General</w:t>
            </w:r>
          </w:p>
        </w:tc>
      </w:tr>
      <w:tr>
        <w:trPr>
          <w:trHeight w:val="173"/>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20" w:type="dxa"/>
            <w:vAlign w:val="bottom"/>
          </w:tcPr>
          <w:p>
            <w:pPr>
              <w:spacing w:after="0" w:line="173" w:lineRule="exact"/>
              <w:rPr>
                <w:sz w:val="20"/>
                <w:szCs w:val="20"/>
                <w:color w:val="auto"/>
              </w:rPr>
            </w:pPr>
            <w:r>
              <w:rPr>
                <w:rFonts w:ascii="Arial" w:cs="Arial" w:eastAsia="Arial" w:hAnsi="Arial"/>
                <w:sz w:val="18"/>
                <w:szCs w:val="18"/>
                <w:color w:val="auto"/>
                <w:w w:val="92"/>
              </w:rPr>
              <w:t>Manager, Chocolate (August 2017); Vice President and General Manager, Mexico (October 2015); Vice</w:t>
            </w:r>
          </w:p>
        </w:tc>
      </w:tr>
      <w:tr>
        <w:trPr>
          <w:trHeight w:val="225"/>
        </w:trPr>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President, Emerging Brands (November 2014)</w:t>
            </w:r>
          </w:p>
        </w:tc>
      </w:tr>
      <w:tr>
        <w:trPr>
          <w:trHeight w:val="228"/>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Reiman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CEEFF"/>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1"/>
              </w:rPr>
              <w:t>Senior Vice President, Chief Supply Chain Officer (June 2019); Vice President, Supply Chain Operations</w:t>
            </w:r>
          </w:p>
        </w:tc>
      </w:tr>
      <w:tr>
        <w:trPr>
          <w:trHeight w:val="213"/>
        </w:trPr>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4"/>
              </w:rPr>
              <w:t>(August 2018); Vice President, US Supply Chain Operations (July 2017); Vice President, International</w:t>
            </w:r>
          </w:p>
        </w:tc>
      </w:tr>
      <w:tr>
        <w:trPr>
          <w:trHeight w:val="213"/>
        </w:trPr>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5"/>
              </w:rPr>
              <w:t>Operations (May 2017); Vice President, AEMA Supply Chain Operations (October 2015); President,</w:t>
            </w:r>
          </w:p>
        </w:tc>
      </w:tr>
      <w:tr>
        <w:trPr>
          <w:trHeight w:val="232"/>
        </w:trPr>
        <w:tc>
          <w:tcPr>
            <w:tcW w:w="2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Global Logistics Excellence (January 2013)</w:t>
            </w:r>
          </w:p>
        </w:tc>
      </w:tr>
      <w:tr>
        <w:trPr>
          <w:trHeight w:val="174"/>
        </w:trPr>
        <w:tc>
          <w:tcPr>
            <w:tcW w:w="284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Kristen J. Riggs</w:t>
            </w:r>
          </w:p>
        </w:tc>
        <w:tc>
          <w:tcPr>
            <w:tcW w:w="640" w:type="dxa"/>
            <w:vAlign w:val="bottom"/>
          </w:tcPr>
          <w:p>
            <w:pPr>
              <w:jc w:val="center"/>
              <w:spacing w:after="0" w:line="175" w:lineRule="exact"/>
              <w:rPr>
                <w:sz w:val="20"/>
                <w:szCs w:val="20"/>
                <w:color w:val="auto"/>
              </w:rPr>
            </w:pPr>
            <w:r>
              <w:rPr>
                <w:rFonts w:ascii="Arial" w:cs="Arial" w:eastAsia="Arial" w:hAnsi="Arial"/>
                <w:sz w:val="18"/>
                <w:szCs w:val="18"/>
                <w:color w:val="auto"/>
                <w:w w:val="89"/>
              </w:rPr>
              <w:t>42</w:t>
            </w:r>
          </w:p>
        </w:tc>
        <w:tc>
          <w:tcPr>
            <w:tcW w:w="120" w:type="dxa"/>
            <w:vAlign w:val="bottom"/>
          </w:tcPr>
          <w:p>
            <w:pPr>
              <w:spacing w:after="0"/>
              <w:rPr>
                <w:sz w:val="15"/>
                <w:szCs w:val="15"/>
                <w:color w:val="auto"/>
              </w:rPr>
            </w:pPr>
          </w:p>
        </w:tc>
        <w:tc>
          <w:tcPr>
            <w:tcW w:w="7620" w:type="dxa"/>
            <w:vAlign w:val="bottom"/>
          </w:tcPr>
          <w:p>
            <w:pPr>
              <w:spacing w:after="0" w:line="175" w:lineRule="exact"/>
              <w:rPr>
                <w:sz w:val="20"/>
                <w:szCs w:val="20"/>
                <w:color w:val="auto"/>
              </w:rPr>
            </w:pPr>
            <w:r>
              <w:rPr>
                <w:rFonts w:ascii="Arial" w:cs="Arial" w:eastAsia="Arial" w:hAnsi="Arial"/>
                <w:sz w:val="18"/>
                <w:szCs w:val="18"/>
                <w:color w:val="auto"/>
                <w:w w:val="94"/>
              </w:rPr>
              <w:t>Senior Vice President, Chief Growth Officer (January 2020); Vice President, Innovation and Strategic</w:t>
            </w:r>
          </w:p>
        </w:tc>
      </w:tr>
      <w:tr>
        <w:trPr>
          <w:trHeight w:val="173"/>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20" w:type="dxa"/>
            <w:vAlign w:val="bottom"/>
          </w:tcPr>
          <w:p>
            <w:pPr>
              <w:spacing w:after="0" w:line="173" w:lineRule="exact"/>
              <w:rPr>
                <w:sz w:val="20"/>
                <w:szCs w:val="20"/>
                <w:color w:val="auto"/>
              </w:rPr>
            </w:pPr>
            <w:r>
              <w:rPr>
                <w:rFonts w:ascii="Arial" w:cs="Arial" w:eastAsia="Arial" w:hAnsi="Arial"/>
                <w:sz w:val="18"/>
                <w:szCs w:val="18"/>
                <w:color w:val="auto"/>
                <w:w w:val="91"/>
              </w:rPr>
              <w:t>Growth Platforms (September 2019); Vice President, Commercial Planning (June 2018); Vice President,</w:t>
            </w:r>
          </w:p>
        </w:tc>
      </w:tr>
      <w:tr>
        <w:trPr>
          <w:trHeight w:val="173"/>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20" w:type="dxa"/>
            <w:vAlign w:val="bottom"/>
          </w:tcPr>
          <w:p>
            <w:pPr>
              <w:spacing w:after="0" w:line="173" w:lineRule="exact"/>
              <w:rPr>
                <w:sz w:val="20"/>
                <w:szCs w:val="20"/>
                <w:color w:val="auto"/>
              </w:rPr>
            </w:pPr>
            <w:r>
              <w:rPr>
                <w:rFonts w:ascii="Arial" w:cs="Arial" w:eastAsia="Arial" w:hAnsi="Arial"/>
                <w:sz w:val="18"/>
                <w:szCs w:val="18"/>
                <w:color w:val="auto"/>
                <w:w w:val="91"/>
              </w:rPr>
              <w:t>Brand Commercialization (July 2017); Senior Director, Reese’s (October 2015); Team Lead, Sam’s Club</w:t>
            </w:r>
          </w:p>
        </w:tc>
      </w:tr>
      <w:tr>
        <w:trPr>
          <w:trHeight w:val="225"/>
        </w:trPr>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(September 2013)</w:t>
            </w:r>
          </w:p>
        </w:tc>
      </w:tr>
      <w:tr>
        <w:trPr>
          <w:trHeight w:val="175"/>
        </w:trPr>
        <w:tc>
          <w:tcPr>
            <w:tcW w:w="284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8"/>
                <w:szCs w:val="18"/>
                <w:color w:val="auto"/>
              </w:rPr>
              <w:t>Christopher M. Scalia</w:t>
            </w:r>
          </w:p>
        </w:tc>
        <w:tc>
          <w:tcPr>
            <w:tcW w:w="64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5"/>
                <w:szCs w:val="15"/>
                <w:color w:val="auto"/>
              </w:rPr>
            </w:pPr>
          </w:p>
        </w:tc>
        <w:tc>
          <w:tcPr>
            <w:tcW w:w="76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w w:val="93"/>
              </w:rPr>
              <w:t>Senior Vice President, Chief Human Resources Officer (January 2020); Vice President, Global Human</w:t>
            </w:r>
          </w:p>
        </w:tc>
      </w:tr>
      <w:tr>
        <w:trPr>
          <w:trHeight w:val="226"/>
        </w:trPr>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8"/>
              </w:rPr>
              <w:t>Resources (March 2018); Vice President, Talent, HR Operations and Analytics (December 2014)</w:t>
            </w:r>
          </w:p>
        </w:tc>
      </w:tr>
      <w:tr>
        <w:trPr>
          <w:trHeight w:val="174"/>
        </w:trPr>
        <w:tc>
          <w:tcPr>
            <w:tcW w:w="2840" w:type="dxa"/>
            <w:vAlign w:val="bottom"/>
            <w:gridSpan w:val="2"/>
          </w:tcPr>
          <w:p>
            <w:pPr>
              <w:ind w:left="20"/>
              <w:spacing w:after="0" w:line="174" w:lineRule="exact"/>
              <w:rPr>
                <w:sz w:val="20"/>
                <w:szCs w:val="20"/>
                <w:color w:val="auto"/>
              </w:rPr>
            </w:pPr>
            <w:r>
              <w:rPr>
                <w:rFonts w:ascii="Arial" w:cs="Arial" w:eastAsia="Arial" w:hAnsi="Arial"/>
                <w:sz w:val="16"/>
                <w:szCs w:val="16"/>
                <w:color w:val="auto"/>
              </w:rPr>
              <w:t xml:space="preserve">Steven E. Voskuil </w:t>
            </w:r>
            <w:r>
              <w:rPr>
                <w:rFonts w:ascii="Arial" w:cs="Arial" w:eastAsia="Arial" w:hAnsi="Arial"/>
                <w:sz w:val="20"/>
                <w:szCs w:val="20"/>
                <w:color w:val="auto"/>
                <w:vertAlign w:val="superscript"/>
              </w:rPr>
              <w:t>(1)</w:t>
            </w:r>
          </w:p>
        </w:tc>
        <w:tc>
          <w:tcPr>
            <w:tcW w:w="640" w:type="dxa"/>
            <w:vAlign w:val="bottom"/>
          </w:tcPr>
          <w:p>
            <w:pPr>
              <w:jc w:val="center"/>
              <w:spacing w:after="0" w:line="175" w:lineRule="exact"/>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5"/>
                <w:szCs w:val="15"/>
                <w:color w:val="auto"/>
              </w:rPr>
            </w:pPr>
          </w:p>
        </w:tc>
        <w:tc>
          <w:tcPr>
            <w:tcW w:w="7620" w:type="dxa"/>
            <w:vAlign w:val="bottom"/>
          </w:tcPr>
          <w:p>
            <w:pPr>
              <w:spacing w:after="0" w:line="175" w:lineRule="exact"/>
              <w:rPr>
                <w:sz w:val="20"/>
                <w:szCs w:val="20"/>
                <w:color w:val="auto"/>
              </w:rPr>
            </w:pPr>
            <w:r>
              <w:rPr>
                <w:rFonts w:ascii="Arial" w:cs="Arial" w:eastAsia="Arial" w:hAnsi="Arial"/>
                <w:sz w:val="18"/>
                <w:szCs w:val="18"/>
                <w:color w:val="auto"/>
                <w:w w:val="94"/>
              </w:rPr>
              <w:t>Senior Vice President, Chief Financial Officer and Chief Accounting Officer (November 2019); Senior</w:t>
            </w:r>
          </w:p>
        </w:tc>
      </w:tr>
      <w:tr>
        <w:trPr>
          <w:trHeight w:val="224"/>
        </w:trPr>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Vice President, Chief Financial Officer (May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the above-named officers of our Company.</w:t>
      </w:r>
    </w:p>
    <w:p>
      <w:pPr>
        <w:spacing w:after="0" w:line="246" w:lineRule="exact"/>
        <w:rPr>
          <w:sz w:val="20"/>
          <w:szCs w:val="20"/>
          <w:color w:val="auto"/>
        </w:rPr>
      </w:pPr>
    </w:p>
    <w:p>
      <w:pPr>
        <w:ind w:left="440" w:right="460" w:hanging="393"/>
        <w:spacing w:after="0" w:line="267" w:lineRule="auto"/>
        <w:tabs>
          <w:tab w:leader="none" w:pos="4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Voskuil was elected Senior Vice President, Chief Financial Officer effective May 13, 2019. Prior to joining our Company he was Senior Vice President and Chief Financial Officer at Avanos Medical, Inc. (November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generally elected each year at the organization meeting of the Board in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443230</wp:posOffset>
            </wp:positionV>
            <wp:extent cx="194945" cy="169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47" w:right="359" w:bottom="1440" w:gutter="0" w:footer="0" w:header="0"/>
        </w:sectPr>
      </w:pPr>
    </w:p>
    <w:bookmarkStart w:id="18" w:name="page19"/>
    <w:bookmarkEnd w:id="18"/>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166" w:lineRule="exact"/>
        <w:rPr>
          <w:sz w:val="20"/>
          <w:szCs w:val="20"/>
          <w:color w:val="auto"/>
        </w:rPr>
      </w:pPr>
    </w:p>
    <w:p>
      <w:pPr>
        <w:ind w:left="760" w:right="440" w:hanging="839"/>
        <w:spacing w:after="0" w:line="267" w:lineRule="auto"/>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13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Common Stock is listed and traded principally on the New York Stock Exchange under the ticker symbol “HSY.” The Class B Common Stock (“Class B Stock”) is not publicly traded.</w:t>
      </w:r>
    </w:p>
    <w:p>
      <w:pPr>
        <w:spacing w:after="0" w:line="126" w:lineRule="exact"/>
        <w:rPr>
          <w:sz w:val="20"/>
          <w:szCs w:val="20"/>
          <w:color w:val="auto"/>
        </w:rPr>
      </w:pPr>
    </w:p>
    <w:p>
      <w:pPr>
        <w:ind w:right="580"/>
        <w:spacing w:after="0" w:line="267" w:lineRule="auto"/>
        <w:rPr>
          <w:sz w:val="20"/>
          <w:szCs w:val="20"/>
          <w:color w:val="auto"/>
        </w:rPr>
      </w:pPr>
      <w:r>
        <w:rPr>
          <w:rFonts w:ascii="Arial" w:cs="Arial" w:eastAsia="Arial" w:hAnsi="Arial"/>
          <w:sz w:val="18"/>
          <w:szCs w:val="18"/>
          <w:color w:val="auto"/>
        </w:rPr>
        <w:t>The closing price of our Common Stock on December 31, 2020, was $152.33. There were 25,253 stockholders of record of our Common Stock and 6 stockholders of record of our Class B Stock as of December 31, 2020.</w:t>
      </w:r>
    </w:p>
    <w:p>
      <w:pPr>
        <w:spacing w:after="0" w:line="126"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color w:val="auto"/>
        </w:rPr>
        <w:t>We paid $640.7 million in cash dividends on our Common Stock and Class B Stock in 2020 and $610.3 million in 2019. The annual dividend rate on our Common Stock in 2020 was $3.154 per share.</w:t>
      </w:r>
    </w:p>
    <w:p>
      <w:pPr>
        <w:spacing w:after="0" w:line="126" w:lineRule="exact"/>
        <w:rPr>
          <w:sz w:val="20"/>
          <w:szCs w:val="20"/>
          <w:color w:val="auto"/>
        </w:rPr>
      </w:pPr>
    </w:p>
    <w:p>
      <w:pPr>
        <w:ind w:right="420"/>
        <w:spacing w:after="0" w:line="267" w:lineRule="auto"/>
        <w:rPr>
          <w:rFonts w:ascii="Arial" w:cs="Arial" w:eastAsia="Arial" w:hAnsi="Arial"/>
          <w:sz w:val="18"/>
          <w:szCs w:val="18"/>
          <w:color w:val="auto"/>
        </w:rPr>
      </w:pPr>
      <w:r>
        <w:rPr>
          <w:rFonts w:ascii="Arial" w:cs="Arial" w:eastAsia="Arial" w:hAnsi="Arial"/>
          <w:sz w:val="18"/>
          <w:szCs w:val="18"/>
          <w:color w:val="auto"/>
        </w:rPr>
        <w:t xml:space="preserve">Information regarding dividends paid and the quarterly high and low market prices for our Common Stock and dividends paid for our Class B Common Stock for the two most recent fiscal years is disclosed in </w:t>
      </w:r>
      <w:hyperlink w:anchor="page99">
        <w:r>
          <w:rPr>
            <w:rFonts w:ascii="Arial" w:cs="Arial" w:eastAsia="Arial" w:hAnsi="Arial"/>
            <w:sz w:val="18"/>
            <w:szCs w:val="18"/>
            <w:u w:val="single" w:color="auto"/>
            <w:color w:val="0000FF"/>
          </w:rPr>
          <w:t>Note 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 2021, our Board declared a quarterly dividend of $0.804 per share of Common Stock payable on March 15, 2021, to stockholders of record as of February 19, 2021. It is the Company’s 365th consecutive quarterly Common Stock dividend. A quarterly dividend of $0.731 per share of Class B Stock also was declared.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6" w:lineRule="exact"/>
        <w:rPr>
          <w:sz w:val="20"/>
          <w:szCs w:val="20"/>
          <w:color w:val="auto"/>
        </w:rPr>
      </w:pPr>
    </w:p>
    <w:p>
      <w:pPr>
        <w:ind w:right="640"/>
        <w:spacing w:after="0" w:line="330" w:lineRule="auto"/>
        <w:rPr>
          <w:sz w:val="20"/>
          <w:szCs w:val="20"/>
          <w:color w:val="auto"/>
        </w:rPr>
      </w:pPr>
      <w:r>
        <w:rPr>
          <w:rFonts w:ascii="Arial" w:cs="Arial" w:eastAsia="Arial" w:hAnsi="Arial"/>
          <w:sz w:val="16"/>
          <w:szCs w:val="16"/>
          <w:color w:val="auto"/>
        </w:rPr>
        <w:t>In July 2018, our Board of Directors approved a $500 million share repurchase authorization. As of December 31, 2020, approximately $260 million remained available for repurchases of our Common Stock under this program. The share repurchase program does not have an expiration date.</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November 2018, the Company entered into a Stock Purchase Agreement with Hershey Trust Company, as trustee for the Trust, pursuant to which the Company purchased 450,000 shares of the Company’s common stock from the Trust at a price equal to $106.30 per share, for a total purchase price of $47.8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668655</wp:posOffset>
            </wp:positionV>
            <wp:extent cx="194945" cy="169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41" w:right="359" w:bottom="1440" w:gutter="0" w:footer="0" w:header="0"/>
        </w:sectPr>
      </w:pPr>
    </w:p>
    <w:bookmarkStart w:id="19" w:name="page20"/>
    <w:bookmarkEnd w:id="19"/>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Return Performance Graph</w:t>
      </w:r>
    </w:p>
    <w:p>
      <w:pPr>
        <w:spacing w:after="0" w:line="9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The following graph compares our cumulative total stockholder return (Common Stock price appreciation plus dividends, on a reinvested basis) over the last five fiscal years with the Standard &amp; Poor’s 500 Index and the Standard &amp; Poor’s Packaged Foods Index.</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Among The Hershey Company, the S&amp;P 500 Index,</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the S&amp;P Packaged Foods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1036955</wp:posOffset>
            </wp:positionH>
            <wp:positionV relativeFrom="paragraph">
              <wp:posOffset>64135</wp:posOffset>
            </wp:positionV>
            <wp:extent cx="5077460" cy="2818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77460" cy="281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invested on December 31, 2015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9"/>
        </w:trPr>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Company/Index</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2020</w:t>
            </w:r>
          </w:p>
        </w:tc>
      </w:tr>
      <w:tr>
        <w:trPr>
          <w:trHeight w:val="222"/>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Hershey Company</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6"/>
        </w:trPr>
        <w:tc>
          <w:tcPr>
            <w:tcW w:w="4340" w:type="dxa"/>
            <w:vAlign w:val="bottom"/>
            <w:gridSpan w:val="2"/>
          </w:tcPr>
          <w:p>
            <w:pPr>
              <w:spacing w:after="0"/>
              <w:rPr>
                <w:sz w:val="20"/>
                <w:szCs w:val="20"/>
                <w:color w:val="auto"/>
              </w:rPr>
            </w:pPr>
            <w:r>
              <w:rPr>
                <w:rFonts w:ascii="Arial" w:cs="Arial" w:eastAsia="Arial" w:hAnsi="Arial"/>
                <w:sz w:val="18"/>
                <w:szCs w:val="18"/>
                <w:color w:val="auto"/>
              </w:rPr>
              <w:t>S&amp;P 500 Index</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7"/>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S&amp;P 500 Packaged Foods Index</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595630</wp:posOffset>
            </wp:positionV>
            <wp:extent cx="194945" cy="169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ind w:left="20"/>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FIVE-YEAR CONSOLIDATED FINANCIAL SUMMARY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(All dollar and share amounts in thousands except market price and per share statistics)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8"/>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Summary of Operations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8,149,719</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7,986,252</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7,791,069</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7,515,426</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7,440,181</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4,448,450</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4,363,774</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4,215,744</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4,060,050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4,270,642</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marketing and administrative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1,890,925</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1,905,929</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1,874,829</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1,885,492</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1,891,305</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color w:val="auto"/>
              </w:rPr>
              <w:t>Goodwill, long-lived &amp; intangible asset impairment charges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9,143</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112,485</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57,729</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208,712</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4,204</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Business realignment costs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18,503</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19,103</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47,763</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18,857</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149,374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144,125</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138,837</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98,282</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90,143</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219,584</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234,032</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239,010</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354,131</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379,437</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color w:val="auto"/>
              </w:rPr>
              <w:t>Net income attributable to The Hershey Company</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1,278,708</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1,149,692</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1,177,562</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782,981</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720,044</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20" w:type="dxa"/>
            <w:vAlign w:val="bottom"/>
          </w:tcPr>
          <w:p>
            <w:pPr>
              <w:ind w:left="140"/>
              <w:spacing w:after="0"/>
              <w:rPr>
                <w:sz w:val="20"/>
                <w:szCs w:val="20"/>
                <w:color w:val="auto"/>
              </w:rPr>
            </w:pPr>
            <w:r>
              <w:rPr>
                <w:rFonts w:ascii="Arial" w:cs="Arial" w:eastAsia="Arial" w:hAnsi="Arial"/>
                <w:sz w:val="14"/>
                <w:szCs w:val="14"/>
                <w:color w:val="auto"/>
              </w:rPr>
              <w:t>—Basic—common stock</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5.64</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—Diluted—common stock</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84"/>
        </w:trPr>
        <w:tc>
          <w:tcPr>
            <w:tcW w:w="4920" w:type="dxa"/>
            <w:vAlign w:val="bottom"/>
          </w:tcPr>
          <w:p>
            <w:pPr>
              <w:ind w:left="140"/>
              <w:spacing w:after="0"/>
              <w:rPr>
                <w:sz w:val="20"/>
                <w:szCs w:val="20"/>
                <w:color w:val="auto"/>
              </w:rPr>
            </w:pPr>
            <w:r>
              <w:rPr>
                <w:rFonts w:ascii="Arial" w:cs="Arial" w:eastAsia="Arial" w:hAnsi="Arial"/>
                <w:sz w:val="14"/>
                <w:szCs w:val="14"/>
                <w:color w:val="auto"/>
              </w:rPr>
              <w:t>—Basic—Class B stock</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—Diluted—Class B stock</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color w:val="auto"/>
              </w:rPr>
              <w:t>Weighted-average shares outstanding: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—Basic—common stock</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147,832</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148,841</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149,379</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151,625</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153,519</w:t>
            </w:r>
          </w:p>
        </w:tc>
        <w:tc>
          <w:tcPr>
            <w:tcW w:w="0" w:type="dxa"/>
            <w:vAlign w:val="bottom"/>
          </w:tcPr>
          <w:p>
            <w:pPr>
              <w:spacing w:after="0"/>
              <w:rPr>
                <w:sz w:val="1"/>
                <w:szCs w:val="1"/>
                <w:color w:val="auto"/>
              </w:rPr>
            </w:pPr>
          </w:p>
        </w:tc>
      </w:tr>
      <w:tr>
        <w:trPr>
          <w:trHeight w:val="184"/>
        </w:trPr>
        <w:tc>
          <w:tcPr>
            <w:tcW w:w="4920" w:type="dxa"/>
            <w:vAlign w:val="bottom"/>
          </w:tcPr>
          <w:p>
            <w:pPr>
              <w:ind w:left="140"/>
              <w:spacing w:after="0"/>
              <w:rPr>
                <w:sz w:val="20"/>
                <w:szCs w:val="20"/>
                <w:color w:val="auto"/>
              </w:rPr>
            </w:pPr>
            <w:r>
              <w:rPr>
                <w:rFonts w:ascii="Arial" w:cs="Arial" w:eastAsia="Arial" w:hAnsi="Arial"/>
                <w:sz w:val="14"/>
                <w:szCs w:val="14"/>
                <w:color w:val="auto"/>
              </w:rPr>
              <w:t>—Basic—Class B stock</w:t>
            </w:r>
          </w:p>
        </w:tc>
        <w:tc>
          <w:tcPr>
            <w:tcW w:w="26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60,614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60,614</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60,614</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60,620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60,620</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—Diluted—common stock</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209,414</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210,702</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210,989</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213,742</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215,304</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color w:val="auto"/>
              </w:rPr>
              <w:t>Dividends paid on common stock</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466,777</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445,618</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412,491</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387,466</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369,292</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3.154</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2.990</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color w:val="auto"/>
              </w:rPr>
              <w:t>Dividends paid on Class B stock</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173,719</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164,627</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151,789</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140,394</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132,394</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2.866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2.316</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219,021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218,096</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231,012</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211,592</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231,735</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75,886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73,448</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64,132</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50,261</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70,102</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516,936</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513,302</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479,908</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541,293</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521,479</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Year-End Position and Statistics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color w:val="auto"/>
              </w:rPr>
              <w:t>Capital additions (including software)</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441,626</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318,192</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328,601</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257,675</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269,476</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9,131,845</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8,140,395</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7,703,020</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5,553,726</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5,524,333</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512,870</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735,672</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1,203,316</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859,457</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632,714</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portion of debt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4,089,755</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3,530,813</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3,254,280</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2,061,023</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2,347,455</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2,237,883</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1,744,994</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1,407,266</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931,565</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827,687</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Full-time employees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15,200</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14,520</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14,930</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15,360</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16,300</w:t>
            </w:r>
          </w:p>
        </w:tc>
        <w:tc>
          <w:tcPr>
            <w:tcW w:w="0" w:type="dxa"/>
            <w:vAlign w:val="bottom"/>
          </w:tcPr>
          <w:p>
            <w:pPr>
              <w:spacing w:after="0"/>
              <w:rPr>
                <w:sz w:val="1"/>
                <w:szCs w:val="1"/>
                <w:color w:val="auto"/>
              </w:rPr>
            </w:pPr>
          </w:p>
        </w:tc>
      </w:tr>
      <w:tr>
        <w:trPr>
          <w:trHeight w:val="186"/>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Stockholders’ Data</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shares of common stock and Class B common stock at year-end</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208,227</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208,829</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209,729</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210,861</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212,260</w:t>
            </w:r>
          </w:p>
        </w:tc>
        <w:tc>
          <w:tcPr>
            <w:tcW w:w="0" w:type="dxa"/>
            <w:vAlign w:val="bottom"/>
          </w:tcPr>
          <w:p>
            <w:pPr>
              <w:spacing w:after="0"/>
              <w:rPr>
                <w:sz w:val="1"/>
                <w:szCs w:val="1"/>
                <w:color w:val="auto"/>
              </w:rPr>
            </w:pPr>
          </w:p>
        </w:tc>
      </w:tr>
      <w:tr>
        <w:trPr>
          <w:trHeight w:val="181"/>
        </w:trPr>
        <w:tc>
          <w:tcPr>
            <w:tcW w:w="4920" w:type="dxa"/>
            <w:vAlign w:val="bottom"/>
          </w:tcPr>
          <w:p>
            <w:pPr>
              <w:ind w:left="20"/>
              <w:spacing w:after="0"/>
              <w:rPr>
                <w:sz w:val="20"/>
                <w:szCs w:val="20"/>
                <w:color w:val="auto"/>
              </w:rPr>
            </w:pPr>
            <w:r>
              <w:rPr>
                <w:rFonts w:ascii="Arial" w:cs="Arial" w:eastAsia="Arial" w:hAnsi="Arial"/>
                <w:sz w:val="14"/>
                <w:szCs w:val="14"/>
                <w:color w:val="auto"/>
              </w:rPr>
              <w:t>Market price of common stock at year-end</w:t>
            </w:r>
          </w:p>
        </w:tc>
        <w:tc>
          <w:tcPr>
            <w:tcW w:w="260" w:type="dxa"/>
            <w:vAlign w:val="bottom"/>
            <w:vMerge w:val="restart"/>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152.33</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146.98</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107.18</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113.51</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103.43</w:t>
            </w:r>
          </w:p>
        </w:tc>
        <w:tc>
          <w:tcPr>
            <w:tcW w:w="0" w:type="dxa"/>
            <w:vAlign w:val="bottom"/>
          </w:tcPr>
          <w:p>
            <w:pPr>
              <w:spacing w:after="0"/>
              <w:rPr>
                <w:sz w:val="1"/>
                <w:szCs w:val="1"/>
                <w:color w:val="auto"/>
              </w:rPr>
            </w:pPr>
          </w:p>
        </w:tc>
      </w:tr>
      <w:tr>
        <w:trPr>
          <w:trHeight w:val="94"/>
        </w:trPr>
        <w:tc>
          <w:tcPr>
            <w:tcW w:w="49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range during year (high)</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160.95</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161.40</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114.06</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115.96</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113.89</w:t>
            </w:r>
          </w:p>
        </w:tc>
        <w:tc>
          <w:tcPr>
            <w:tcW w:w="0" w:type="dxa"/>
            <w:vAlign w:val="bottom"/>
          </w:tcPr>
          <w:p>
            <w:pPr>
              <w:spacing w:after="0"/>
              <w:rPr>
                <w:sz w:val="1"/>
                <w:szCs w:val="1"/>
                <w:color w:val="auto"/>
              </w:rPr>
            </w:pPr>
          </w:p>
        </w:tc>
      </w:tr>
      <w:tr>
        <w:trPr>
          <w:trHeight w:val="181"/>
        </w:trPr>
        <w:tc>
          <w:tcPr>
            <w:tcW w:w="4920" w:type="dxa"/>
            <w:vAlign w:val="bottom"/>
          </w:tcPr>
          <w:p>
            <w:pPr>
              <w:ind w:left="20"/>
              <w:spacing w:after="0"/>
              <w:rPr>
                <w:sz w:val="20"/>
                <w:szCs w:val="20"/>
                <w:color w:val="auto"/>
              </w:rPr>
            </w:pPr>
            <w:r>
              <w:rPr>
                <w:rFonts w:ascii="Arial" w:cs="Arial" w:eastAsia="Arial" w:hAnsi="Arial"/>
                <w:sz w:val="14"/>
                <w:szCs w:val="14"/>
                <w:color w:val="auto"/>
              </w:rPr>
              <w:t>Price range during year (low)</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111.43</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104.30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89.54</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102.87</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1061720</wp:posOffset>
            </wp:positionV>
            <wp:extent cx="194945" cy="169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39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40" w:top="1081" w:right="359" w:bottom="1440" w:gutter="0" w:footer="0" w:header="0"/>
        </w:sectPr>
      </w:pPr>
    </w:p>
    <w:bookmarkStart w:id="21" w:name="page22"/>
    <w:bookmarkEnd w:id="21"/>
    <w:p>
      <w:pPr>
        <w:spacing w:after="0" w:line="54"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included in Item 8 of this Annual Report on Form 10-K. This discussion contains forward-looking statements that involve risks and uncertainties. Our actual results could differ materially from those anticipated in these forward-looking statements as a result of various factors, including those discussed elsewhere in this Annual Report on Form 10-K, particularly in Item 1A. “Risk Factors.”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0" w:lineRule="exact"/>
        <w:rPr>
          <w:sz w:val="20"/>
          <w:szCs w:val="20"/>
          <w:color w:val="auto"/>
        </w:rPr>
      </w:pPr>
    </w:p>
    <w:p>
      <w:pPr>
        <w:ind w:left="900" w:hanging="574"/>
        <w:spacing w:after="0"/>
        <w:tabs>
          <w:tab w:leader="none" w:pos="900" w:val="left"/>
        </w:tabs>
        <w:numPr>
          <w:ilvl w:val="0"/>
          <w:numId w:val="13"/>
        </w:numPr>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Business Model and Growth Strategy</w:t>
        </w:r>
      </w:hyperlink>
    </w:p>
    <w:p>
      <w:pPr>
        <w:spacing w:after="0" w:line="59" w:lineRule="exact"/>
        <w:rPr>
          <w:rFonts w:ascii="Arial" w:cs="Arial" w:eastAsia="Arial" w:hAnsi="Arial"/>
          <w:sz w:val="18"/>
          <w:szCs w:val="18"/>
          <w:u w:val="single" w:color="auto"/>
          <w:color w:val="0000FF"/>
        </w:rPr>
      </w:pPr>
    </w:p>
    <w:p>
      <w:pPr>
        <w:ind w:left="900" w:hanging="574"/>
        <w:spacing w:after="0"/>
        <w:tabs>
          <w:tab w:leader="none" w:pos="900" w:val="left"/>
        </w:tabs>
        <w:numPr>
          <w:ilvl w:val="0"/>
          <w:numId w:val="13"/>
        </w:numPr>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Overview</w:t>
        </w:r>
      </w:hyperlink>
    </w:p>
    <w:p>
      <w:pPr>
        <w:spacing w:after="0" w:line="59" w:lineRule="exact"/>
        <w:rPr>
          <w:rFonts w:ascii="Arial" w:cs="Arial" w:eastAsia="Arial" w:hAnsi="Arial"/>
          <w:sz w:val="18"/>
          <w:szCs w:val="18"/>
          <w:u w:val="single" w:color="auto"/>
          <w:color w:val="0000FF"/>
        </w:rPr>
      </w:pPr>
    </w:p>
    <w:p>
      <w:pPr>
        <w:ind w:left="900" w:hanging="574"/>
        <w:spacing w:after="0"/>
        <w:tabs>
          <w:tab w:leader="none" w:pos="900" w:val="left"/>
        </w:tabs>
        <w:numPr>
          <w:ilvl w:val="0"/>
          <w:numId w:val="13"/>
        </w:numPr>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Trends Affecting Our Business</w:t>
        </w:r>
      </w:hyperlink>
    </w:p>
    <w:p>
      <w:pPr>
        <w:spacing w:after="0" w:line="59" w:lineRule="exact"/>
        <w:rPr>
          <w:rFonts w:ascii="Arial" w:cs="Arial" w:eastAsia="Arial" w:hAnsi="Arial"/>
          <w:sz w:val="18"/>
          <w:szCs w:val="18"/>
          <w:u w:val="single" w:color="auto"/>
          <w:color w:val="0000FF"/>
        </w:rPr>
      </w:pPr>
    </w:p>
    <w:p>
      <w:pPr>
        <w:ind w:left="900" w:hanging="574"/>
        <w:spacing w:after="0"/>
        <w:tabs>
          <w:tab w:leader="none" w:pos="900" w:val="left"/>
        </w:tabs>
        <w:numPr>
          <w:ilvl w:val="0"/>
          <w:numId w:val="13"/>
        </w:numPr>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Consolidated Results of Operations</w:t>
        </w:r>
      </w:hyperlink>
    </w:p>
    <w:p>
      <w:pPr>
        <w:spacing w:after="0" w:line="59" w:lineRule="exact"/>
        <w:rPr>
          <w:rFonts w:ascii="Arial" w:cs="Arial" w:eastAsia="Arial" w:hAnsi="Arial"/>
          <w:sz w:val="18"/>
          <w:szCs w:val="18"/>
          <w:u w:val="single" w:color="auto"/>
          <w:color w:val="0000FF"/>
        </w:rPr>
      </w:pPr>
    </w:p>
    <w:p>
      <w:pPr>
        <w:ind w:left="900" w:hanging="574"/>
        <w:spacing w:after="0"/>
        <w:tabs>
          <w:tab w:leader="none" w:pos="900" w:val="left"/>
        </w:tabs>
        <w:numPr>
          <w:ilvl w:val="0"/>
          <w:numId w:val="13"/>
        </w:numPr>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Segment Results</w:t>
        </w:r>
      </w:hyperlink>
    </w:p>
    <w:p>
      <w:pPr>
        <w:spacing w:after="0" w:line="59" w:lineRule="exact"/>
        <w:rPr>
          <w:rFonts w:ascii="Arial" w:cs="Arial" w:eastAsia="Arial" w:hAnsi="Arial"/>
          <w:sz w:val="18"/>
          <w:szCs w:val="18"/>
          <w:u w:val="single" w:color="auto"/>
          <w:color w:val="0000FF"/>
        </w:rPr>
      </w:pPr>
    </w:p>
    <w:p>
      <w:pPr>
        <w:ind w:left="900" w:hanging="574"/>
        <w:spacing w:after="0"/>
        <w:tabs>
          <w:tab w:leader="none" w:pos="900" w:val="left"/>
        </w:tabs>
        <w:numPr>
          <w:ilvl w:val="0"/>
          <w:numId w:val="13"/>
        </w:numPr>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Liquidity and Capital Resources</w:t>
        </w:r>
      </w:hyperlink>
    </w:p>
    <w:p>
      <w:pPr>
        <w:spacing w:after="0" w:line="59" w:lineRule="exact"/>
        <w:rPr>
          <w:rFonts w:ascii="Arial" w:cs="Arial" w:eastAsia="Arial" w:hAnsi="Arial"/>
          <w:sz w:val="18"/>
          <w:szCs w:val="18"/>
          <w:u w:val="single" w:color="auto"/>
          <w:color w:val="0000FF"/>
        </w:rPr>
      </w:pPr>
    </w:p>
    <w:p>
      <w:pPr>
        <w:ind w:left="900" w:hanging="574"/>
        <w:spacing w:after="0"/>
        <w:tabs>
          <w:tab w:leader="none" w:pos="900" w:val="left"/>
        </w:tabs>
        <w:numPr>
          <w:ilvl w:val="0"/>
          <w:numId w:val="13"/>
        </w:numPr>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Critical Accounting Policies and Estimates</w:t>
        </w:r>
      </w:hyperlink>
    </w:p>
    <w:p>
      <w:pPr>
        <w:spacing w:after="0" w:line="24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BUSINESS MODEL AND GROWTH STRATEGY</w:t>
      </w:r>
    </w:p>
    <w:p>
      <w:pPr>
        <w:spacing w:after="0" w:line="172" w:lineRule="exact"/>
        <w:rPr>
          <w:rFonts w:ascii="Arial" w:cs="Arial" w:eastAsia="Arial" w:hAnsi="Arial"/>
          <w:sz w:val="18"/>
          <w:szCs w:val="18"/>
          <w:color w:val="auto"/>
        </w:rPr>
      </w:pPr>
    </w:p>
    <w:p>
      <w:pPr>
        <w:ind w:right="460"/>
        <w:spacing w:after="0" w:line="297" w:lineRule="auto"/>
        <w:rPr>
          <w:sz w:val="20"/>
          <w:szCs w:val="20"/>
          <w:color w:val="auto"/>
        </w:rPr>
      </w:pPr>
      <w:r>
        <w:rPr>
          <w:rFonts w:ascii="Arial" w:cs="Arial" w:eastAsia="Arial" w:hAnsi="Arial"/>
          <w:sz w:val="17"/>
          <w:szCs w:val="17"/>
          <w:color w:val="auto"/>
        </w:rPr>
        <w:t>We are the largest producer of quality chocolate in North America, a leading snack maker in the United States and a global leader in chocolate and non-chocolate confectionery. We report our operations through two segments: North America and International and Other.</w:t>
      </w:r>
    </w:p>
    <w:p>
      <w:pPr>
        <w:spacing w:after="0" w:line="103" w:lineRule="exact"/>
        <w:rPr>
          <w:rFonts w:ascii="Arial" w:cs="Arial" w:eastAsia="Arial" w:hAnsi="Arial"/>
          <w:sz w:val="18"/>
          <w:szCs w:val="18"/>
          <w:color w:val="auto"/>
        </w:rPr>
      </w:pPr>
    </w:p>
    <w:p>
      <w:pPr>
        <w:ind w:right="420"/>
        <w:spacing w:after="0" w:line="330" w:lineRule="auto"/>
        <w:rPr>
          <w:sz w:val="20"/>
          <w:szCs w:val="20"/>
          <w:color w:val="auto"/>
        </w:rPr>
      </w:pPr>
      <w:r>
        <w:rPr>
          <w:rFonts w:ascii="Arial" w:cs="Arial" w:eastAsia="Arial" w:hAnsi="Arial"/>
          <w:sz w:val="16"/>
          <w:szCs w:val="16"/>
          <w:color w:val="auto"/>
        </w:rPr>
        <w:t>Our vision is to be an innovative snacking powerhouse. We aspire to be a leader in meeting consumers' evolving snacking needs while strengthening the capabilities that drive our growth. We are focused on four strategic imperatives to ensure the Company's success now and in the future:</w:t>
      </w:r>
    </w:p>
    <w:p>
      <w:pPr>
        <w:spacing w:after="0" w:line="160" w:lineRule="exact"/>
        <w:rPr>
          <w:rFonts w:ascii="Arial" w:cs="Arial" w:eastAsia="Arial" w:hAnsi="Arial"/>
          <w:sz w:val="18"/>
          <w:szCs w:val="18"/>
          <w:color w:val="auto"/>
        </w:rPr>
      </w:pPr>
    </w:p>
    <w:p>
      <w:pPr>
        <w:ind w:left="320" w:right="80" w:hanging="313"/>
        <w:spacing w:after="0" w:line="251"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Drive Core Confection Business and Broaden Participation in Snacking</w:t>
      </w:r>
      <w:r>
        <w:rPr>
          <w:rFonts w:ascii="Arial" w:cs="Arial" w:eastAsia="Arial" w:hAnsi="Arial"/>
          <w:sz w:val="18"/>
          <w:szCs w:val="18"/>
          <w:color w:val="auto"/>
        </w:rPr>
        <w:t>. We continue to be the undisputed leader in U.S. confection by taking actions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deepen our consumer connections and utilize our beloved brands to deliver meaningful innovation, while also diversifying our portfolio to capture profitable and incremental growth across the broader snacking continuum.</w:t>
      </w:r>
    </w:p>
    <w:p>
      <w:pPr>
        <w:spacing w:after="0" w:line="1" w:lineRule="exact"/>
        <w:rPr>
          <w:rFonts w:ascii="Arial" w:cs="Arial" w:eastAsia="Arial" w:hAnsi="Arial"/>
          <w:sz w:val="18"/>
          <w:szCs w:val="18"/>
          <w:color w:val="auto"/>
        </w:rPr>
      </w:pPr>
    </w:p>
    <w:p>
      <w:pPr>
        <w:ind w:left="960" w:right="200" w:hanging="314"/>
        <w:spacing w:after="0" w:line="247" w:lineRule="auto"/>
        <w:tabs>
          <w:tab w:leader="none" w:pos="956"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products frequently play an important role in special moments among family and friends. Seasons are an important part of our business model and for consumers, they are highly anticipated, cherished times, centered around traditions. For us, it’s an opportunity for our brands to be part of many connections during the year when family and friends gather.</w:t>
      </w:r>
    </w:p>
    <w:p>
      <w:pPr>
        <w:jc w:val="both"/>
        <w:ind w:left="960" w:right="120" w:hanging="314"/>
        <w:spacing w:after="0" w:line="247" w:lineRule="auto"/>
        <w:tabs>
          <w:tab w:leader="none" w:pos="956"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Innovation is an important lever in this variety seeking category and we are leveraging work from our proprietary demand landscape analytical tool to shape our future innovation and make it more impactful. We are becoming more disciplined in our focus on platform innovation, which should enable sustainable growth over time and significant extensions to our core.</w:t>
      </w:r>
    </w:p>
    <w:p>
      <w:pPr>
        <w:ind w:left="960" w:hanging="314"/>
        <w:spacing w:after="0" w:line="272" w:lineRule="auto"/>
        <w:tabs>
          <w:tab w:leader="none" w:pos="956" w:val="left"/>
        </w:tabs>
        <w:numPr>
          <w:ilvl w:val="1"/>
          <w:numId w:val="14"/>
        </w:numPr>
        <w:rPr>
          <w:rFonts w:ascii="Arial" w:cs="Arial" w:eastAsia="Arial" w:hAnsi="Arial"/>
          <w:sz w:val="17"/>
          <w:szCs w:val="17"/>
          <w:color w:val="auto"/>
        </w:rPr>
      </w:pPr>
      <w:r>
        <w:rPr>
          <w:rFonts w:ascii="Arial" w:cs="Arial" w:eastAsia="Arial" w:hAnsi="Arial"/>
          <w:sz w:val="17"/>
          <w:szCs w:val="17"/>
          <w:color w:val="auto"/>
        </w:rPr>
        <w:t>To expand our breadth in snacking, we are focused on expanding the boundaries of our core confection brands to capture new snacking occasions and increasing our exposure into new snack categories through acquisitions. Our expansion into snacking is being fueled by the recent acquisitions of ONE Brands in September 2019, Pirate Brands in October 2018 and Amplify in January 2018.</w:t>
      </w:r>
    </w:p>
    <w:p>
      <w:pPr>
        <w:spacing w:after="0" w:line="203" w:lineRule="exact"/>
        <w:rPr>
          <w:rFonts w:ascii="Arial" w:cs="Arial" w:eastAsia="Arial" w:hAnsi="Arial"/>
          <w:sz w:val="17"/>
          <w:szCs w:val="17"/>
          <w:color w:val="auto"/>
        </w:rPr>
      </w:pPr>
    </w:p>
    <w:p>
      <w:pPr>
        <w:ind w:left="320" w:right="100" w:hanging="313"/>
        <w:spacing w:after="0" w:line="273" w:lineRule="auto"/>
        <w:tabs>
          <w:tab w:leader="none" w:pos="31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Deliver Profitable International Growth</w:t>
      </w:r>
      <w:r>
        <w:rPr>
          <w:rFonts w:ascii="Arial" w:cs="Arial" w:eastAsia="Arial" w:hAnsi="Arial"/>
          <w:sz w:val="17"/>
          <w:szCs w:val="17"/>
          <w:color w:val="auto"/>
        </w:rPr>
        <w:t>. We are focused on ensuring that we efficiently allocate our resources to the areas with the highest potential for</w:t>
      </w:r>
      <w:r>
        <w:rPr>
          <w:rFonts w:ascii="Arial" w:cs="Arial" w:eastAsia="Arial" w:hAnsi="Arial"/>
          <w:sz w:val="17"/>
          <w:szCs w:val="17"/>
          <w:i w:val="1"/>
          <w:iCs w:val="1"/>
          <w:color w:val="auto"/>
        </w:rPr>
        <w:t xml:space="preserve"> </w:t>
      </w:r>
      <w:r>
        <w:rPr>
          <w:rFonts w:ascii="Arial" w:cs="Arial" w:eastAsia="Arial" w:hAnsi="Arial"/>
          <w:sz w:val="17"/>
          <w:szCs w:val="17"/>
          <w:color w:val="auto"/>
        </w:rPr>
        <w:t>profitable growth. We have reset our international investment strategy, while holding fast to our belief that our targeted emerging market strategy will deliver long-term, profitable growth. The uncertain macroeconomic environment in many of these markets is expected to continue and we aim to ensure our investments in these international markets are appropriate relative to the size of the opportunity.</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6935470</wp:posOffset>
            </wp:positionH>
            <wp:positionV relativeFrom="paragraph">
              <wp:posOffset>568325</wp:posOffset>
            </wp:positionV>
            <wp:extent cx="194945" cy="169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6" w:lineRule="exact"/>
        <w:rPr>
          <w:rFonts w:ascii="Arial" w:cs="Arial" w:eastAsia="Arial" w:hAnsi="Arial"/>
          <w:sz w:val="18"/>
          <w:szCs w:val="18"/>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ind w:left="320" w:right="240" w:hanging="313"/>
        <w:spacing w:after="0" w:line="291" w:lineRule="auto"/>
        <w:tabs>
          <w:tab w:leader="none" w:pos="315"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Expand Competitive Advantage Through Differentiated Capabilities</w:t>
      </w:r>
      <w:r>
        <w:rPr>
          <w:rFonts w:ascii="Arial" w:cs="Arial" w:eastAsia="Arial" w:hAnsi="Arial"/>
          <w:sz w:val="16"/>
          <w:szCs w:val="16"/>
          <w:color w:val="auto"/>
        </w:rPr>
        <w:t>. In order to generate actionable insights, we must acquire, integrate, access and</w:t>
      </w:r>
      <w:r>
        <w:rPr>
          <w:rFonts w:ascii="Arial" w:cs="Arial" w:eastAsia="Arial" w:hAnsi="Arial"/>
          <w:sz w:val="16"/>
          <w:szCs w:val="16"/>
          <w:i w:val="1"/>
          <w:iCs w:val="1"/>
          <w:color w:val="auto"/>
        </w:rPr>
        <w:t xml:space="preserve"> </w:t>
      </w:r>
      <w:r>
        <w:rPr>
          <w:rFonts w:ascii="Arial" w:cs="Arial" w:eastAsia="Arial" w:hAnsi="Arial"/>
          <w:sz w:val="16"/>
          <w:szCs w:val="16"/>
          <w:color w:val="auto"/>
        </w:rPr>
        <w:t>utilize vast sources of the right data in an effective manner. We are working to leverage our advanced data and analytical techniques to gain a deep understanding of our consumers, our customers, our shoppers, our end-to-end supply chain, our retail environment and key economic drivers at both a macro and precision level, including digital transformation and new media models. In addition, we are in the process of transforming our supply chain capabilities and enterprise resource planning system, which will enable employees to work more efficiently and effectively.</w:t>
      </w:r>
    </w:p>
    <w:p>
      <w:pPr>
        <w:spacing w:after="0" w:line="190" w:lineRule="exact"/>
        <w:rPr>
          <w:rFonts w:ascii="Arial" w:cs="Arial" w:eastAsia="Arial" w:hAnsi="Arial"/>
          <w:sz w:val="16"/>
          <w:szCs w:val="16"/>
          <w:i w:val="1"/>
          <w:iCs w:val="1"/>
          <w:color w:val="auto"/>
        </w:rPr>
      </w:pPr>
    </w:p>
    <w:p>
      <w:pPr>
        <w:ind w:left="320" w:right="340" w:hanging="313"/>
        <w:spacing w:after="0" w:line="250" w:lineRule="auto"/>
        <w:tabs>
          <w:tab w:leader="none" w:pos="31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Responsibly Manage Our Operations to Ensure the Long-Term Sustainability of Our Business, Our Planet and Our People</w:t>
      </w:r>
      <w:r>
        <w:rPr>
          <w:rFonts w:ascii="Arial" w:cs="Arial" w:eastAsia="Arial" w:hAnsi="Arial"/>
          <w:sz w:val="18"/>
          <w:szCs w:val="18"/>
          <w:color w:val="auto"/>
        </w:rPr>
        <w:t>. We are a purpose-driven</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for more than a century, our iconic brands have been built on a foundation of community investment and connections between people around the world. We could not have achieved this without our remarkable employees who make our purpose a reality. We believe our long-standing values make our Company a special place to work.</w:t>
      </w:r>
    </w:p>
    <w:p>
      <w:pPr>
        <w:spacing w:after="0" w:line="1" w:lineRule="exact"/>
        <w:rPr>
          <w:rFonts w:ascii="Arial" w:cs="Arial" w:eastAsia="Arial" w:hAnsi="Arial"/>
          <w:sz w:val="18"/>
          <w:szCs w:val="18"/>
          <w:i w:val="1"/>
          <w:iCs w:val="1"/>
          <w:color w:val="auto"/>
        </w:rPr>
      </w:pPr>
    </w:p>
    <w:p>
      <w:pPr>
        <w:ind w:left="960" w:right="20" w:hanging="314"/>
        <w:spacing w:after="0" w:line="278" w:lineRule="auto"/>
        <w:tabs>
          <w:tab w:leader="none" w:pos="956" w:val="left"/>
        </w:tabs>
        <w:numPr>
          <w:ilvl w:val="1"/>
          <w:numId w:val="15"/>
        </w:numPr>
        <w:rPr>
          <w:rFonts w:ascii="Arial" w:cs="Arial" w:eastAsia="Arial" w:hAnsi="Arial"/>
          <w:sz w:val="16"/>
          <w:szCs w:val="16"/>
          <w:color w:val="auto"/>
        </w:rPr>
      </w:pPr>
      <w:r>
        <w:rPr>
          <w:rFonts w:ascii="Arial" w:cs="Arial" w:eastAsia="Arial" w:hAnsi="Arial"/>
          <w:sz w:val="16"/>
          <w:szCs w:val="16"/>
          <w:color w:val="auto"/>
        </w:rPr>
        <w:t>We believe our employees are among our most important resources and are critical to our continued success. Our annual Many Voices, One Hershey survey reaches all of our employees around the world to solicit their thoughts on the Company's direction and their place in it. Post-survey action planning has resulted in changes to our decision-making processes and significantly improved annual survey scores over time. We also use surveys throughout the year to engage our employees on the Company's strategy, initiatives and leadership.</w:t>
      </w:r>
    </w:p>
    <w:p>
      <w:pPr>
        <w:ind w:left="960" w:right="100" w:hanging="314"/>
        <w:spacing w:after="0" w:line="247" w:lineRule="auto"/>
        <w:tabs>
          <w:tab w:leader="none" w:pos="956"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diverse and inclusive culture makes the difference across all areas of the business. Our gender representation includes women occupying many of the top positions in the Company, including Chief Executive Officer and Chairman of the Board, and Chief Growth Officer, and approximately 50% representation across the Company. Across the salaried workforce in the United States, we paid women $1.00 on the dollar compared to men.</w:t>
      </w:r>
    </w:p>
    <w:p>
      <w:pPr>
        <w:ind w:left="960" w:right="20" w:hanging="314"/>
        <w:spacing w:after="0" w:line="249" w:lineRule="auto"/>
        <w:tabs>
          <w:tab w:leader="none" w:pos="956"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have made strong progress on our environmental, social and governance ("ESG") priorities and continue to elevate these ESG initiatives for a greater global impact. While we focus on sustainability and social impact across our value chain, we continue to improve and focus on the lives of cocoa farmers and cocoa communities, the environmental priorities of climate change and the role of packaging in our business, responsibly and sustainably sourcing the inputs to our products and increasing investments in human rights and diversity initiatives and growing diverse representation across the organization.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2" w:lineRule="exact"/>
        <w:rPr>
          <w:sz w:val="20"/>
          <w:szCs w:val="20"/>
          <w:color w:val="auto"/>
        </w:rPr>
      </w:pPr>
    </w:p>
    <w:p>
      <w:pPr>
        <w:jc w:val="both"/>
        <w:ind w:right="60"/>
        <w:spacing w:after="0" w:line="304" w:lineRule="auto"/>
        <w:rPr>
          <w:sz w:val="20"/>
          <w:szCs w:val="20"/>
          <w:color w:val="auto"/>
        </w:rPr>
      </w:pPr>
      <w:r>
        <w:rPr>
          <w:rFonts w:ascii="Arial" w:cs="Arial" w:eastAsia="Arial" w:hAnsi="Arial"/>
          <w:sz w:val="16"/>
          <w:szCs w:val="16"/>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and a global leader in chocolate and non-chocolate confectionery. We market, sell and distribute our products under more than 90 brand names in approximately 85 countries worldwide.</w:t>
      </w:r>
    </w:p>
    <w:p>
      <w:pPr>
        <w:spacing w:after="0" w:line="100" w:lineRule="exact"/>
        <w:rPr>
          <w:sz w:val="20"/>
          <w:szCs w:val="20"/>
          <w:color w:val="auto"/>
        </w:rPr>
      </w:pPr>
    </w:p>
    <w:p>
      <w:pPr>
        <w:jc w:val="both"/>
        <w:ind w:right="400"/>
        <w:spacing w:after="0" w:line="257" w:lineRule="auto"/>
        <w:rPr>
          <w:sz w:val="20"/>
          <w:szCs w:val="20"/>
          <w:color w:val="auto"/>
        </w:rPr>
      </w:pPr>
      <w:r>
        <w:rPr>
          <w:rFonts w:ascii="Arial" w:cs="Arial" w:eastAsia="Arial" w:hAnsi="Arial"/>
          <w:sz w:val="18"/>
          <w:szCs w:val="18"/>
          <w:color w:val="auto"/>
        </w:rPr>
        <w:t>Our principal product offerings include chocolate and non-chocolate confectionery products; gum and mint refreshment products; pantry items, such as baking ingredients, toppings and beverages; and snack items such as spreads, meat snacks, bars and snack bites and mixes, popcorn and protein bars and cookies.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 and Divestitures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October 2020, we entered into a definitive agreement to divest Lotte Shanghai Foods Co., Ltd. ("LSFC"). The sale of LSFC was completed in January 2021 and was previously included within the International and Other segment results in our consolidated financial statements. Additionally, during the second quarter of 2020, we completed the divestitures of Krave and the </w:t>
      </w:r>
      <w:r>
        <w:rPr>
          <w:rFonts w:ascii="Arial" w:cs="Arial" w:eastAsia="Arial" w:hAnsi="Arial"/>
          <w:sz w:val="18"/>
          <w:szCs w:val="18"/>
          <w:i w:val="1"/>
          <w:iCs w:val="1"/>
          <w:color w:val="auto"/>
        </w:rPr>
        <w:t>Scharffen Berger</w:t>
      </w:r>
      <w:r>
        <w:rPr>
          <w:rFonts w:ascii="Arial" w:cs="Arial" w:eastAsia="Arial" w:hAnsi="Arial"/>
          <w:sz w:val="18"/>
          <w:szCs w:val="18"/>
          <w:color w:val="auto"/>
        </w:rPr>
        <w:t xml:space="preserve"> and </w:t>
      </w:r>
      <w:r>
        <w:rPr>
          <w:rFonts w:ascii="Arial" w:cs="Arial" w:eastAsia="Arial" w:hAnsi="Arial"/>
          <w:sz w:val="18"/>
          <w:szCs w:val="18"/>
          <w:i w:val="1"/>
          <w:iCs w:val="1"/>
          <w:color w:val="auto"/>
        </w:rPr>
        <w:t>Dagoba</w:t>
      </w:r>
      <w:r>
        <w:rPr>
          <w:rFonts w:ascii="Arial" w:cs="Arial" w:eastAsia="Arial" w:hAnsi="Arial"/>
          <w:sz w:val="18"/>
          <w:szCs w:val="18"/>
          <w:color w:val="auto"/>
        </w:rPr>
        <w:t xml:space="preserve"> brands, all of which were previously included within the North America segment results in our consolidated financial statements.</w:t>
      </w:r>
    </w:p>
    <w:p>
      <w:pPr>
        <w:spacing w:after="0" w:line="14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September 2019, we completed the acquisition of ONE Brands, previously a privately held company that sells a line of low-sugar, high-protein nutrition bars to retailers and distributors in the United States, with the </w:t>
      </w:r>
      <w:r>
        <w:rPr>
          <w:rFonts w:ascii="Arial" w:cs="Arial" w:eastAsia="Arial" w:hAnsi="Arial"/>
          <w:sz w:val="18"/>
          <w:szCs w:val="18"/>
          <w:i w:val="1"/>
          <w:iCs w:val="1"/>
          <w:color w:val="auto"/>
        </w:rPr>
        <w:t>ONE Bar</w:t>
      </w:r>
      <w:r>
        <w:rPr>
          <w:rFonts w:ascii="Arial" w:cs="Arial" w:eastAsia="Arial" w:hAnsi="Arial"/>
          <w:sz w:val="18"/>
          <w:szCs w:val="18"/>
          <w:color w:val="auto"/>
        </w:rPr>
        <w:t xml:space="preserve"> as its primary product. The acquisition complements our existing snacking businesses acquired in 2018.</w:t>
      </w:r>
    </w:p>
    <w:p>
      <w:pPr>
        <w:spacing w:after="0" w:line="135"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color w:val="auto"/>
        </w:rPr>
        <w:t xml:space="preserve">In October 2018, we completed the acquisition of Pirate Brands, which includes the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Smart Puffs</w:t>
      </w:r>
      <w:r>
        <w:rPr>
          <w:rFonts w:ascii="Arial" w:cs="Arial" w:eastAsia="Arial" w:hAnsi="Arial"/>
          <w:sz w:val="16"/>
          <w:szCs w:val="16"/>
          <w:color w:val="auto"/>
        </w:rPr>
        <w:t xml:space="preserve"> and </w:t>
      </w:r>
      <w:r>
        <w:rPr>
          <w:rFonts w:ascii="Arial" w:cs="Arial" w:eastAsia="Arial" w:hAnsi="Arial"/>
          <w:sz w:val="16"/>
          <w:szCs w:val="16"/>
          <w:i w:val="1"/>
          <w:iCs w:val="1"/>
          <w:color w:val="auto"/>
        </w:rPr>
        <w:t>Original Tings</w:t>
      </w:r>
      <w:r>
        <w:rPr>
          <w:rFonts w:ascii="Arial" w:cs="Arial" w:eastAsia="Arial" w:hAnsi="Arial"/>
          <w:sz w:val="16"/>
          <w:szCs w:val="16"/>
          <w:color w:val="auto"/>
        </w:rPr>
        <w:t xml:space="preserve"> brands, from B&amp;G Foods, Inc. Pirate Brands offers baked, trans fat free and gluten free snacks and is available in a wide range of food distribution channels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380365</wp:posOffset>
            </wp:positionV>
            <wp:extent cx="194945" cy="169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23" w:name="page24"/>
    <w:bookmarkEnd w:id="23"/>
    <w:p>
      <w:pPr>
        <w:ind w:right="480"/>
        <w:spacing w:after="0" w:line="257" w:lineRule="auto"/>
        <w:rPr>
          <w:sz w:val="20"/>
          <w:szCs w:val="20"/>
          <w:color w:val="auto"/>
        </w:rPr>
      </w:pPr>
      <w:r>
        <w:rPr>
          <w:rFonts w:ascii="Arial" w:cs="Arial" w:eastAsia="Arial" w:hAnsi="Arial"/>
          <w:sz w:val="18"/>
          <w:szCs w:val="18"/>
          <w:color w:val="auto"/>
        </w:rPr>
        <w:t xml:space="preserve">In January 2018, we completed the acquisition of all of the outstanding shares of Amplify, a publicly traded company based in Austin, Texas that owns several popular better-for-you snack brands such as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w:t>
      </w:r>
      <w:r>
        <w:rPr>
          <w:rFonts w:ascii="Arial" w:cs="Arial" w:eastAsia="Arial" w:hAnsi="Arial"/>
          <w:sz w:val="18"/>
          <w:szCs w:val="18"/>
          <w:i w:val="1"/>
          <w:iCs w:val="1"/>
          <w:color w:val="auto"/>
        </w:rPr>
        <w:t>Oatmega</w:t>
      </w:r>
      <w:r>
        <w:rPr>
          <w:rFonts w:ascii="Arial" w:cs="Arial" w:eastAsia="Arial" w:hAnsi="Arial"/>
          <w:sz w:val="18"/>
          <w:szCs w:val="18"/>
          <w:color w:val="auto"/>
        </w:rPr>
        <w:t xml:space="preserve"> and </w:t>
      </w:r>
      <w:r>
        <w:rPr>
          <w:rFonts w:ascii="Arial" w:cs="Arial" w:eastAsia="Arial" w:hAnsi="Arial"/>
          <w:sz w:val="18"/>
          <w:szCs w:val="18"/>
          <w:i w:val="1"/>
          <w:iCs w:val="1"/>
          <w:color w:val="auto"/>
        </w:rPr>
        <w:t>Paqui</w:t>
      </w:r>
      <w:r>
        <w:rPr>
          <w:rFonts w:ascii="Arial" w:cs="Arial" w:eastAsia="Arial" w:hAnsi="Arial"/>
          <w:sz w:val="18"/>
          <w:szCs w:val="18"/>
          <w:color w:val="auto"/>
        </w:rPr>
        <w:t>. The acquisition enables us to capture more consumer snacking occasions by creating a broader portfolio of brands.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OUR BUSINESS</w:t>
      </w:r>
    </w:p>
    <w:p>
      <w:pPr>
        <w:spacing w:after="0" w:line="17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March 11, 2020, the World Health Organization designated the novel coronavirus, COVID-19, as a global pandemic. COVID-19 was first detected in Wuhan City, Hubei Province, China and continued to spread, significantly impacting various markets around the world, including the U.S. Various policies and initiatives have been implemented to reduce the global transmission of COVID-19.</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Local, state and national governments continue to emphasize the importance of food supply during this pandemic and asked that food manufacturers and retailers remain open to meet the needs of our communities. Employee safety is our first priority, and as a result, we put preparedness plans in place at our manufacturing facilities. Our manufacturing facilities are currently open; however, we have adjusted shift schedules, enforced social distancing, increased sanitation and adjusted time and attendance policies for worker absenteeism. Our sales teams continue to support community food supplies, while adhering to social distancing guidelines, implementing flexible hours, reducing person-to-person interaction and increasing safety measures. At the onset of the pandemic, the Company temporarily closed all Hershey's Chocolate World stores in the U.S. (3 locations), Niagara Falls (Ontario) and Singapore; however, since July, all locations were re-opened on a limited capacity basis with increased safety measures and enforced social distancing.</w:t>
      </w:r>
    </w:p>
    <w:p>
      <w:pPr>
        <w:spacing w:after="0" w:line="19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June, we commenced a phased in approach to reopen our corporate headquarters in Hershey, Pennsylvania and other select offices with increased safety protocols. We have successfully onboarded several teams; however, occupancy levels remain low as we continue to monitor the latest COVID-19 related public health and government guidance. As a result, a majority of our office-based employees continue to work remotely where possible. We have crisis management teams in place to monitor the continually evolving situation and recommending risk mitigation actions as deemed necessary. To date, there has been minimal disruption to our supply chain network, including the supply of our ingredients, packaging or other sourced materials, though it is possible that more significant disruptions could occur if the COVID-19 pandemic continues to impact markets around the world. We are also working closely with our business units, contract manufacturers, distributors, contractors and other external business partners to minimize the potential impact on our business.</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Our most recent liquidity measures include the $1 billion Notes issuance in May 2020 with varying rates ranging from 0.900% to 2.650% and maturity dates ranging from 2025 to 2050. Additionally, we continue to limit discretionary spending across the organization and re-prioritize our capital projects amid the COVID-19 pandemic. We plan to move forward with our new global ERP system implementation and supply chain capacity projects, as these investments are of strategic importance to our long-term growth. However, as previously announced, we did selectively pause certain aspects of the ERP system implementation due to resource constraints and challenges associated with the critical design phase during these uncertain times. We expect this to delay our overall ERP implementation by approximately one year.</w:t>
      </w:r>
    </w:p>
    <w:p>
      <w:pPr>
        <w:spacing w:after="0" w:line="19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In late May and early June, many state governments began a phased reopening of their economies. These phased approaches promoted limited food service offerings, outdoor dining, increased travel and the reopening of retailing establishments while imposing new guidelines and enhanced safety measures, including social distancing and face mask protocols. As a result, we experienced an increase in our net sales and income during 2020. Unfavorable impacts from COVID-19 were primarily limited to our International and Other segment (see </w:t>
      </w:r>
      <w:r>
        <w:rPr>
          <w:rFonts w:ascii="Arial" w:cs="Arial" w:eastAsia="Arial" w:hAnsi="Arial"/>
          <w:sz w:val="16"/>
          <w:szCs w:val="16"/>
          <w:u w:val="single" w:color="auto"/>
          <w:color w:val="0000FF"/>
        </w:rPr>
        <w:t>Segment Results</w:t>
      </w:r>
      <w:r>
        <w:rPr>
          <w:rFonts w:ascii="Arial" w:cs="Arial" w:eastAsia="Arial" w:hAnsi="Arial"/>
          <w:sz w:val="16"/>
          <w:szCs w:val="16"/>
          <w:color w:val="auto"/>
        </w:rPr>
        <w:t xml:space="preserve"> included in this MD&amp;A). We believe the financial impacts from COVID-19 are temporary in nature and do not significantly affect our business model and growth strategy.</w:t>
      </w:r>
    </w:p>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While recent reopening approaches have made a short-term positive impact on local and state economies and the U.S. unemployment rate, certain states have modified reopening plans as new cases of COVID-19 have led to new trends in outbreaks and hotspots. Based on the length and severity of COVID-19, including the distribution of vaccinations, we may experience continued volatility in retail foot traffic, consumer shopping and consumption behavior. We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418465</wp:posOffset>
            </wp:positionV>
            <wp:extent cx="194945" cy="169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4" w:name="page25"/>
    <w:bookmarkEnd w:id="24"/>
    <w:p>
      <w:pPr>
        <w:ind w:left="40" w:right="80"/>
        <w:spacing w:after="0" w:line="267" w:lineRule="auto"/>
        <w:rPr>
          <w:sz w:val="20"/>
          <w:szCs w:val="20"/>
          <w:color w:val="auto"/>
        </w:rPr>
      </w:pPr>
      <w:r>
        <w:rPr>
          <w:rFonts w:ascii="Arial" w:cs="Arial" w:eastAsia="Arial" w:hAnsi="Arial"/>
          <w:sz w:val="18"/>
          <w:szCs w:val="18"/>
          <w:color w:val="auto"/>
        </w:rPr>
        <w:t>continue to evaluate the nature and extent of these potential impacts to our business, consolidated results of operations, segment results, liquidity and capital resources.</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RESULTS OF OPERATIONS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6"/>
                <w:szCs w:val="16"/>
                <w:b w:val="1"/>
                <w:bCs w:val="1"/>
                <w:color w:val="auto"/>
              </w:rPr>
              <w:t>Percent Change</w:t>
            </w:r>
          </w:p>
        </w:tc>
      </w:tr>
      <w:tr>
        <w:trPr>
          <w:trHeight w:val="209"/>
        </w:trPr>
        <w:tc>
          <w:tcPr>
            <w:tcW w:w="392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320" w:type="dxa"/>
            <w:vAlign w:val="bottom"/>
          </w:tcPr>
          <w:p>
            <w:pPr>
              <w:spacing w:after="0"/>
              <w:rPr>
                <w:sz w:val="18"/>
                <w:szCs w:val="18"/>
                <w:color w:val="auto"/>
              </w:rPr>
            </w:pPr>
          </w:p>
        </w:tc>
        <w:tc>
          <w:tcPr>
            <w:tcW w:w="1080" w:type="dxa"/>
            <w:vAlign w:val="bottom"/>
          </w:tcPr>
          <w:p>
            <w:pPr>
              <w:jc w:val="right"/>
              <w:ind w:right="46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6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6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2020 vs 2019</w:t>
            </w:r>
          </w:p>
        </w:tc>
        <w:tc>
          <w:tcPr>
            <w:tcW w:w="1340" w:type="dxa"/>
            <w:vAlign w:val="bottom"/>
          </w:tcPr>
          <w:p>
            <w:pPr>
              <w:jc w:val="right"/>
              <w:ind w:right="160"/>
              <w:spacing w:after="0"/>
              <w:rPr>
                <w:sz w:val="20"/>
                <w:szCs w:val="20"/>
                <w:color w:val="auto"/>
              </w:rPr>
            </w:pPr>
            <w:r>
              <w:rPr>
                <w:rFonts w:ascii="Arial" w:cs="Arial" w:eastAsia="Arial" w:hAnsi="Arial"/>
                <w:sz w:val="16"/>
                <w:szCs w:val="16"/>
                <w:b w:val="1"/>
                <w:bCs w:val="1"/>
                <w:color w:val="auto"/>
              </w:rPr>
              <w:t>2019 vs 2018</w:t>
            </w:r>
          </w:p>
        </w:tc>
      </w:tr>
      <w:tr>
        <w:trPr>
          <w:trHeight w:val="181"/>
        </w:trPr>
        <w:tc>
          <w:tcPr>
            <w:tcW w:w="38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14"/>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8,149.7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7,986.3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7,791.1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1"/>
        </w:trPr>
        <w:tc>
          <w:tcPr>
            <w:tcW w:w="392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Cost of sales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4,448.5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4,363.8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4,215.7</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3.5 %</w:t>
            </w:r>
          </w:p>
        </w:tc>
      </w:tr>
      <w:tr>
        <w:trPr>
          <w:trHeight w:val="20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3,701.2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3,622.5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3,575.4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4"/>
        </w:trPr>
        <w:tc>
          <w:tcPr>
            <w:tcW w:w="3920" w:type="dxa"/>
            <w:vAlign w:val="bottom"/>
            <w:gridSpan w:val="2"/>
          </w:tcPr>
          <w:p>
            <w:pPr>
              <w:ind w:left="180"/>
              <w:spacing w:after="0"/>
              <w:rPr>
                <w:sz w:val="20"/>
                <w:szCs w:val="20"/>
                <w:color w:val="auto"/>
              </w:rPr>
            </w:pPr>
            <w:r>
              <w:rPr>
                <w:rFonts w:ascii="Arial" w:cs="Arial" w:eastAsia="Arial" w:hAnsi="Arial"/>
                <w:sz w:val="16"/>
                <w:szCs w:val="16"/>
                <w:i w:val="1"/>
                <w:iCs w:val="1"/>
                <w:color w:val="auto"/>
              </w:rPr>
              <w:t>Gross margin</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45.4 %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45.4 %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45.9 %</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SM&amp;A expense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1,890.9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1,905.9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1,874.8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04"/>
        </w:trPr>
        <w:tc>
          <w:tcPr>
            <w:tcW w:w="3920" w:type="dxa"/>
            <w:vAlign w:val="bottom"/>
            <w:gridSpan w:val="2"/>
          </w:tcPr>
          <w:p>
            <w:pPr>
              <w:ind w:left="180"/>
              <w:spacing w:after="0"/>
              <w:rPr>
                <w:sz w:val="20"/>
                <w:szCs w:val="20"/>
                <w:color w:val="auto"/>
              </w:rPr>
            </w:pPr>
            <w:r>
              <w:rPr>
                <w:rFonts w:ascii="Arial" w:cs="Arial" w:eastAsia="Arial" w:hAnsi="Arial"/>
                <w:sz w:val="16"/>
                <w:szCs w:val="16"/>
                <w:i w:val="1"/>
                <w:iCs w:val="1"/>
                <w:color w:val="auto"/>
              </w:rPr>
              <w:t>SM&amp;A expense as a percent of net sales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23.2 %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i w:val="1"/>
                <w:iCs w:val="1"/>
                <w:color w:val="auto"/>
              </w:rPr>
              <w:t>23.9%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i w:val="1"/>
                <w:iCs w:val="1"/>
                <w:color w:val="auto"/>
              </w:rPr>
              <w:t>24.1%</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39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Long-lived and intangible asset impairment charges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57.7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94.9 %</w:t>
            </w:r>
          </w:p>
        </w:tc>
      </w:tr>
      <w:tr>
        <w:trPr>
          <w:trHeight w:val="211"/>
        </w:trPr>
        <w:tc>
          <w:tcPr>
            <w:tcW w:w="392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Business realignment costs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128.1 %</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(57.5)%</w:t>
            </w:r>
          </w:p>
        </w:tc>
      </w:tr>
      <w:tr>
        <w:trPr>
          <w:trHeight w:val="20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1,782.7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1,623.8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1"/>
        </w:trPr>
        <w:tc>
          <w:tcPr>
            <w:tcW w:w="3920" w:type="dxa"/>
            <w:vAlign w:val="bottom"/>
            <w:gridSpan w:val="2"/>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21.9 %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20.0 %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20.8 %</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138.8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11"/>
        </w:trPr>
        <w:tc>
          <w:tcPr>
            <w:tcW w:w="3920" w:type="dxa"/>
            <w:vAlign w:val="bottom"/>
            <w:gridSpan w:val="2"/>
          </w:tcPr>
          <w:p>
            <w:pPr>
              <w:ind w:left="6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138.3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74.8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94.7 %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219.6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234.0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239.0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4"/>
        </w:trPr>
        <w:tc>
          <w:tcPr>
            <w:tcW w:w="3920" w:type="dxa"/>
            <w:vAlign w:val="bottom"/>
            <w:gridSpan w:val="2"/>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14.7 %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16.9 %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17.0 %</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39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Net income including noncontrolling interest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1,275.4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1,146.8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1,171.2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1"/>
        </w:trPr>
        <w:tc>
          <w:tcPr>
            <w:tcW w:w="392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Less: Net loss attributable to noncontrolling interest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(54.8)%</w:t>
            </w:r>
          </w:p>
        </w:tc>
      </w:tr>
      <w:tr>
        <w:trPr>
          <w:trHeight w:val="234"/>
        </w:trPr>
        <w:tc>
          <w:tcPr>
            <w:tcW w:w="39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Net income attributable to The Hershey Company</w:t>
            </w: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1,278.7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1,177.7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87"/>
        </w:trPr>
        <w:tc>
          <w:tcPr>
            <w:tcW w:w="3920" w:type="dxa"/>
            <w:vAlign w:val="bottom"/>
            <w:gridSpan w:val="2"/>
          </w:tcPr>
          <w:p>
            <w:pPr>
              <w:ind w:left="60"/>
              <w:spacing w:after="0"/>
              <w:rPr>
                <w:sz w:val="20"/>
                <w:szCs w:val="20"/>
                <w:color w:val="auto"/>
              </w:rPr>
            </w:pPr>
            <w:r>
              <w:rPr>
                <w:rFonts w:ascii="Arial" w:cs="Arial" w:eastAsia="Arial" w:hAnsi="Arial"/>
                <w:sz w:val="16"/>
                <w:szCs w:val="16"/>
                <w:color w:val="auto"/>
              </w:rPr>
              <w:t>Net income per share—diluted</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3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0" w:lineRule="exact"/>
        <w:rPr>
          <w:sz w:val="20"/>
          <w:szCs w:val="20"/>
          <w:color w:val="auto"/>
        </w:rPr>
      </w:pPr>
    </w:p>
    <w:p>
      <w:pPr>
        <w:ind w:left="40" w:right="20"/>
        <w:spacing w:after="0" w:line="270" w:lineRule="auto"/>
        <w:rPr>
          <w:sz w:val="20"/>
          <w:szCs w:val="20"/>
          <w:color w:val="auto"/>
        </w:rPr>
      </w:pPr>
      <w:r>
        <w:rPr>
          <w:rFonts w:ascii="Arial" w:cs="Arial" w:eastAsia="Arial" w:hAnsi="Arial"/>
          <w:sz w:val="17"/>
          <w:szCs w:val="17"/>
          <w:color w:val="auto"/>
        </w:rPr>
        <w:t xml:space="preserve">Net sales increased 2.0% in 2020 compared with 2019, reflecting a favorable price realization of 2.3% due to higher prices on certain products and a 0.5% benefit from net acquisitions and divestitures (predominantly driven by the 2019 acquisition of ONE Brands, partially offset by the 2020 divestitures of Krave and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These increases were partially offset by an unfavorable impact from foreign currency exchange rates of 0.5% and a volume decrease of 0.3% due to the impact of COVID-19 on sales in our international markets, as well as declines in owned retail and world travel retail and elasticity-driven impacts due to price increases on certain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100" w:lineRule="exact"/>
        <w:rPr>
          <w:sz w:val="20"/>
          <w:szCs w:val="20"/>
          <w:color w:val="auto"/>
        </w:rPr>
      </w:pPr>
    </w:p>
    <w:p>
      <w:pPr>
        <w:ind w:left="40" w:right="40"/>
        <w:spacing w:after="0" w:line="252" w:lineRule="auto"/>
        <w:rPr>
          <w:sz w:val="20"/>
          <w:szCs w:val="20"/>
          <w:color w:val="auto"/>
        </w:rPr>
      </w:pPr>
      <w:r>
        <w:rPr>
          <w:rFonts w:ascii="Arial" w:cs="Arial" w:eastAsia="Arial" w:hAnsi="Arial"/>
          <w:sz w:val="18"/>
          <w:szCs w:val="18"/>
          <w:color w:val="auto"/>
        </w:rPr>
        <w:t>Net sales increased 2.5% in 2019 compared with 2018, reflecting a favorable price realization of 1.7% due to higher prices on certain products, a 1.0% benefit from net acquisitions and divestitures (predominantly driven by the 2019 acquisition of ONE Brands and the 2018 acquisition of Pirate Brands, partially offset by 2018 divestitures) and a volume increase of 0.1%, partially offset by an unfavorable impact from foreign currency exchange rates of 0.3%. Excluding foreign currency, our 2019 net sales increased 2.8%. Consolidated volumes increased due to solid marketplace growth in select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6960870</wp:posOffset>
            </wp:positionH>
            <wp:positionV relativeFrom="paragraph">
              <wp:posOffset>417830</wp:posOffset>
            </wp:positionV>
            <wp:extent cx="194945" cy="169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194310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280" w:top="1247"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Key U.S. Marketplace Metrics</w:t>
      </w:r>
    </w:p>
    <w:p>
      <w:pPr>
        <w:spacing w:after="0" w:line="166" w:lineRule="exact"/>
        <w:rPr>
          <w:sz w:val="20"/>
          <w:szCs w:val="20"/>
          <w:color w:val="auto"/>
        </w:rPr>
      </w:pPr>
    </w:p>
    <w:p>
      <w:pPr>
        <w:ind w:left="40" w:right="120"/>
        <w:spacing w:after="0" w:line="257" w:lineRule="auto"/>
        <w:rPr>
          <w:sz w:val="20"/>
          <w:szCs w:val="20"/>
          <w:color w:val="auto"/>
        </w:rPr>
      </w:pPr>
      <w:r>
        <w:rPr>
          <w:rFonts w:ascii="Arial" w:cs="Arial" w:eastAsia="Arial" w:hAnsi="Arial"/>
          <w:sz w:val="18"/>
          <w:szCs w:val="18"/>
          <w:color w:val="auto"/>
        </w:rPr>
        <w:t>For the full year 2020, our total U.S. retail takeaway increased 5.3% in the expanded multi-outlet combined plus convenience store channels (IRI MULO + C-Stores), which includes candy, mint, gum, salty snacks, meat snacks and grocery items. Our U.S. candy, mint and gum ("CMG") consumer takeaway increased 4.9%, resulting in a CMG market share gain of approximately 159 basis points.</w:t>
      </w:r>
    </w:p>
    <w:p>
      <w:pPr>
        <w:spacing w:after="0" w:line="135" w:lineRule="exact"/>
        <w:rPr>
          <w:sz w:val="20"/>
          <w:szCs w:val="20"/>
          <w:color w:val="auto"/>
        </w:rPr>
      </w:pPr>
    </w:p>
    <w:p>
      <w:pPr>
        <w:ind w:left="40" w:right="220"/>
        <w:spacing w:after="0" w:line="252"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0" w:lineRule="exact"/>
        <w:rPr>
          <w:sz w:val="20"/>
          <w:szCs w:val="20"/>
          <w:color w:val="auto"/>
        </w:rPr>
      </w:pPr>
    </w:p>
    <w:p>
      <w:pPr>
        <w:ind w:left="40" w:right="40"/>
        <w:spacing w:after="0" w:line="270" w:lineRule="auto"/>
        <w:rPr>
          <w:sz w:val="20"/>
          <w:szCs w:val="20"/>
          <w:color w:val="auto"/>
        </w:rPr>
      </w:pPr>
      <w:r>
        <w:rPr>
          <w:rFonts w:ascii="Arial" w:cs="Arial" w:eastAsia="Arial" w:hAnsi="Arial"/>
          <w:sz w:val="17"/>
          <w:szCs w:val="17"/>
          <w:color w:val="auto"/>
        </w:rPr>
        <w:t>Cost of sales increased 1.9% in 2020 compared with 2019. The increase in cost of sales was attributed to higher freight and logistics costs and additional plant costs, specifically, PPE costs, increased sanitation and wage incentives associated with COVID-19. Additionally, the increase was driven by an incremental $28.9 million of unfavorable mark-to-market activity on our commodity derivative instruments. These derivative instruments are intended to economically hedge future years' commodity purchases; however, they were significantly impacted by financial market volatility during 2020. These drivers were partially offset by favorable price realization and favorable supply chain productivity</w:t>
      </w:r>
    </w:p>
    <w:p>
      <w:pPr>
        <w:spacing w:after="0" w:line="127" w:lineRule="exact"/>
        <w:rPr>
          <w:sz w:val="20"/>
          <w:szCs w:val="20"/>
          <w:color w:val="auto"/>
        </w:rPr>
      </w:pPr>
    </w:p>
    <w:p>
      <w:pPr>
        <w:jc w:val="both"/>
        <w:ind w:left="40" w:right="320"/>
        <w:spacing w:after="0" w:line="257" w:lineRule="auto"/>
        <w:rPr>
          <w:sz w:val="20"/>
          <w:szCs w:val="20"/>
          <w:color w:val="auto"/>
        </w:rPr>
      </w:pPr>
      <w:r>
        <w:rPr>
          <w:rFonts w:ascii="Arial" w:cs="Arial" w:eastAsia="Arial" w:hAnsi="Arial"/>
          <w:sz w:val="18"/>
          <w:szCs w:val="18"/>
          <w:color w:val="auto"/>
        </w:rPr>
        <w:t>Gross margin remained the same in 2020 compared with 2019. Increases were driven by the higher freight and logistics costs, additional plant costs, and unfavorable year-over-year mark-to-market impact from commodity derivative instruments. These factors were offset by favorable price realization and supply chain productivity.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100" w:lineRule="exact"/>
        <w:rPr>
          <w:sz w:val="20"/>
          <w:szCs w:val="20"/>
          <w:color w:val="auto"/>
        </w:rPr>
      </w:pPr>
    </w:p>
    <w:p>
      <w:pPr>
        <w:ind w:left="40" w:right="120"/>
        <w:spacing w:after="0" w:line="257" w:lineRule="auto"/>
        <w:rPr>
          <w:sz w:val="20"/>
          <w:szCs w:val="20"/>
          <w:color w:val="auto"/>
        </w:rPr>
      </w:pPr>
      <w:r>
        <w:rPr>
          <w:rFonts w:ascii="Arial" w:cs="Arial" w:eastAsia="Arial" w:hAnsi="Arial"/>
          <w:sz w:val="18"/>
          <w:szCs w:val="18"/>
          <w:color w:val="auto"/>
        </w:rPr>
        <w:t>Cost of sales increased 3.5% in 2019 compared with 2018. The increase was driven by higher freight and logistics costs, additional plant costs, and an incremental $33.9 million unfavorable impact from marking-to-market our commodity derivative instruments intended to economically hedge future years' commodity purchases. These drivers were partially offset by favorable supply chain productivity.</w:t>
      </w:r>
    </w:p>
    <w:p>
      <w:pPr>
        <w:spacing w:after="0" w:line="135" w:lineRule="exact"/>
        <w:rPr>
          <w:sz w:val="20"/>
          <w:szCs w:val="20"/>
          <w:color w:val="auto"/>
        </w:rPr>
      </w:pPr>
    </w:p>
    <w:p>
      <w:pPr>
        <w:ind w:left="40"/>
        <w:spacing w:after="0" w:line="257" w:lineRule="auto"/>
        <w:rPr>
          <w:sz w:val="20"/>
          <w:szCs w:val="20"/>
          <w:color w:val="auto"/>
        </w:rPr>
      </w:pPr>
      <w:r>
        <w:rPr>
          <w:rFonts w:ascii="Arial" w:cs="Arial" w:eastAsia="Arial" w:hAnsi="Arial"/>
          <w:sz w:val="18"/>
          <w:szCs w:val="18"/>
          <w:color w:val="auto"/>
        </w:rPr>
        <w:t>Gross margin decreased by 50 basis points in 2019 compared with 2018. The decrease was driven primarily by to the higher freight and logistics costs, additional plant costs, and the unfavorable year-over-year mark-to-market impact from commodity derivative instruments. These factors were partially offset by supply chain productivity, price realization, and favorable product mix.</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Administrative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0" w:lineRule="exact"/>
        <w:rPr>
          <w:sz w:val="20"/>
          <w:szCs w:val="20"/>
          <w:color w:val="auto"/>
        </w:rPr>
      </w:pPr>
    </w:p>
    <w:p>
      <w:pPr>
        <w:ind w:left="40" w:right="400"/>
        <w:spacing w:after="0" w:line="273" w:lineRule="auto"/>
        <w:rPr>
          <w:sz w:val="20"/>
          <w:szCs w:val="20"/>
          <w:color w:val="auto"/>
        </w:rPr>
      </w:pPr>
      <w:r>
        <w:rPr>
          <w:rFonts w:ascii="Arial" w:cs="Arial" w:eastAsia="Arial" w:hAnsi="Arial"/>
          <w:sz w:val="17"/>
          <w:szCs w:val="17"/>
          <w:color w:val="auto"/>
        </w:rPr>
        <w:t>Selling, marketing and administrative (“SM&amp;A”) expenses decreased $15.0 million or 0.8% in 2020. Total advertising and related consumer marketing expenses decreased 2.0% driven by media cost efficiencies and select brand investment optimization related to COVID-19 in International and Other segments. SM&amp;A expenses, excluding advertising and related consumer marketing, decreased approximately 0.1% in 2020 due to savings in travel and meeting expenses related to COVID-19 travel restrictions and project timing shifts.</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2019 compared with 2018</w:t>
      </w:r>
    </w:p>
    <w:p>
      <w:pPr>
        <w:spacing w:after="0" w:line="100" w:lineRule="exact"/>
        <w:rPr>
          <w:sz w:val="20"/>
          <w:szCs w:val="20"/>
          <w:color w:val="auto"/>
        </w:rPr>
      </w:pPr>
    </w:p>
    <w:p>
      <w:pPr>
        <w:ind w:left="40" w:right="60"/>
        <w:spacing w:after="0" w:line="253" w:lineRule="auto"/>
        <w:rPr>
          <w:sz w:val="20"/>
          <w:szCs w:val="20"/>
          <w:color w:val="auto"/>
        </w:rPr>
      </w:pPr>
      <w:r>
        <w:rPr>
          <w:rFonts w:ascii="Arial" w:cs="Arial" w:eastAsia="Arial" w:hAnsi="Arial"/>
          <w:sz w:val="18"/>
          <w:szCs w:val="18"/>
          <w:color w:val="auto"/>
        </w:rPr>
        <w:t>SM&amp;A expenses increased $31.1 million or 1.7% in 2019. Total advertising and related consumer marketing expenses increased 4.2% driven by advertising increases in North America. SM&amp;A expenses, excluding advertising and related consumer marketing, increased approximately 0.2% in 2019 due to incremental expenses from Pirate Brands and ONE Brands, as well as higher employee related compensation, which more than offset reductions in our base spending from the Margin for Growth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6960870</wp:posOffset>
            </wp:positionH>
            <wp:positionV relativeFrom="paragraph">
              <wp:posOffset>418465</wp:posOffset>
            </wp:positionV>
            <wp:extent cx="194945" cy="169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194310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280" w:top="1407" w:right="419" w:bottom="1440" w:gutter="0" w:footer="0" w:header="0"/>
        </w:sectPr>
      </w:pPr>
    </w:p>
    <w:bookmarkStart w:id="26" w:name="page27"/>
    <w:bookmarkEnd w:id="26"/>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Long-Lived and Intangible Asset Impairment Charges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recorded the following impairment charges: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1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380" w:type="dxa"/>
            <w:vAlign w:val="bottom"/>
          </w:tcPr>
          <w:p>
            <w:pPr>
              <w:spacing w:after="0"/>
              <w:rPr>
                <w:sz w:val="18"/>
                <w:szCs w:val="18"/>
                <w:color w:val="auto"/>
              </w:rPr>
            </w:pPr>
          </w:p>
        </w:tc>
        <w:tc>
          <w:tcPr>
            <w:tcW w:w="1260" w:type="dxa"/>
            <w:vAlign w:val="bottom"/>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73"/>
              <w:spacing w:after="0"/>
              <w:rPr>
                <w:sz w:val="20"/>
                <w:szCs w:val="20"/>
                <w:color w:val="auto"/>
              </w:rPr>
            </w:pPr>
            <w:r>
              <w:rPr>
                <w:rFonts w:ascii="Arial" w:cs="Arial" w:eastAsia="Arial" w:hAnsi="Arial"/>
                <w:sz w:val="16"/>
                <w:szCs w:val="16"/>
                <w:b w:val="1"/>
                <w:bCs w:val="1"/>
                <w:color w:val="auto"/>
              </w:rPr>
              <w:t>2018</w:t>
            </w:r>
          </w:p>
        </w:tc>
      </w:tr>
      <w:tr>
        <w:trPr>
          <w:trHeight w:val="182"/>
        </w:trPr>
        <w:tc>
          <w:tcPr>
            <w:tcW w:w="60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28"/>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 to disposal group (1)</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26"/>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Other asset write-down (2)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 and trademark intangible assets (3)</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Other long-lived assets not held for sale (4)</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6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Long-lived and intangible asset impairment charges</w:t>
            </w: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520" w:right="40" w:hanging="313"/>
        <w:spacing w:after="0" w:line="285" w:lineRule="auto"/>
        <w:tabs>
          <w:tab w:leader="none" w:pos="514"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connection with our disposal group classified as held for sale, during 2020 and 2019, we recorded impairment charges to adjust long-lived asset values. The fair value of the disposal group was supported by potential sales prices with third-party buyers. The sale of the LSFC joint venture (disposal group) was completed in January 2021. In 2018, we recorded impairment charges totaling $57.7 million to adjust the long-lived asset values within certain disposal groups, including the Shanghai Golden Monkey ("SGM") and Tyrrells businesses, the LSFC joint venture and other assets. These charges represent the excess of the disposal groups' carrying values, including the related currency translation adjustment amounts realized or to be realized upon completion of the sales, over the sales values less costs to sell for the respective businesses. The fair values of the disposal groups were supported by the sales prices paid by third-party buyers or estimated sales prices based on marketing of the disposal group, when the sale has not yet been completed. The sales of SGM and Tyrrells were both completed in July 2018.</w:t>
      </w:r>
    </w:p>
    <w:p>
      <w:pPr>
        <w:spacing w:after="0" w:line="11" w:lineRule="exact"/>
        <w:rPr>
          <w:rFonts w:ascii="Arial" w:cs="Arial" w:eastAsia="Arial" w:hAnsi="Arial"/>
          <w:sz w:val="16"/>
          <w:szCs w:val="16"/>
          <w:color w:val="auto"/>
        </w:rPr>
      </w:pPr>
    </w:p>
    <w:p>
      <w:pPr>
        <w:ind w:left="520" w:hanging="313"/>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a previous sale, the Company wrote-down certain receivables deemed uncollectible.</w:t>
      </w:r>
    </w:p>
    <w:p>
      <w:pPr>
        <w:spacing w:after="0" w:line="59" w:lineRule="exact"/>
        <w:rPr>
          <w:rFonts w:ascii="Arial" w:cs="Arial" w:eastAsia="Arial" w:hAnsi="Arial"/>
          <w:sz w:val="18"/>
          <w:szCs w:val="18"/>
          <w:color w:val="auto"/>
        </w:rPr>
      </w:pPr>
    </w:p>
    <w:p>
      <w:pPr>
        <w:ind w:left="520" w:right="100" w:hanging="313"/>
        <w:spacing w:after="0" w:line="273" w:lineRule="auto"/>
        <w:tabs>
          <w:tab w:leader="none" w:pos="514"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During the fourth quarter of 2019, we recorded impairment charges to write down customer relationship and trademark intangible assets associated with Krave. These charges were determined by comparing the fair value of the asset group to its carrying value. We used various valuation techniques to determine fair value, with the primary techniques being discounted cash flow analysis and relief-from-royalty valuation approaches, which use significant unobservable inputs, or Level 3 inputs, as defined by the fair value hierarchy.</w:t>
      </w:r>
    </w:p>
    <w:p>
      <w:pPr>
        <w:spacing w:after="0" w:line="16" w:lineRule="exact"/>
        <w:rPr>
          <w:rFonts w:ascii="Arial" w:cs="Arial" w:eastAsia="Arial" w:hAnsi="Arial"/>
          <w:sz w:val="17"/>
          <w:szCs w:val="17"/>
          <w:color w:val="auto"/>
        </w:rPr>
      </w:pPr>
    </w:p>
    <w:p>
      <w:pPr>
        <w:ind w:left="520" w:right="160" w:hanging="313"/>
        <w:spacing w:after="0" w:line="267" w:lineRule="auto"/>
        <w:tabs>
          <w:tab w:leader="none" w:pos="5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2019, we recorded impairment charges predominantly comprised of select long-lived assets that had not yet met the held for sale criteria. The fair value of these assets was supported by potential sales prices with third-party buyers and market analysis.</w:t>
      </w:r>
    </w:p>
    <w:p>
      <w:pPr>
        <w:spacing w:after="0" w:line="46" w:lineRule="exact"/>
        <w:rPr>
          <w:sz w:val="20"/>
          <w:szCs w:val="20"/>
          <w:color w:val="auto"/>
        </w:rPr>
      </w:pPr>
    </w:p>
    <w:p>
      <w:pPr>
        <w:ind w:left="40" w:right="480"/>
        <w:spacing w:after="0" w:line="257" w:lineRule="auto"/>
        <w:rPr>
          <w:sz w:val="20"/>
          <w:szCs w:val="20"/>
          <w:color w:val="auto"/>
        </w:rPr>
      </w:pPr>
      <w:r>
        <w:rPr>
          <w:rFonts w:ascii="Arial" w:cs="Arial" w:eastAsia="Arial" w:hAnsi="Arial"/>
          <w:sz w:val="18"/>
          <w:szCs w:val="18"/>
          <w:color w:val="auto"/>
        </w:rPr>
        <w:t>The assessment of the valuation of goodwill and other long-lived assets is based on management estimates and assumptions, as discussed in our critical accounting policies included in Item 7 of this Annual Report on Form 10-K. These estimates and assumptions are subject to change due to changing economic and competitive conditions.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Activities</w:t>
      </w:r>
    </w:p>
    <w:p>
      <w:pPr>
        <w:spacing w:after="0" w:line="172" w:lineRule="exact"/>
        <w:rPr>
          <w:sz w:val="20"/>
          <w:szCs w:val="20"/>
          <w:color w:val="auto"/>
        </w:rPr>
      </w:pPr>
    </w:p>
    <w:p>
      <w:pPr>
        <w:ind w:left="40" w:right="6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We periodically undertake business realignment activities designed to increase our efficiency and focus our business in support of our key growth strategies. In 2020, 2019 and 2018, we recorded business realignment costs of $18.5 million, $8.1 million and $19.1 million, respectively. The 2020 costs related primarily to the International Optimization Program, a program focused on optimizing our China operating model to improve our operational efficiency and provide for a strong, sustainable and simplified base going forward. The 2019 and 2018 costs related primarily to the Margin for Growth Program, a program focused on improving global efficiency and effectiveness, optimizing the Company’s supply chain, streamlining the Company’s operating model and reducing administrative expenses to generate long-term savings. Costs associated with business realignment activities are classified in our Consolidated Statements of Income as described in </w:t>
      </w:r>
      <w:hyperlink w:anchor="page77">
        <w:r>
          <w:rPr>
            <w:rFonts w:ascii="Arial" w:cs="Arial" w:eastAsia="Arial" w:hAnsi="Arial"/>
            <w:sz w:val="17"/>
            <w:szCs w:val="17"/>
            <w:u w:val="single" w:color="auto"/>
            <w:color w:val="0000FF"/>
          </w:rPr>
          <w:t>Note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6960870</wp:posOffset>
            </wp:positionH>
            <wp:positionV relativeFrom="paragraph">
              <wp:posOffset>412115</wp:posOffset>
            </wp:positionV>
            <wp:extent cx="194945" cy="169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194310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80"/>
          </w:cols>
          <w:pgMar w:left="280" w:top="1440" w:right="339" w:bottom="1440" w:gutter="0" w:footer="0" w:header="0"/>
        </w:sectPr>
      </w:pPr>
    </w:p>
    <w:bookmarkStart w:id="27" w:name="page28"/>
    <w:bookmarkEnd w:id="27"/>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Operating profit increased 11.7% in 2020 compared with 2019 due primarily to higher gross profit, lower SM&amp;A and lower impairment charges, partially offset by higher business realignment costs in the 2020 period, as noted above. Operating profit margin increased to 21.9% in 2020 from 20.0% in 2019 driven by these same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profit decreased 1.7% in 2019 compared with 2018 due primarily to higher impairment charges and higher SM&amp;A, partially offset by higher gross profit and lower business realignment costs in the 2019 period, as noted above. Operating profit margin decreased to 20.0% in 2019 from 20.8% in 2018 driven by these same factors.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0"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Net interest expense was $5.2 million higher in 2020 than in 2019. The increase was due to higher long-term debt balances in 2020 versus 2019, specifically due to $1.0 billion of notes issued in October 2019 and $1.0 billion of notes issued in May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interest expense was $5.3 million higher in 2019 than in 2018. The increase was due to a higher average long-term debt balance in 2019 versus 2018.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86"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Other (income) expense, net totaled an expense of $138.3 million in 2020 versus an expense of $71.1 million in 2019. The increase in the net expense was primarily due to higher write-downs on equity investments qualifying for federal solar tax credits, partially offset by lower non-service cost components of net periodic benefit cost relating to pension and other post-retirement benefit plans during 2020 compared to the 2019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100"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color w:val="auto"/>
        </w:rPr>
        <w:t>Other (income) expense, net totaled an expense of $71.1 million in 2019 versus an expense of $74.8 million 2018. The decrease in the net expense was primarily due to lower other non-operating losses during 2019 compared to the 2018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0"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Our effective income tax rate was 14.7% for 2020 compared with 16.9% for 2019. Relative to the 21% statutory rate, the 2020 effective tax rate benefited from investment tax credits and the benefit of employee share-based payments, partially offset by state taxes. The 2019 effective rate, relative to the 21% statutory rate was impacted by changes to foreign valuation allowances, a favorable foreign rate differential, investment tax credits and the benefit of employee share-based payment, which were partially offset by the impact of state taxes.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100"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Our effective income tax rate was 16.9% for 2019 compared with 17.0% for 2018. Relative to the 21% statutory rate, the 2019 effective tax rate was impacted by changes to foreign valuation allowances, a favorable foreign rate differential, investment tax credits and the benefit of employee share-based payments, which were partially offset by the impact of state taxes. The 2018 effective rate, relative to the 21% statutory rate, benefited from a favorable foreign rate differential and investment tax credits, which were partially offset by the impact of state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407670</wp:posOffset>
            </wp:positionV>
            <wp:extent cx="194945" cy="169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8" w:name="page29"/>
    <w:bookmarkEnd w:id="28"/>
    <w:p>
      <w:pPr>
        <w:spacing w:after="0" w:line="54" w:lineRule="exact"/>
        <w:rPr>
          <w:sz w:val="20"/>
          <w:szCs w:val="20"/>
          <w:color w:val="auto"/>
        </w:rPr>
      </w:pPr>
    </w:p>
    <w:p>
      <w:pPr>
        <w:ind w:right="4940"/>
        <w:spacing w:after="0" w:line="351" w:lineRule="auto"/>
        <w:rPr>
          <w:sz w:val="20"/>
          <w:szCs w:val="20"/>
          <w:color w:val="auto"/>
        </w:rPr>
      </w:pPr>
      <w:r>
        <w:rPr>
          <w:rFonts w:ascii="Arial" w:cs="Arial" w:eastAsia="Arial" w:hAnsi="Arial"/>
          <w:sz w:val="18"/>
          <w:szCs w:val="18"/>
          <w:b w:val="1"/>
          <w:bCs w:val="1"/>
          <w:color w:val="auto"/>
        </w:rPr>
        <w:t xml:space="preserve">Net Income attributable to The Hershey Company and Earnings Per Share-diluted </w:t>
      </w:r>
      <w:r>
        <w:rPr>
          <w:rFonts w:ascii="Arial" w:cs="Arial" w:eastAsia="Arial" w:hAnsi="Arial"/>
          <w:sz w:val="18"/>
          <w:szCs w:val="18"/>
          <w:i w:val="1"/>
          <w:iCs w:val="1"/>
          <w:color w:val="auto"/>
        </w:rPr>
        <w:t>2020 compared with 2019</w:t>
      </w:r>
    </w:p>
    <w:p>
      <w:pPr>
        <w:spacing w:after="0" w:line="273" w:lineRule="auto"/>
        <w:rPr>
          <w:sz w:val="20"/>
          <w:szCs w:val="20"/>
          <w:color w:val="auto"/>
        </w:rPr>
      </w:pPr>
      <w:r>
        <w:rPr>
          <w:rFonts w:ascii="Arial" w:cs="Arial" w:eastAsia="Arial" w:hAnsi="Arial"/>
          <w:sz w:val="17"/>
          <w:szCs w:val="17"/>
          <w:color w:val="auto"/>
        </w:rPr>
        <w:t>Net income increased $129.0 million, or 11.2%, while EPS-diluted increased $0.65, or 11.9%, in 2020 compared with 2019. The increase in both net income and EPS-diluted was driven primarily by higher gross profit, lower SM&amp;A, lower impairment charges, and lower income taxes in 2020, partially offset by higher other income and expenses, higher business realignment costs, and higher interest expense. Our 2020 EPS-diluted also benefited from lower weighted-average shares outstanding as a result of share repurchases pursuant to our Board-approved repurchase programs.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income decreased $27.9 million, or 2.4%, while EPS-diluted decreased $0.12, or 2.2%, in 2019 compared with 2018. The decrease in both net income and EPS-diluted was driven primarily by higher impairment charges and SM&amp;A in 2019, partially offset by higher gross profit, lower business realignment costs and lower income taxes. Our 2019 EPS-diluted also benefited from lower weighted-average shares outstanding as a result of share repurchases pursuant to our Board-approved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418465</wp:posOffset>
            </wp:positionV>
            <wp:extent cx="194945" cy="169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0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360" w:type="dxa"/>
            <w:vAlign w:val="bottom"/>
          </w:tcPr>
          <w:p>
            <w:pPr>
              <w:spacing w:after="0"/>
              <w:rPr>
                <w:sz w:val="18"/>
                <w:szCs w:val="18"/>
                <w:color w:val="auto"/>
              </w:rPr>
            </w:pPr>
          </w:p>
        </w:tc>
        <w:tc>
          <w:tcPr>
            <w:tcW w:w="118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182"/>
        </w:trPr>
        <w:tc>
          <w:tcPr>
            <w:tcW w:w="6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228"/>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6"/>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7,416.7</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7,081.8</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6,901.6</w:t>
            </w:r>
          </w:p>
        </w:tc>
      </w:tr>
      <w:tr>
        <w:trPr>
          <w:trHeight w:val="227"/>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889.5</w:t>
            </w:r>
          </w:p>
        </w:tc>
      </w:tr>
      <w:tr>
        <w:trPr>
          <w:trHeight w:val="221"/>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8,149.7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7,791.1</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3"/>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Segment Income: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2,020.1</w:t>
            </w:r>
          </w:p>
        </w:tc>
      </w:tr>
      <w:tr>
        <w:trPr>
          <w:trHeight w:val="226"/>
        </w:trPr>
        <w:tc>
          <w:tcPr>
            <w:tcW w:w="64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r>
      <w:tr>
        <w:trPr>
          <w:trHeight w:val="221"/>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2,093.9</w:t>
            </w:r>
          </w:p>
        </w:tc>
      </w:tr>
      <w:tr>
        <w:trPr>
          <w:trHeight w:val="22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Unallocated corporate expense (1)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528.9</w:t>
            </w:r>
          </w:p>
        </w:tc>
      </w:tr>
      <w:tr>
        <w:trPr>
          <w:trHeight w:val="227"/>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 mark-to-market losses (gains) on commodity derivatives (2)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r>
      <w:tr>
        <w:trPr>
          <w:trHeight w:val="22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Long-lived and intangible asset impairment charges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7"/>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1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1,623.7</w:t>
            </w:r>
          </w:p>
        </w:tc>
      </w:tr>
      <w:tr>
        <w:trPr>
          <w:trHeight w:val="227"/>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26"/>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r>
      <w:tr>
        <w:trPr>
          <w:trHeight w:val="24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320" w:right="40" w:hanging="313"/>
        <w:spacing w:after="0" w:line="281" w:lineRule="auto"/>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47" w:lineRule="exact"/>
        <w:rPr>
          <w:rFonts w:ascii="Arial" w:cs="Arial" w:eastAsia="Arial" w:hAnsi="Arial"/>
          <w:sz w:val="15"/>
          <w:szCs w:val="15"/>
          <w:color w:val="auto"/>
        </w:rPr>
      </w:pPr>
    </w:p>
    <w:p>
      <w:pPr>
        <w:ind w:left="320" w:right="240" w:hanging="313"/>
        <w:spacing w:after="0" w:line="270"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Net losses (gains) on mark-to-market valuation of commodity derivative positions recognized in unallocated derivative losses (gains). See </w:t>
      </w:r>
      <w:hyperlink w:anchor="page91">
        <w:r>
          <w:rPr>
            <w:rFonts w:ascii="Arial" w:cs="Arial" w:eastAsia="Arial" w:hAnsi="Arial"/>
            <w:sz w:val="16"/>
            <w:szCs w:val="16"/>
            <w:u w:val="single" w:color="auto"/>
            <w:color w:val="0000FF"/>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403225</wp:posOffset>
            </wp:positionV>
            <wp:extent cx="194945" cy="169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North America</w:t>
      </w:r>
    </w:p>
    <w:p>
      <w:pPr>
        <w:spacing w:after="0" w:line="10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91.0%, 88.7% and 88.6% of our net sales in 2020, 2019 and 2018, respectively. North America results for the years ended December 31, 2020, 2019 and 2018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6"/>
                <w:szCs w:val="16"/>
                <w:b w:val="1"/>
                <w:bCs w:val="1"/>
                <w:color w:val="auto"/>
              </w:rPr>
              <w:t>Percent Change</w:t>
            </w:r>
          </w:p>
        </w:tc>
      </w:tr>
      <w:tr>
        <w:trPr>
          <w:trHeight w:val="209"/>
        </w:trPr>
        <w:tc>
          <w:tcPr>
            <w:tcW w:w="388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2020 vs 2019</w:t>
            </w:r>
          </w:p>
        </w:tc>
        <w:tc>
          <w:tcPr>
            <w:tcW w:w="1340" w:type="dxa"/>
            <w:vAlign w:val="bottom"/>
          </w:tcPr>
          <w:p>
            <w:pPr>
              <w:jc w:val="right"/>
              <w:ind w:right="154"/>
              <w:spacing w:after="0"/>
              <w:rPr>
                <w:sz w:val="20"/>
                <w:szCs w:val="20"/>
                <w:color w:val="auto"/>
              </w:rPr>
            </w:pPr>
            <w:r>
              <w:rPr>
                <w:rFonts w:ascii="Arial" w:cs="Arial" w:eastAsia="Arial" w:hAnsi="Arial"/>
                <w:sz w:val="16"/>
                <w:szCs w:val="16"/>
                <w:b w:val="1"/>
                <w:bCs w:val="1"/>
                <w:color w:val="auto"/>
              </w:rPr>
              <w:t>2019 vs 2018</w:t>
            </w:r>
          </w:p>
        </w:tc>
      </w:tr>
      <w:tr>
        <w:trPr>
          <w:trHeight w:val="181"/>
        </w:trPr>
        <w:tc>
          <w:tcPr>
            <w:tcW w:w="37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28"/>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7,416.7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7,081.8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6,901.6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Segment income</w:t>
            </w:r>
          </w:p>
        </w:tc>
        <w:tc>
          <w:tcPr>
            <w:tcW w:w="32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2,321.8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2,125.9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2,020.1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2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30.0 %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29.3 %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0"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Net sales of our North America segment increased $334.9 million or 4.7% in 2020 compared to 2019, reflecting favorable price realization of 2.8% attributed to higher prices on certain products, a volume increase of 1.4% due to an increase in everyday core U.S. confection brands and our snacks portfolio and a</w:t>
      </w:r>
    </w:p>
    <w:p>
      <w:pPr>
        <w:spacing w:after="0" w:line="1"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 xml:space="preserve">0.6% benefit from net acquisitions and divestitures (predominantly driven by the 2019 acquisition of ONE Brands, partially offset by the 2020 divestitures of Krave and the </w:t>
      </w:r>
      <w:r>
        <w:rPr>
          <w:rFonts w:ascii="Arial" w:cs="Arial" w:eastAsia="Arial" w:hAnsi="Arial"/>
          <w:sz w:val="18"/>
          <w:szCs w:val="18"/>
          <w:i w:val="1"/>
          <w:iCs w:val="1"/>
          <w:color w:val="auto"/>
        </w:rPr>
        <w:t>Scharffen Berger</w:t>
      </w:r>
      <w:r>
        <w:rPr>
          <w:rFonts w:ascii="Arial" w:cs="Arial" w:eastAsia="Arial" w:hAnsi="Arial"/>
          <w:sz w:val="18"/>
          <w:szCs w:val="18"/>
          <w:color w:val="auto"/>
        </w:rPr>
        <w:t xml:space="preserve"> and </w:t>
      </w:r>
      <w:r>
        <w:rPr>
          <w:rFonts w:ascii="Arial" w:cs="Arial" w:eastAsia="Arial" w:hAnsi="Arial"/>
          <w:sz w:val="18"/>
          <w:szCs w:val="18"/>
          <w:i w:val="1"/>
          <w:iCs w:val="1"/>
          <w:color w:val="auto"/>
        </w:rPr>
        <w:t>Dagoba</w:t>
      </w:r>
      <w:r>
        <w:rPr>
          <w:rFonts w:ascii="Arial" w:cs="Arial" w:eastAsia="Arial" w:hAnsi="Arial"/>
          <w:sz w:val="18"/>
          <w:szCs w:val="18"/>
          <w:color w:val="auto"/>
        </w:rPr>
        <w:t xml:space="preserve"> brands). These increases were partially offset by an unfavorable impact from foreign currency exchange rates of 0.1%.</w:t>
      </w:r>
    </w:p>
    <w:p>
      <w:pPr>
        <w:spacing w:after="0" w:line="62" w:lineRule="exact"/>
        <w:rPr>
          <w:sz w:val="20"/>
          <w:szCs w:val="20"/>
          <w:color w:val="auto"/>
        </w:rPr>
      </w:pPr>
    </w:p>
    <w:p>
      <w:pPr>
        <w:ind w:right="140"/>
        <w:spacing w:after="0" w:line="330" w:lineRule="auto"/>
        <w:rPr>
          <w:sz w:val="20"/>
          <w:szCs w:val="20"/>
          <w:color w:val="auto"/>
        </w:rPr>
      </w:pPr>
      <w:r>
        <w:rPr>
          <w:rFonts w:ascii="Arial" w:cs="Arial" w:eastAsia="Arial" w:hAnsi="Arial"/>
          <w:sz w:val="16"/>
          <w:szCs w:val="16"/>
          <w:color w:val="auto"/>
        </w:rPr>
        <w:t>Our North America segment income increased $195.9 million or 9.2% in 2020 compared to 2019, primarily due to favorable price realization and volume increases, partially offset by higher supply chain-related costs, specifically, PPE costs, increased sanitation and wage incentives associated with COVID-19.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10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sales of our North America segment increased $180.2 million or 2.6% in 2019 compared to 2018, reflecting a favorable price realization of 2.0% attributed to higher prices on certain products and a benefit from net impact of acquisitions and divestitures of 1.4%. This was partially offset by a volume decrease of 0.7% and an unfavorable impact from foreign currency exchange rates of 0.1%. Our volume decline was driven primarily by pricing elasticity, as well as the introduction of new packaging formats during 2019. Excluding the Amplify, Pirate Brands and ONE Brands acquisitions and Tyrrells divestiture, our North America segment net sales increased 1.2%.</w:t>
      </w:r>
    </w:p>
    <w:p>
      <w:pPr>
        <w:spacing w:after="0" w:line="73" w:lineRule="exact"/>
        <w:rPr>
          <w:sz w:val="20"/>
          <w:szCs w:val="20"/>
          <w:color w:val="auto"/>
        </w:rPr>
      </w:pPr>
    </w:p>
    <w:p>
      <w:pPr>
        <w:spacing w:after="0" w:line="330" w:lineRule="auto"/>
        <w:rPr>
          <w:sz w:val="20"/>
          <w:szCs w:val="20"/>
          <w:color w:val="auto"/>
        </w:rPr>
      </w:pPr>
      <w:r>
        <w:rPr>
          <w:rFonts w:ascii="Arial" w:cs="Arial" w:eastAsia="Arial" w:hAnsi="Arial"/>
          <w:sz w:val="16"/>
          <w:szCs w:val="16"/>
          <w:color w:val="auto"/>
        </w:rPr>
        <w:t>Our North America segment income increased $105.8 million or 5.2% in 2019 compared to 2018, primarily due to favorable price realization, favorable sales mix and favorable commodity costs, partially offset by higher freight and logistics costs, higher supply chain-related costs and higher advertising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380365</wp:posOffset>
            </wp:positionV>
            <wp:extent cx="194945" cy="169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401" w:right="359" w:bottom="1440" w:gutter="0" w:footer="0" w:header="0"/>
        </w:sectPr>
      </w:pPr>
    </w:p>
    <w:bookmarkStart w:id="31" w:name="page32"/>
    <w:bookmarkEnd w:id="31"/>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9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accounted for 9.0%, 11.3% and 11.4% of our net sales in 2020, 2019 and 2018, respectively. International and Other results for the years ended December 31, 2020, 2019 and 2018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6"/>
                <w:szCs w:val="16"/>
                <w:b w:val="1"/>
                <w:bCs w:val="1"/>
                <w:color w:val="auto"/>
              </w:rPr>
              <w:t>Percent Change</w:t>
            </w:r>
          </w:p>
        </w:tc>
      </w:tr>
      <w:tr>
        <w:trPr>
          <w:trHeight w:val="209"/>
        </w:trPr>
        <w:tc>
          <w:tcPr>
            <w:tcW w:w="388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2020 vs 2019</w:t>
            </w:r>
          </w:p>
        </w:tc>
        <w:tc>
          <w:tcPr>
            <w:tcW w:w="1340" w:type="dxa"/>
            <w:vAlign w:val="bottom"/>
          </w:tcPr>
          <w:p>
            <w:pPr>
              <w:jc w:val="right"/>
              <w:ind w:right="154"/>
              <w:spacing w:after="0"/>
              <w:rPr>
                <w:sz w:val="20"/>
                <w:szCs w:val="20"/>
                <w:color w:val="auto"/>
              </w:rPr>
            </w:pPr>
            <w:r>
              <w:rPr>
                <w:rFonts w:ascii="Arial" w:cs="Arial" w:eastAsia="Arial" w:hAnsi="Arial"/>
                <w:sz w:val="16"/>
                <w:szCs w:val="16"/>
                <w:b w:val="1"/>
                <w:bCs w:val="1"/>
                <w:color w:val="auto"/>
              </w:rPr>
              <w:t>2019 vs 2018</w:t>
            </w:r>
          </w:p>
        </w:tc>
      </w:tr>
      <w:tr>
        <w:trPr>
          <w:trHeight w:val="181"/>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28"/>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889.5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Segment income</w:t>
            </w:r>
          </w:p>
        </w:tc>
        <w:tc>
          <w:tcPr>
            <w:tcW w:w="32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29.7 %</w:t>
            </w:r>
          </w:p>
        </w:tc>
      </w:tr>
      <w:tr>
        <w:trPr>
          <w:trHeight w:val="22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8.3 %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sales of our International and Other segment decreased $171.5 million or 19.0% in 2020 compared to 2019, reflecting a volume decrease of 13.7%, an unfavorable impact from foreign currency exchange rates of 4.1% and an unfavorable price realization of 1.2%. The volume declines were attributed to significant sales declines in Mexico and China, where net sales declined by 24.6% and 46.0%, respectively, due to the implementation of quarantine protocols by local governments to mitigate the spread of COVID-19. Furthermore, net sales declines in China were also attributable to the commencement of the International Optimization Program.</w:t>
      </w:r>
    </w:p>
    <w:p>
      <w:pPr>
        <w:spacing w:after="0" w:line="113"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Our International and Other segment also includes licensing, owned retail and world travel retail, where net sales declined approximately 31.2% during 2020. At the onset of the pandemic, the Company temporarily closed all Hershey's Chocolate World stores in the U.S. (3 locations), Niagara Falls (Ontario) and Singapore; however, as of July, all locations were re-opened on a limited capacity basis with increased safety measures and enforced social distancing.</w:t>
      </w:r>
    </w:p>
    <w:p>
      <w:pPr>
        <w:spacing w:after="0" w:line="34"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Our International and Other segment generated income of $28.6 million in 2020 compared to $95.7 million in 2019. This decrease was driven by the lower level of net sales associated with the COVID-19 disruption.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10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Net sales of our International and Other segment increased $15.0 million or 1.7% in 2019 compared to 2018, reflecting a volume increase of 5.7%, partially offset by a 2.2% reduction in net sales primarily from the divestiture of SGM, an unfavorable impact from foreign currency exchange rates of 1.5%, and unfavorable price realization of 0.3%. Excluding the divestiture of SGM and unfavorable foreign currency exchange rates, our International and Other segment net sales increased 5.4%. The volume increase was primarily attributed to solid marketplace growth in Mexico, India and Regional Markets where net sales increased by 6.7%, 4.9% and 4.5%, respectively. The unfavorable net price realization was driven by increased levels of trade promotional spending compared to the prior year.</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International and Other segment generated income of $95.7 million in 2019 compared to $73.8 million in 2018, with the improvement primarily resulting from our efforts to drive sustainable gross margin improvements as we executed our Margin for Growth program and optimized the product portfolio across various international markets. Additionally, segment income benefited from continued growth across Mexico, India, China and Regional Markets, as well as our licensing and world travel retail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426720</wp:posOffset>
            </wp:positionV>
            <wp:extent cx="194945" cy="169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146"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73" w:lineRule="exact"/>
        <w:rPr>
          <w:sz w:val="20"/>
          <w:szCs w:val="20"/>
          <w:color w:val="auto"/>
        </w:rPr>
      </w:pPr>
    </w:p>
    <w:p>
      <w:pPr>
        <w:jc w:val="both"/>
        <w:ind w:right="500"/>
        <w:spacing w:after="0" w:line="279" w:lineRule="auto"/>
        <w:rPr>
          <w:sz w:val="20"/>
          <w:szCs w:val="20"/>
          <w:color w:val="auto"/>
        </w:rPr>
      </w:pPr>
      <w:r>
        <w:rPr>
          <w:rFonts w:ascii="Arial" w:cs="Arial" w:eastAsia="Arial" w:hAnsi="Arial"/>
          <w:sz w:val="17"/>
          <w:szCs w:val="17"/>
          <w:color w:val="auto"/>
        </w:rPr>
        <w:t>Unallocated corporate expense totaled $520.7 million in 2020 as compared to $532.6 million in 2019 primarily driven by savings in travel and meeting expenses related to COVID-19 travel restrictions and project timing shifts. In 2019, unallocated corporate expense increased $3.7 million from $528.9 million in 2018 primarily driven by compensation related expenses, partially offset by acquisition-related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include cash flows generated from operating activities, capital expenditures, acquisitions, dividends, repurchases of outstanding shares, the adequacy of available commercial paper and bank lines of credit, and the ability to attract long-term capital with satisfactory terms. We generate substantial amounts of cash from operations and remain in a strong financial position, with sufficient liquidity available for capital reinvestment, strategic acquisitions and the payment of dividends.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Statements of Cash Flows: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2018</w:t>
            </w:r>
          </w:p>
        </w:tc>
      </w:tr>
      <w:tr>
        <w:trPr>
          <w:trHeight w:val="223"/>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1,699.6</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1,763.9</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1,599.9</w:t>
            </w:r>
          </w:p>
        </w:tc>
      </w:tr>
      <w:tr>
        <w:trPr>
          <w:trHeight w:val="227"/>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r>
      <w:tr>
        <w:trPr>
          <w:trHeight w:val="226"/>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116.1</w:t>
            </w:r>
          </w:p>
        </w:tc>
      </w:tr>
      <w:tr>
        <w:trPr>
          <w:trHeight w:val="227"/>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6"/>
        </w:trPr>
        <w:tc>
          <w:tcPr>
            <w:tcW w:w="6800" w:type="dxa"/>
            <w:vAlign w:val="bottom"/>
            <w:gridSpan w:val="2"/>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Less: Cash classified as assets held for sale (see </w:t>
            </w:r>
            <w:hyperlink w:anchor="page76">
              <w:r>
                <w:rPr>
                  <w:rFonts w:ascii="Arial" w:cs="Arial" w:eastAsia="Arial" w:hAnsi="Arial"/>
                  <w:sz w:val="18"/>
                  <w:szCs w:val="18"/>
                  <w:u w:val="single" w:color="auto"/>
                  <w:color w:val="0000FF"/>
                </w:rPr>
                <w:t>Note 8</w:t>
              </w:r>
            </w:hyperlink>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6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principal source of liquidity is cash flow from operations. Our net income and, consequently, our cash provided by operations are impacted by sales volume, seasonal sales patterns, timing of new product introductions, profit margins and price changes. Sales are typically higher during the third and fourth quarters of the year due to seasonal and holiday-related sales patterns. Generally, working capital needs peak during the summer months. We meet these needs primarily with cash on hand, bank borrowings or the issuance of commercial paper.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in 2020 decreased $64.3 million relative to 2019. This decrease was driven by the following factors:</w:t>
      </w:r>
    </w:p>
    <w:p>
      <w:pPr>
        <w:spacing w:after="0" w:line="166" w:lineRule="exact"/>
        <w:rPr>
          <w:sz w:val="20"/>
          <w:szCs w:val="20"/>
          <w:color w:val="auto"/>
        </w:rPr>
      </w:pPr>
    </w:p>
    <w:p>
      <w:pPr>
        <w:ind w:left="320" w:right="40" w:hanging="313"/>
        <w:spacing w:after="0" w:line="253"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working capital (comprised of trade accounts receivable, inventory, accounts payable and accrued liabilities) consumed cash of $166 million in 2020 and generated cash of $60 million in 2019. This $226 million fluctuation was mainly driven by a higher year-over-year build up of U.S. inventories to satisfy product requirements and maintain sufficient levels to accommodate customer requirements, as well as an increase in cash used by accounts receivable due to an increase in sales of U.S. seasonal products.</w:t>
      </w:r>
    </w:p>
    <w:p>
      <w:pPr>
        <w:spacing w:after="0" w:line="140" w:lineRule="exact"/>
        <w:rPr>
          <w:rFonts w:ascii="Arial" w:cs="Arial" w:eastAsia="Arial" w:hAnsi="Arial"/>
          <w:sz w:val="18"/>
          <w:szCs w:val="18"/>
          <w:color w:val="auto"/>
        </w:rPr>
      </w:pPr>
    </w:p>
    <w:p>
      <w:pPr>
        <w:ind w:left="320" w:hanging="313"/>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decrease in cash provided by operating activities was partially offset by the following net cash inflows:</w:t>
      </w:r>
    </w:p>
    <w:p>
      <w:pPr>
        <w:spacing w:after="0" w:line="166" w:lineRule="exact"/>
        <w:rPr>
          <w:rFonts w:ascii="Arial" w:cs="Arial" w:eastAsia="Arial" w:hAnsi="Arial"/>
          <w:sz w:val="18"/>
          <w:szCs w:val="18"/>
          <w:color w:val="auto"/>
        </w:rPr>
      </w:pPr>
    </w:p>
    <w:p>
      <w:pPr>
        <w:ind w:left="960" w:right="60" w:hanging="314"/>
        <w:spacing w:after="0" w:line="257" w:lineRule="auto"/>
        <w:tabs>
          <w:tab w:leader="none" w:pos="956"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long-lived and intangible asset charges, write-down of equity investments and other charges) resulted in $207 million of higher cash flow in 2020 relative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414655</wp:posOffset>
            </wp:positionV>
            <wp:extent cx="194945" cy="169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Cash provided by operating activities in 2019 increased $164.0 million relative to 2018. This increase was driven by the following factors:</w:t>
      </w:r>
    </w:p>
    <w:p>
      <w:pPr>
        <w:spacing w:after="0" w:line="166" w:lineRule="exact"/>
        <w:rPr>
          <w:sz w:val="20"/>
          <w:szCs w:val="20"/>
          <w:color w:val="auto"/>
        </w:rPr>
      </w:pPr>
    </w:p>
    <w:p>
      <w:pPr>
        <w:ind w:left="320" w:right="140" w:hanging="313"/>
        <w:spacing w:after="0" w:line="253"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working capital (comprised of trade accounts receivable, inventory, accounts payable and accrued liabilities) generated cash of $60 million in 2019 and consumed cash of $104 million in 2018. This $164 million fluctuation was mainly driven by higher cash receipts prior to year-end 2019, the timing of vendor and supplier payments, as well as higher accrued incentive compensation related to annual performance that was paid in the first quarter of 2020.</w:t>
      </w:r>
    </w:p>
    <w:p>
      <w:pPr>
        <w:spacing w:after="0" w:line="140" w:lineRule="exact"/>
        <w:rPr>
          <w:rFonts w:ascii="Arial" w:cs="Arial" w:eastAsia="Arial" w:hAnsi="Arial"/>
          <w:sz w:val="18"/>
          <w:szCs w:val="18"/>
          <w:color w:val="auto"/>
        </w:rPr>
      </w:pPr>
    </w:p>
    <w:p>
      <w:pPr>
        <w:ind w:left="320" w:right="400" w:hanging="313"/>
        <w:spacing w:after="0" w:line="253"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Prepaid expenses and other current assets generated cash of $14 million in 2019, compared to a use of cash of $40 million in 2018. This $54 million fluctuation was mainly driven by the timing of payments on commodity futures. In addition, in 2019, the volume of commodity futures held, which require margin deposits, was lower compared to 2018. We utilize commodity futures contracts to economically manage the risk of future price fluctuations associated with our purchase of raw materials.</w:t>
      </w:r>
    </w:p>
    <w:p>
      <w:pPr>
        <w:spacing w:after="0" w:line="140" w:lineRule="exact"/>
        <w:rPr>
          <w:rFonts w:ascii="Arial" w:cs="Arial" w:eastAsia="Arial" w:hAnsi="Arial"/>
          <w:sz w:val="18"/>
          <w:szCs w:val="18"/>
          <w:color w:val="auto"/>
        </w:rPr>
      </w:pPr>
    </w:p>
    <w:p>
      <w:pPr>
        <w:ind w:left="320" w:hanging="313"/>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 in cash provided by operating activities was partially offset by the following net cash outflows:</w:t>
      </w:r>
    </w:p>
    <w:p>
      <w:pPr>
        <w:spacing w:after="0" w:line="166" w:lineRule="exact"/>
        <w:rPr>
          <w:rFonts w:ascii="Arial" w:cs="Arial" w:eastAsia="Arial" w:hAnsi="Arial"/>
          <w:sz w:val="18"/>
          <w:szCs w:val="18"/>
          <w:color w:val="auto"/>
        </w:rPr>
      </w:pPr>
    </w:p>
    <w:p>
      <w:pPr>
        <w:jc w:val="both"/>
        <w:ind w:left="960" w:right="40" w:hanging="314"/>
        <w:spacing w:after="0" w:line="257" w:lineRule="auto"/>
        <w:tabs>
          <w:tab w:leader="none" w:pos="95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Income taxes used cash of $9 million in 2019, compared to cash generated of $76 million in 2018. This $85 million fluctuation was mainly due to the variance in actual tax expense for 2019 relative to the timing of quarterly estimated tax payments, which resulted in a lower taxes payable position at the end of 2019 compared to 2018.</w:t>
      </w:r>
    </w:p>
    <w:p>
      <w:pPr>
        <w:spacing w:after="0" w:line="134" w:lineRule="exact"/>
        <w:rPr>
          <w:rFonts w:ascii="Arial" w:cs="Arial" w:eastAsia="Arial" w:hAnsi="Arial"/>
          <w:sz w:val="18"/>
          <w:szCs w:val="18"/>
          <w:color w:val="auto"/>
        </w:rPr>
      </w:pPr>
    </w:p>
    <w:p>
      <w:pPr>
        <w:ind w:left="960" w:right="100" w:hanging="314"/>
        <w:spacing w:after="0" w:line="257" w:lineRule="auto"/>
        <w:tabs>
          <w:tab w:leader="none" w:pos="956"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long-lived and intangible asset charges, write-down of equity investments and other charges) resulted in $2 million of lower cash flow in 2019 relative to 2018.</w:t>
      </w:r>
    </w:p>
    <w:p>
      <w:pPr>
        <w:spacing w:after="0" w:line="1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 xml:space="preserve">Pension and Post-Retirement Activity. </w:t>
      </w:r>
      <w:r>
        <w:rPr>
          <w:rFonts w:ascii="Arial" w:cs="Arial" w:eastAsia="Arial" w:hAnsi="Arial"/>
          <w:sz w:val="18"/>
          <w:szCs w:val="18"/>
          <w:color w:val="auto"/>
        </w:rPr>
        <w:t>We recorded net periodic benefit costs of $34.5 million, $41.4 million and $42.1 million in 2020,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relating to our benefit plans (including our defined benefit and other post retirement plans). The main drivers of fluctuations in expense from year to year are assumptions in formulating our long-term estimates, including discount rates used to value plan obligations, expected returns on plan assets, the service and interest costs and the amortization of actuarial gains and losses.</w:t>
      </w:r>
    </w:p>
    <w:p>
      <w:pPr>
        <w:spacing w:after="0" w:line="140"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funded status of our qualified defined benefit pension plans is dependent upon many factors, including returns on invested assets, the level of market interest rates and the level of funding. We contribute cash to our plans at our discretion, subject to applicable regulations and minimum contribution requirements. Cash contributions to our pension and post retirement plans totaled $11.7 million, $20.1 million and $25.9 million in 2020, 2019 and 2018,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principal uses of cash for investment purposes relate to purchases of property, plant and equipment and capitalized software, as well as acquisitions of businesses, partially offset by proceeds from sales of property, plant and equipment. We used cash of $531.3 million for investing activities in 2020 compared to $780.5 million in 2019, with the decrease in cash spend driven by less acquisition activity. We used cash of $1,502.9 million for investing activities in 2018, and the decrease in 2019 in cash spend was driven by less acquisition and divestiture activity.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Primary investing activities include the following:</w:t>
      </w:r>
    </w:p>
    <w:p>
      <w:pPr>
        <w:spacing w:after="0" w:line="166" w:lineRule="exact"/>
        <w:rPr>
          <w:sz w:val="20"/>
          <w:szCs w:val="20"/>
          <w:color w:val="auto"/>
        </w:rPr>
      </w:pPr>
    </w:p>
    <w:p>
      <w:pPr>
        <w:ind w:left="320" w:hanging="313"/>
        <w:spacing w:after="0" w:line="286" w:lineRule="auto"/>
        <w:tabs>
          <w:tab w:leader="none" w:pos="315"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Capital spending</w:t>
      </w:r>
      <w:r>
        <w:rPr>
          <w:rFonts w:ascii="Arial" w:cs="Arial" w:eastAsia="Arial" w:hAnsi="Arial"/>
          <w:sz w:val="16"/>
          <w:szCs w:val="16"/>
          <w:color w:val="auto"/>
        </w:rPr>
        <w:t>. Capital expenditures, including capitalized software, primarily to support our ERP system implementation, capacity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and cost savings, were $441.6 million in 2020, $318.2 million in 2019 and $328.6 million in 2018. Our 2020 expenditures were substantially higher than 2019 expenditures due to progress on our key strategic projects, however, 2020 expenditures were below original expectations due to a selective pause on certain aspects of our ERP system implementation. Our 2019 expenditures were relatively in line with 2018 expenditures. We expect 2021 capital expenditures, including capitalized software, to approximate $550 million. The increase in our 2021 capital expenditures is largely driven by the continuation of our ERP system implementation, as well as our supply chain capacity projects which focus on additional capacity for our largest and fastest growing brands, building agile fulfillment and customization capabilities and investing in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404495</wp:posOffset>
            </wp:positionV>
            <wp:extent cx="194945" cy="169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4" w:name="page35"/>
    <w:bookmarkEnd w:id="34"/>
    <w:p>
      <w:pPr>
        <w:ind w:left="320" w:right="20"/>
        <w:spacing w:after="0" w:line="267" w:lineRule="auto"/>
        <w:rPr>
          <w:sz w:val="20"/>
          <w:szCs w:val="20"/>
          <w:color w:val="auto"/>
        </w:rPr>
      </w:pPr>
      <w:r>
        <w:rPr>
          <w:rFonts w:ascii="Arial" w:cs="Arial" w:eastAsia="Arial" w:hAnsi="Arial"/>
          <w:sz w:val="18"/>
          <w:szCs w:val="18"/>
          <w:color w:val="auto"/>
        </w:rPr>
        <w:t>data and technology within our supply chain to enhance visibility and automation. We will continue to evaluate and re-prioritize our capital projects amid the COVID-19 pandemic.</w:t>
      </w:r>
    </w:p>
    <w:p>
      <w:pPr>
        <w:spacing w:after="0" w:line="126" w:lineRule="exact"/>
        <w:rPr>
          <w:sz w:val="20"/>
          <w:szCs w:val="20"/>
          <w:color w:val="auto"/>
        </w:rPr>
      </w:pPr>
    </w:p>
    <w:p>
      <w:pPr>
        <w:ind w:left="320" w:right="100" w:hanging="313"/>
        <w:spacing w:after="0" w:line="286" w:lineRule="auto"/>
        <w:tabs>
          <w:tab w:leader="none" w:pos="315"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Proceeds from sales of property, plant and equipment and other long-lived assets</w:t>
      </w:r>
      <w:r>
        <w:rPr>
          <w:rFonts w:ascii="Arial" w:cs="Arial" w:eastAsia="Arial" w:hAnsi="Arial"/>
          <w:sz w:val="16"/>
          <w:szCs w:val="16"/>
          <w:color w:val="auto"/>
        </w:rPr>
        <w:t>. During 2020, proceeds from the sale of property, plant and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long-lived assets was minimal. During 2019, we generated $28.1 million of proceeds from the sale of property, plant and equipment and other long-lived assets. This included the sale of select Pennsylvania facilities and land for sales proceeds of approximately $27.6 million, resulting in a gain on the sale of $11.3 million. During 2018, we generated $49.8 million of proceeds from the sale of property, plant and equipment and other long-lived assets. This included sales of select China facilities that were taken out of operation in connection with the Operational Optimization Program. Proceeds from the sale of these facilities totaled $27.5 million, resulting in a gain of $6.6 million. Additionally, we sold licensing rights for a non-core trademark relating to a brand marketed outside of the U.S. for $13.0 million, resulting in a gain of $2.7 million.</w:t>
      </w:r>
    </w:p>
    <w:p>
      <w:pPr>
        <w:spacing w:after="0" w:line="117" w:lineRule="exact"/>
        <w:rPr>
          <w:rFonts w:ascii="Arial" w:cs="Arial" w:eastAsia="Arial" w:hAnsi="Arial"/>
          <w:sz w:val="16"/>
          <w:szCs w:val="16"/>
          <w:i w:val="1"/>
          <w:iCs w:val="1"/>
          <w:color w:val="auto"/>
        </w:rPr>
      </w:pPr>
    </w:p>
    <w:p>
      <w:pPr>
        <w:ind w:left="320" w:right="140" w:hanging="313"/>
        <w:spacing w:after="0" w:line="330" w:lineRule="auto"/>
        <w:tabs>
          <w:tab w:leader="none" w:pos="315" w:val="left"/>
        </w:tabs>
        <w:numPr>
          <w:ilvl w:val="0"/>
          <w:numId w:val="21"/>
        </w:numPr>
        <w:rPr>
          <w:rFonts w:ascii="Arial" w:cs="Arial" w:eastAsia="Arial" w:hAnsi="Arial"/>
          <w:sz w:val="16"/>
          <w:szCs w:val="16"/>
          <w:b w:val="1"/>
          <w:bCs w:val="1"/>
          <w:color w:val="auto"/>
        </w:rPr>
      </w:pPr>
      <w:r>
        <w:rPr>
          <w:rFonts w:ascii="Arial" w:cs="Arial" w:eastAsia="Arial" w:hAnsi="Arial"/>
          <w:sz w:val="16"/>
          <w:szCs w:val="16"/>
          <w:i w:val="1"/>
          <w:iCs w:val="1"/>
          <w:color w:val="auto"/>
        </w:rPr>
        <w:t>Proceeds from the sales of businesses</w:t>
      </w:r>
      <w:r>
        <w:rPr>
          <w:rFonts w:ascii="Arial" w:cs="Arial" w:eastAsia="Arial" w:hAnsi="Arial"/>
          <w:sz w:val="16"/>
          <w:szCs w:val="16"/>
          <w:color w:val="auto"/>
        </w:rPr>
        <w:t>. In 2020 and 2019, we had minimal or no proceeds from the sales of businesses. In 2018, we sold the Tyrrells and</w:t>
      </w:r>
      <w:r>
        <w:rPr>
          <w:rFonts w:ascii="Arial" w:cs="Arial" w:eastAsia="Arial" w:hAnsi="Arial"/>
          <w:sz w:val="16"/>
          <w:szCs w:val="16"/>
          <w:i w:val="1"/>
          <w:iCs w:val="1"/>
          <w:color w:val="auto"/>
        </w:rPr>
        <w:t xml:space="preserve"> </w:t>
      </w:r>
      <w:r>
        <w:rPr>
          <w:rFonts w:ascii="Arial" w:cs="Arial" w:eastAsia="Arial" w:hAnsi="Arial"/>
          <w:sz w:val="16"/>
          <w:szCs w:val="16"/>
          <w:color w:val="auto"/>
        </w:rPr>
        <w:t>SGM businesses. Collectively, the proceeds from the sales of these businesses, net of cash divested, totaled approximately $167.0 million.</w:t>
      </w:r>
    </w:p>
    <w:p>
      <w:pPr>
        <w:spacing w:after="0" w:line="80" w:lineRule="exact"/>
        <w:rPr>
          <w:rFonts w:ascii="Arial" w:cs="Arial" w:eastAsia="Arial" w:hAnsi="Arial"/>
          <w:sz w:val="16"/>
          <w:szCs w:val="16"/>
          <w:b w:val="1"/>
          <w:bCs w:val="1"/>
          <w:color w:val="auto"/>
        </w:rPr>
      </w:pPr>
    </w:p>
    <w:p>
      <w:pPr>
        <w:ind w:left="320" w:right="100" w:hanging="313"/>
        <w:spacing w:after="0" w:line="267" w:lineRule="auto"/>
        <w:tabs>
          <w:tab w:leader="none" w:pos="31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Business acquisitions</w:t>
      </w:r>
      <w:r>
        <w:rPr>
          <w:rFonts w:ascii="Arial" w:cs="Arial" w:eastAsia="Arial" w:hAnsi="Arial"/>
          <w:sz w:val="18"/>
          <w:szCs w:val="18"/>
          <w:color w:val="auto"/>
        </w:rPr>
        <w:t>. In 2020, we had no acquisition activity. In 2019, we spent $402.2 million to acquire ONE Brands. In 2018, we spent $915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to acquire Amplify and $423 million to acquire Pirate Brands.</w:t>
      </w:r>
    </w:p>
    <w:p>
      <w:pPr>
        <w:spacing w:after="0" w:line="125" w:lineRule="exact"/>
        <w:rPr>
          <w:rFonts w:ascii="Arial" w:cs="Arial" w:eastAsia="Arial" w:hAnsi="Arial"/>
          <w:sz w:val="18"/>
          <w:szCs w:val="18"/>
          <w:i w:val="1"/>
          <w:iCs w:val="1"/>
          <w:color w:val="auto"/>
        </w:rPr>
      </w:pPr>
    </w:p>
    <w:p>
      <w:pPr>
        <w:ind w:left="320" w:right="200" w:hanging="313"/>
        <w:spacing w:after="0" w:line="257"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$87.2 million in 2020, $80.2 million in 2019 and $52.6 million in 2018 in projects qualifying for tax credits.</w:t>
      </w:r>
    </w:p>
    <w:p>
      <w:pPr>
        <w:spacing w:after="0" w:line="134" w:lineRule="exact"/>
        <w:rPr>
          <w:rFonts w:ascii="Arial" w:cs="Arial" w:eastAsia="Arial" w:hAnsi="Arial"/>
          <w:sz w:val="18"/>
          <w:szCs w:val="18"/>
          <w:color w:val="auto"/>
        </w:rPr>
      </w:pPr>
    </w:p>
    <w:p>
      <w:pPr>
        <w:ind w:left="320" w:hanging="313"/>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Other investing activities</w:t>
      </w:r>
      <w:r>
        <w:rPr>
          <w:rFonts w:ascii="Arial" w:cs="Arial" w:eastAsia="Arial" w:hAnsi="Arial"/>
          <w:sz w:val="16"/>
          <w:szCs w:val="16"/>
          <w:color w:val="auto"/>
        </w:rPr>
        <w:t>. In 2020 and 2019, we made minority investments in emerging snacking businesses that qualify as cost method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0" w:lineRule="exact"/>
        <w:rPr>
          <w:sz w:val="20"/>
          <w:szCs w:val="20"/>
          <w:color w:val="auto"/>
        </w:rPr>
      </w:pPr>
    </w:p>
    <w:p>
      <w:pPr>
        <w:jc w:val="both"/>
        <w:ind w:right="460"/>
        <w:spacing w:after="0" w:line="304" w:lineRule="auto"/>
        <w:rPr>
          <w:sz w:val="20"/>
          <w:szCs w:val="20"/>
          <w:color w:val="auto"/>
        </w:rPr>
      </w:pPr>
      <w:r>
        <w:rPr>
          <w:rFonts w:ascii="Arial" w:cs="Arial" w:eastAsia="Arial" w:hAnsi="Arial"/>
          <w:sz w:val="16"/>
          <w:szCs w:val="16"/>
          <w:color w:val="auto"/>
        </w:rPr>
        <w:t>Our cash flow from financing activities generally relates to the use of cash for purchases of our Common Stock and payment of dividends, offset by net borrowing activity and proceeds from the exercise of stock options. Financing activities in 2020 used cash by $499.2 million, compared to cash used of $1,081.4 million in 2019. We generated cash of $116.1 million for financing activities in 2018, primarily to fund acquisition activity.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financing activity was attributed to the following:</w:t>
      </w:r>
    </w:p>
    <w:p>
      <w:pPr>
        <w:spacing w:after="0" w:line="166" w:lineRule="exact"/>
        <w:rPr>
          <w:sz w:val="20"/>
          <w:szCs w:val="20"/>
          <w:color w:val="auto"/>
        </w:rPr>
      </w:pPr>
    </w:p>
    <w:p>
      <w:pPr>
        <w:ind w:left="320" w:hanging="313"/>
        <w:spacing w:after="0" w:line="285" w:lineRule="auto"/>
        <w:tabs>
          <w:tab w:leader="none" w:pos="315"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borrowings, net. </w:t>
      </w:r>
      <w:r>
        <w:rPr>
          <w:rFonts w:ascii="Arial" w:cs="Arial" w:eastAsia="Arial" w:hAnsi="Arial"/>
          <w:sz w:val="16"/>
          <w:szCs w:val="16"/>
          <w:color w:val="auto"/>
        </w:rPr>
        <w:t>In addition to utilizing cash on hand, we use short-term borrowings (commercial paper and bank borrowings)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seasonal working capital requirements and ongoing business needs. In 2020, we generated cash flow of $41.8 million due to an increase in short-term foreign bank borrowings. In 2019, we used $1.2 billion to reduce short-term commercial paper borrowings and short-term foreign borrowings. We utilized the proceeds from the issuance of long-term debt in October 2019 to repay outstanding commercial paper used to fund the ONE Brands acquisition. In 2018, we generated cash flow of $645.8 million through the issuance of short-term commercial paper, partially offset by a reduction in short-term foreign bank borrowings. We utilized the proceeds from the issuance of commercial paper to fund the Amplify acquisition and repay Amplify's outstanding debt owed under its existing credit agreement. A portion of the commercial paper borrowings used to fund the Amplify acquisition were subsequently refinanced with the proceeds of new notes issued during the second quarter of 2018, as discussed below.</w:t>
      </w:r>
    </w:p>
    <w:p>
      <w:pPr>
        <w:spacing w:after="0" w:line="117" w:lineRule="exact"/>
        <w:rPr>
          <w:rFonts w:ascii="Arial" w:cs="Arial" w:eastAsia="Arial" w:hAnsi="Arial"/>
          <w:sz w:val="16"/>
          <w:szCs w:val="16"/>
          <w:i w:val="1"/>
          <w:iCs w:val="1"/>
          <w:color w:val="auto"/>
        </w:rPr>
      </w:pPr>
    </w:p>
    <w:p>
      <w:pPr>
        <w:ind w:left="320" w:right="20" w:hanging="313"/>
        <w:spacing w:after="0" w:line="288" w:lineRule="auto"/>
        <w:tabs>
          <w:tab w:leader="none" w:pos="315"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Long-term debt borrowings and repayments</w:t>
      </w:r>
      <w:r>
        <w:rPr>
          <w:rFonts w:ascii="Arial" w:cs="Arial" w:eastAsia="Arial" w:hAnsi="Arial"/>
          <w:sz w:val="16"/>
          <w:szCs w:val="16"/>
          <w:color w:val="auto"/>
        </w:rPr>
        <w:t>. In May 2020, we issued $300 million of 0.900% Notes due in 2025, $350 million of 1.700% Notes due in</w:t>
      </w:r>
      <w:r>
        <w:rPr>
          <w:rFonts w:ascii="Arial" w:cs="Arial" w:eastAsia="Arial" w:hAnsi="Arial"/>
          <w:sz w:val="16"/>
          <w:szCs w:val="16"/>
          <w:i w:val="1"/>
          <w:iCs w:val="1"/>
          <w:color w:val="auto"/>
        </w:rPr>
        <w:t xml:space="preserve"> </w:t>
      </w:r>
      <w:r>
        <w:rPr>
          <w:rFonts w:ascii="Arial" w:cs="Arial" w:eastAsia="Arial" w:hAnsi="Arial"/>
          <w:sz w:val="16"/>
          <w:szCs w:val="16"/>
          <w:color w:val="auto"/>
        </w:rPr>
        <w:t>2030 and $350 million of 2.650% Notes due in 2050 (the "2020 Notes"). Proceeds from the issuance of the 2020 Notes, net of discounts and issuance costs, totaled $989.9 million. Additionally, in May 2020 and December 2020, we repaid $350 million of 2.900% Notes and $350 million of 4.125% Notes due upon their maturities. In October 2019, we issued $300 million of 2.05% Notes due in 2024, $300 million of 2.45% Notes due in 2029 and $400 million of 3.125% Notes due in 2049 (the "2019 Notes"). Proceeds from the issuance of the 2019 Notes, net of discounts and issuance costs, totaled $990.3 million. In May 2018, we issued $350 million of 2.90% Notes due in 2020, $350 million of 3.10% Notes due in 2021 and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401955</wp:posOffset>
            </wp:positionV>
            <wp:extent cx="194945" cy="169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5" w:name="page36"/>
    <w:bookmarkEnd w:id="35"/>
    <w:p>
      <w:pPr>
        <w:jc w:val="both"/>
        <w:ind w:left="313" w:right="520"/>
        <w:spacing w:after="0" w:line="257" w:lineRule="auto"/>
        <w:rPr>
          <w:sz w:val="20"/>
          <w:szCs w:val="20"/>
          <w:color w:val="auto"/>
        </w:rPr>
      </w:pPr>
      <w:r>
        <w:rPr>
          <w:rFonts w:ascii="Arial" w:cs="Arial" w:eastAsia="Arial" w:hAnsi="Arial"/>
          <w:sz w:val="18"/>
          <w:szCs w:val="18"/>
          <w:color w:val="auto"/>
        </w:rPr>
        <w:t>million of 3.375% Notes due in 2023 (the "2018 Notes"). Proceeds from the issuance of the 2018 Notes, net of discounts and issuance costs, totaled $1,193.8 million. In 2018, we repaid $300 million of 1.60% Notes due upon their maturity. Additionally, in August 2018, we repaid a portion of the commercial paper borrowings that had been used to fund the Amplify acquisition.</w:t>
      </w:r>
    </w:p>
    <w:p>
      <w:pPr>
        <w:spacing w:after="0" w:line="135" w:lineRule="exact"/>
        <w:rPr>
          <w:sz w:val="20"/>
          <w:szCs w:val="20"/>
          <w:color w:val="auto"/>
        </w:rPr>
      </w:pPr>
    </w:p>
    <w:p>
      <w:pPr>
        <w:ind w:left="313" w:right="380" w:hanging="313"/>
        <w:spacing w:after="0" w:line="267" w:lineRule="auto"/>
        <w:tabs>
          <w:tab w:leader="none" w:pos="309"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Tax receivable obligation</w:t>
      </w:r>
      <w:r>
        <w:rPr>
          <w:rFonts w:ascii="Arial" w:cs="Arial" w:eastAsia="Arial" w:hAnsi="Arial"/>
          <w:sz w:val="18"/>
          <w:szCs w:val="18"/>
          <w:color w:val="auto"/>
        </w:rPr>
        <w:t>. In connection with the Amplify acquisition, the Company agreed to make payments to the counterparty of a tax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2018, we paid $72.0 million to settle the tax receivable obligation.</w:t>
      </w:r>
    </w:p>
    <w:p>
      <w:pPr>
        <w:spacing w:after="0" w:line="125" w:lineRule="exact"/>
        <w:rPr>
          <w:rFonts w:ascii="Arial" w:cs="Arial" w:eastAsia="Arial" w:hAnsi="Arial"/>
          <w:sz w:val="18"/>
          <w:szCs w:val="18"/>
          <w:color w:val="auto"/>
        </w:rPr>
      </w:pPr>
    </w:p>
    <w:p>
      <w:pPr>
        <w:ind w:left="313" w:right="120" w:hanging="313"/>
        <w:spacing w:after="0" w:line="283" w:lineRule="auto"/>
        <w:tabs>
          <w:tab w:leader="none" w:pos="309"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We repurchase shares of Common Stock to offset the dilutive impact of treasury shares issued under our equity compensation plans.</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these share repurchases in a given period varies based on the volume of stock options exercised and our market price. In addition, we periodically repurchase shares of Common Stock pursuant to Board-authorized programs intended to drive additional stockholder value. In 2020, we used cash for total share repurchases of $211.2 million that included purchases pursuant to authorized programs; this included $150.0 million to purchase 1.0 million shares. In 2019, we used cash for total share repurchases of $527.2 million that included purchases pursuant to authorized programs; this included $150.0 million to purchase 1.4 million shares. In 2018, we used cash for total share repurchases of $247.5 million, which included a privately negotiated repurchase transaction with Hershey Trust Company, as trustee for the Trust, to purchase 450 thousand shares for $47.8 million. In October 2017, our Board of Directors approved a $100 million share repurchase authorization. This program was completed in the first quarter of 2019. In July 2018, our Board of Directors approved an additional $500 million share repurchase authorization. As of December 31, 2020, approximately $260 million remained available for repurchases of our Common Stock under this program. The share repurchase program does not have an expiration date. We expect 2021 share repurchases to return to a more traditional buyback strategy.</w:t>
      </w:r>
    </w:p>
    <w:p>
      <w:pPr>
        <w:spacing w:after="0" w:line="119" w:lineRule="exact"/>
        <w:rPr>
          <w:rFonts w:ascii="Arial" w:cs="Arial" w:eastAsia="Arial" w:hAnsi="Arial"/>
          <w:sz w:val="16"/>
          <w:szCs w:val="16"/>
          <w:i w:val="1"/>
          <w:iCs w:val="1"/>
          <w:color w:val="auto"/>
        </w:rPr>
      </w:pPr>
    </w:p>
    <w:p>
      <w:pPr>
        <w:ind w:left="313" w:right="180" w:hanging="313"/>
        <w:spacing w:after="0" w:line="253" w:lineRule="auto"/>
        <w:tabs>
          <w:tab w:leader="none" w:pos="309"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$640.7 million in 2020, $610.3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and $562.5 million in 2018. Dividends per share of Common Stock increased 5.5% to $3.154 per share in 2020 compared to $2.990 per share in 2019, while dividends per share of Class B Common Stock increased 5.5% in 2020. Details regarding our 2020 cash dividends paid to stockholders are as follows:</w:t>
      </w:r>
    </w:p>
    <w:p>
      <w:pPr>
        <w:spacing w:after="0" w:line="179" w:lineRule="exact"/>
        <w:rPr>
          <w:sz w:val="20"/>
          <w:szCs w:val="20"/>
          <w:color w:val="auto"/>
        </w:rPr>
      </w:pPr>
    </w:p>
    <w:tbl>
      <w:tblPr>
        <w:tblLayout w:type="fixed"/>
        <w:tblInd w:w="633" w:type="dxa"/>
        <w:tblCellMar>
          <w:top w:w="0" w:type="dxa"/>
          <w:left w:w="0" w:type="dxa"/>
          <w:bottom w:w="0" w:type="dxa"/>
          <w:right w:w="0" w:type="dxa"/>
        </w:tblCellMar>
      </w:tblPr>
      <w:tr>
        <w:trPr>
          <w:trHeight w:val="208"/>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60" w:type="dxa"/>
            <w:vAlign w:val="bottom"/>
            <w:gridSpan w:val="2"/>
          </w:tcPr>
          <w:p>
            <w:pPr>
              <w:ind w:left="660"/>
              <w:spacing w:after="0" w:line="145" w:lineRule="exact"/>
              <w:rPr>
                <w:sz w:val="20"/>
                <w:szCs w:val="20"/>
                <w:color w:val="auto"/>
              </w:rPr>
            </w:pPr>
            <w:r>
              <w:rPr>
                <w:rFonts w:ascii="Arial" w:cs="Arial" w:eastAsia="Arial" w:hAnsi="Arial"/>
                <w:sz w:val="16"/>
                <w:szCs w:val="16"/>
                <w:b w:val="1"/>
                <w:bCs w:val="1"/>
                <w:color w:val="auto"/>
              </w:rPr>
              <w:t>In millions of</w:t>
            </w:r>
          </w:p>
        </w:tc>
        <w:tc>
          <w:tcPr>
            <w:tcW w:w="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60" w:type="dxa"/>
            <w:vAlign w:val="bottom"/>
            <w:gridSpan w:val="2"/>
          </w:tcPr>
          <w:p>
            <w:pPr>
              <w:ind w:left="20"/>
              <w:spacing w:after="0" w:line="160" w:lineRule="exact"/>
              <w:rPr>
                <w:sz w:val="20"/>
                <w:szCs w:val="20"/>
                <w:color w:val="auto"/>
              </w:rPr>
            </w:pPr>
            <w:r>
              <w:rPr>
                <w:rFonts w:ascii="Arial" w:cs="Arial" w:eastAsia="Arial" w:hAnsi="Arial"/>
                <w:sz w:val="16"/>
                <w:szCs w:val="16"/>
                <w:b w:val="1"/>
                <w:bCs w:val="1"/>
                <w:color w:val="auto"/>
              </w:rPr>
              <w:t>dollars except per share</w:t>
            </w:r>
          </w:p>
        </w:tc>
        <w:tc>
          <w:tcPr>
            <w:tcW w:w="780" w:type="dxa"/>
            <w:vAlign w:val="bottom"/>
          </w:tcPr>
          <w:p>
            <w:pPr>
              <w:spacing w:after="0"/>
              <w:rPr>
                <w:sz w:val="13"/>
                <w:szCs w:val="13"/>
                <w:color w:val="auto"/>
              </w:rPr>
            </w:pPr>
          </w:p>
        </w:tc>
        <w:tc>
          <w:tcPr>
            <w:tcW w:w="136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w w:val="98"/>
              </w:rPr>
              <w:t>March 29, 2020</w:t>
            </w:r>
          </w:p>
        </w:tc>
        <w:tc>
          <w:tcPr>
            <w:tcW w:w="10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w w:val="96"/>
              </w:rPr>
              <w:t>June 28, 2020</w:t>
            </w:r>
          </w:p>
        </w:tc>
        <w:tc>
          <w:tcPr>
            <w:tcW w:w="80" w:type="dxa"/>
            <w:vAlign w:val="bottom"/>
            <w:vMerge w:val="restart"/>
          </w:tcPr>
          <w:p>
            <w:pPr>
              <w:spacing w:after="0"/>
              <w:rPr>
                <w:sz w:val="13"/>
                <w:szCs w:val="13"/>
                <w:color w:val="auto"/>
              </w:rPr>
            </w:pPr>
          </w:p>
        </w:tc>
        <w:tc>
          <w:tcPr>
            <w:tcW w:w="2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September 27, 2020</w:t>
            </w:r>
          </w:p>
        </w:tc>
        <w:tc>
          <w:tcPr>
            <w:tcW w:w="100" w:type="dxa"/>
            <w:vAlign w:val="bottom"/>
            <w:vMerge w:val="restart"/>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December 31, 2020</w:t>
            </w:r>
          </w:p>
        </w:tc>
        <w:tc>
          <w:tcPr>
            <w:tcW w:w="0" w:type="dxa"/>
            <w:vAlign w:val="bottom"/>
          </w:tcPr>
          <w:p>
            <w:pPr>
              <w:spacing w:after="0"/>
              <w:rPr>
                <w:sz w:val="1"/>
                <w:szCs w:val="1"/>
                <w:color w:val="auto"/>
              </w:rPr>
            </w:pPr>
          </w:p>
        </w:tc>
      </w:tr>
      <w:tr>
        <w:trPr>
          <w:trHeight w:val="211"/>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amounts</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1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960" w:type="dxa"/>
            <w:vAlign w:val="bottom"/>
            <w:gridSpan w:val="2"/>
            <w:shd w:val="clear" w:color="auto" w:fill="CCEEFF"/>
          </w:tcPr>
          <w:p>
            <w:pPr>
              <w:ind w:left="660"/>
              <w:spacing w:after="0" w:line="170" w:lineRule="exact"/>
              <w:rPr>
                <w:sz w:val="20"/>
                <w:szCs w:val="20"/>
                <w:color w:val="auto"/>
              </w:rPr>
            </w:pPr>
            <w:r>
              <w:rPr>
                <w:rFonts w:ascii="Arial" w:cs="Arial" w:eastAsia="Arial" w:hAnsi="Arial"/>
                <w:sz w:val="18"/>
                <w:szCs w:val="18"/>
                <w:color w:val="auto"/>
              </w:rPr>
              <w:t>Dividends paid</w:t>
            </w:r>
          </w:p>
        </w:tc>
        <w:tc>
          <w:tcPr>
            <w:tcW w:w="7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6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8"/>
                <w:szCs w:val="18"/>
                <w:color w:val="auto"/>
              </w:rPr>
              <w:t>per share – Common</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0.773</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0.773</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0.804</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0.804</w:t>
            </w:r>
          </w:p>
        </w:tc>
        <w:tc>
          <w:tcPr>
            <w:tcW w:w="0" w:type="dxa"/>
            <w:vAlign w:val="bottom"/>
          </w:tcPr>
          <w:p>
            <w:pPr>
              <w:spacing w:after="0"/>
              <w:rPr>
                <w:sz w:val="1"/>
                <w:szCs w:val="1"/>
                <w:color w:val="auto"/>
              </w:rPr>
            </w:pPr>
          </w:p>
        </w:tc>
      </w:tr>
      <w:tr>
        <w:trPr>
          <w:trHeight w:val="22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7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960" w:type="dxa"/>
            <w:vAlign w:val="bottom"/>
            <w:gridSpan w:val="2"/>
          </w:tcPr>
          <w:p>
            <w:pPr>
              <w:ind w:left="660"/>
              <w:spacing w:after="0" w:line="175" w:lineRule="exact"/>
              <w:rPr>
                <w:sz w:val="20"/>
                <w:szCs w:val="20"/>
                <w:color w:val="auto"/>
              </w:rPr>
            </w:pPr>
            <w:r>
              <w:rPr>
                <w:rFonts w:ascii="Arial" w:cs="Arial" w:eastAsia="Arial" w:hAnsi="Arial"/>
                <w:sz w:val="18"/>
                <w:szCs w:val="18"/>
                <w:color w:val="auto"/>
              </w:rPr>
              <w:t>Dividends paid</w:t>
            </w: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6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per share – Class B</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0.702</w:t>
            </w:r>
          </w:p>
        </w:tc>
        <w:tc>
          <w:tcPr>
            <w:tcW w:w="1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0.702</w:t>
            </w:r>
          </w:p>
        </w:tc>
        <w:tc>
          <w:tcPr>
            <w:tcW w:w="80" w:type="dxa"/>
            <w:vAlign w:val="bottom"/>
          </w:tcPr>
          <w:p>
            <w:pPr>
              <w:spacing w:after="0"/>
              <w:rPr>
                <w:sz w:val="15"/>
                <w:szCs w:val="15"/>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0.731</w:t>
            </w: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0.731</w:t>
            </w:r>
          </w:p>
        </w:tc>
        <w:tc>
          <w:tcPr>
            <w:tcW w:w="0" w:type="dxa"/>
            <w:vAlign w:val="bottom"/>
          </w:tcPr>
          <w:p>
            <w:pPr>
              <w:spacing w:after="0"/>
              <w:rPr>
                <w:sz w:val="1"/>
                <w:szCs w:val="1"/>
                <w:color w:val="auto"/>
              </w:rPr>
            </w:pPr>
          </w:p>
        </w:tc>
      </w:tr>
      <w:tr>
        <w:trPr>
          <w:trHeight w:val="225"/>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7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60" w:type="dxa"/>
            <w:vAlign w:val="bottom"/>
            <w:gridSpan w:val="2"/>
            <w:shd w:val="clear" w:color="auto" w:fill="CCEEFF"/>
          </w:tcPr>
          <w:p>
            <w:pPr>
              <w:ind w:left="660"/>
              <w:spacing w:after="0" w:line="175" w:lineRule="exact"/>
              <w:rPr>
                <w:sz w:val="20"/>
                <w:szCs w:val="20"/>
                <w:color w:val="auto"/>
              </w:rPr>
            </w:pPr>
            <w:r>
              <w:rPr>
                <w:rFonts w:ascii="Arial" w:cs="Arial" w:eastAsia="Arial" w:hAnsi="Arial"/>
                <w:sz w:val="18"/>
                <w:szCs w:val="18"/>
                <w:color w:val="auto"/>
              </w:rPr>
              <w:t>Total cash</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7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gridSpan w:val="2"/>
          </w:tcPr>
          <w:p>
            <w:pPr>
              <w:ind w:left="660"/>
              <w:spacing w:after="0"/>
              <w:rPr>
                <w:sz w:val="20"/>
                <w:szCs w:val="20"/>
                <w:color w:val="auto"/>
              </w:rPr>
            </w:pPr>
            <w:r>
              <w:rPr>
                <w:rFonts w:ascii="Arial" w:cs="Arial" w:eastAsia="Arial" w:hAnsi="Arial"/>
                <w:sz w:val="18"/>
                <w:szCs w:val="18"/>
                <w:color w:val="auto"/>
                <w:w w:val="97"/>
              </w:rPr>
              <w:t>Declaration date</w:t>
            </w:r>
          </w:p>
        </w:tc>
        <w:tc>
          <w:tcPr>
            <w:tcW w:w="7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January 28, 2020</w:t>
            </w:r>
          </w:p>
        </w:tc>
        <w:tc>
          <w:tcPr>
            <w:tcW w:w="8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April 21, 2020</w:t>
            </w:r>
          </w:p>
        </w:tc>
        <w:tc>
          <w:tcPr>
            <w:tcW w:w="9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July 8, 2020</w:t>
            </w: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91"/>
              </w:rPr>
              <w:t>November 6, 202</w:t>
            </w:r>
          </w:p>
        </w:tc>
        <w:tc>
          <w:tcPr>
            <w:tcW w:w="0" w:type="dxa"/>
            <w:vAlign w:val="bottom"/>
          </w:tcPr>
          <w:p>
            <w:pPr>
              <w:spacing w:after="0"/>
              <w:rPr>
                <w:sz w:val="1"/>
                <w:szCs w:val="1"/>
                <w:color w:val="auto"/>
              </w:rPr>
            </w:pPr>
          </w:p>
        </w:tc>
      </w:tr>
      <w:tr>
        <w:trPr>
          <w:trHeight w:val="227"/>
        </w:trPr>
        <w:tc>
          <w:tcPr>
            <w:tcW w:w="1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Record date</w:t>
            </w:r>
          </w:p>
        </w:tc>
        <w:tc>
          <w:tcPr>
            <w:tcW w:w="7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February 21, 2020</w:t>
            </w:r>
          </w:p>
        </w:tc>
        <w:tc>
          <w:tcPr>
            <w:tcW w:w="8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22, 2020</w:t>
            </w:r>
          </w:p>
        </w:tc>
        <w:tc>
          <w:tcPr>
            <w:tcW w:w="9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August 21, 2020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November 20, 202</w:t>
            </w:r>
          </w:p>
        </w:tc>
        <w:tc>
          <w:tcPr>
            <w:tcW w:w="0" w:type="dxa"/>
            <w:vAlign w:val="bottom"/>
          </w:tcPr>
          <w:p>
            <w:pPr>
              <w:spacing w:after="0"/>
              <w:rPr>
                <w:sz w:val="1"/>
                <w:szCs w:val="1"/>
                <w:color w:val="auto"/>
              </w:rPr>
            </w:pPr>
          </w:p>
        </w:tc>
      </w:tr>
      <w:tr>
        <w:trPr>
          <w:trHeight w:val="225"/>
        </w:trPr>
        <w:tc>
          <w:tcPr>
            <w:tcW w:w="1960" w:type="dxa"/>
            <w:vAlign w:val="bottom"/>
            <w:gridSpan w:val="2"/>
          </w:tcPr>
          <w:p>
            <w:pPr>
              <w:ind w:left="660"/>
              <w:spacing w:after="0"/>
              <w:rPr>
                <w:sz w:val="20"/>
                <w:szCs w:val="20"/>
                <w:color w:val="auto"/>
              </w:rPr>
            </w:pPr>
            <w:r>
              <w:rPr>
                <w:rFonts w:ascii="Arial" w:cs="Arial" w:eastAsia="Arial" w:hAnsi="Arial"/>
                <w:sz w:val="18"/>
                <w:szCs w:val="18"/>
                <w:color w:val="auto"/>
              </w:rPr>
              <w:t>Payment date</w:t>
            </w:r>
          </w:p>
        </w:tc>
        <w:tc>
          <w:tcPr>
            <w:tcW w:w="7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March 16, 2020</w:t>
            </w:r>
          </w:p>
        </w:tc>
        <w:tc>
          <w:tcPr>
            <w:tcW w:w="8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June 15, 2020</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September 15, 2020</w:t>
            </w: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85"/>
              </w:rPr>
              <w:t>December 15, 202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13" w:right="140" w:hanging="313"/>
        <w:spacing w:after="0" w:line="257" w:lineRule="auto"/>
        <w:tabs>
          <w:tab w:leader="none" w:pos="309"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including tax benefits. </w:t>
      </w:r>
      <w:r>
        <w:rPr>
          <w:rFonts w:ascii="Arial" w:cs="Arial" w:eastAsia="Arial" w:hAnsi="Arial"/>
          <w:sz w:val="18"/>
          <w:szCs w:val="18"/>
          <w:color w:val="auto"/>
        </w:rPr>
        <w:t>We received $25.5 million from employee exercises of stock options, net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taxes withheld from share-based awards in 2020. We received $240.8 million and $63.3 million in 2019 and 2018, respectively. Variances are driven primarily by the number of shares exercised and the share price at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6931025</wp:posOffset>
            </wp:positionH>
            <wp:positionV relativeFrom="paragraph">
              <wp:posOffset>728345</wp:posOffset>
            </wp:positionV>
            <wp:extent cx="194945" cy="169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3"/>
        <w:spacing w:after="0"/>
        <w:tabs>
          <w:tab w:leader="none" w:pos="3953"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33"/>
          </w:cols>
          <w:pgMar w:left="327" w:top="1407" w:right="239" w:bottom="1440" w:gutter="0" w:footer="0" w:header="0"/>
        </w:sectPr>
      </w:pPr>
    </w:p>
    <w:bookmarkStart w:id="36" w:name="page37"/>
    <w:bookmarkEnd w:id="36"/>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December 31, 2020, our cash and cash equivalents totaled $1.1 billion. At December 31, 2019, our cash and cash equivalents totaled $493.3 million. Our cash and cash equivalents at the end of 2020 increased $650.7 million compared to the 2019 year-end balance. This increase was predominantly due to our $1 billion 2020 Notes issuance in May 2020 as we intend to mitigate any potential COVID-19 risks, partially offset by the repayment of $350 million Notes that matured in May 2020 and $350 million Notes that matured in December 2020. Additional detail regarding the net sources of cash are outlined in the following discussion.</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Approximately 35% of the balance of our cash and cash equivalents at December 31, 2020 was held by subsidiaries domiciled outside of the United States. During 2020, previously undistributed earnings of certain international subsidiaries were no longer considered indefinitely reinvested; however, the Company had previously recognized a one-time U.S. repatriation tax due under U.S. tax reform, and as a result, only an immaterial amount of withholding tax was recognized. For the remainder of the Company’s cash held by international subsidiaries, we intend to continue to reinvest the undistributed earnings indefinitely. We believe we have sufficient liquidity to satisfy our cash needs, including our cash needs in the United States.</w:t>
      </w:r>
    </w:p>
    <w:p>
      <w:pPr>
        <w:spacing w:after="0" w:line="1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maintain debt levels we consider prudent based on our cash flow, interest coverage ratio and percentage of debt to capital. We use debt financing to lower our overall cost of capital which increases our return on stockholders’ equity. Our total debt was $4.6 billion at December 31, 2020 and $4.3 billion at December 31, 2019. Our total debt increased in 2020 mainly due to our $1 billion 2020 Notes issuance in May 2020, partially offset by the repayment of $350 million Notes that matured in May 2020 and $350 million Notes that matured in December 2020.</w:t>
      </w:r>
    </w:p>
    <w:p>
      <w:pPr>
        <w:spacing w:after="0" w:line="123"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As a source of short-term financing, we maintain a $1.5 billion unsecured revolving credit facility with the option to increase borrowings by an additional $500 million with the consent of the lenders. As of December 31, 2020, the termination date of this agreement is July 2, 2024, however, we may extend the termination date for up to two additional one-year periods upon notice to the administrative agent under the facility. We may use these funds for general corporate purposes, including commercial paper backstop and business acquisitions. As of December 31, 2020, we had $1.5 billion of available capacity under the agreement. The unsecured revolving credit agreement contains certain financial and other covenants, customary representations, warranties and events of default. We were in compliance with all covenants as of December 31, 2020.</w:t>
      </w:r>
    </w:p>
    <w:p>
      <w:pPr>
        <w:spacing w:after="0" w:line="130" w:lineRule="exact"/>
        <w:rPr>
          <w:sz w:val="20"/>
          <w:szCs w:val="20"/>
          <w:color w:val="auto"/>
        </w:rPr>
      </w:pPr>
    </w:p>
    <w:p>
      <w:pPr>
        <w:ind w:right="660"/>
        <w:spacing w:after="0" w:line="267" w:lineRule="auto"/>
        <w:rPr>
          <w:sz w:val="20"/>
          <w:szCs w:val="20"/>
          <w:color w:val="auto"/>
        </w:rPr>
      </w:pPr>
      <w:r>
        <w:rPr>
          <w:rFonts w:ascii="Arial" w:cs="Arial" w:eastAsia="Arial" w:hAnsi="Arial"/>
          <w:sz w:val="18"/>
          <w:szCs w:val="18"/>
          <w:color w:val="auto"/>
        </w:rPr>
        <w:t>In addition to the revolving credit facility, we maintain lines of credit in various currencies with domestic and international commercial banks. As of December 31, 2020, we had available capacity of $193 million under these lines of credit.</w:t>
      </w:r>
    </w:p>
    <w:p>
      <w:pPr>
        <w:spacing w:after="0" w:line="12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Furthermore, we have a current shelf registration statement filed with the SEC that allows for the issuance of an indeterminate amount of debt securities. Proceeds from the debt issuances and any other offerings under the current registration statement may be used for general corporate requirements, including reducing existing borrowings, financing capital additions and funding contributions to our pension plans, future business acquisitions and working capital requirements.</w:t>
      </w:r>
    </w:p>
    <w:p>
      <w:pPr>
        <w:spacing w:after="0" w:line="140"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Our ability to obtain debt financing at comparable risk-based interest rates is partly a function of our existing cash-flow-to-debt and debt-to-capitalization levels as well as our current credit standing.</w:t>
      </w:r>
    </w:p>
    <w:p>
      <w:pPr>
        <w:spacing w:after="0" w:line="12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cash flow requirements, including acquisitions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728345</wp:posOffset>
            </wp:positionV>
            <wp:extent cx="194945" cy="169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Structure</w:t>
      </w:r>
    </w:p>
    <w:p>
      <w:pPr>
        <w:spacing w:after="0" w:line="9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have two classes of stock outstanding – Common Stock and Class B Stock. Holders of the Common Stock and the Class B Stock generally vote together without regard to class on matters submitted to stockholders, including the election of directors. Holders of the Common Stock have 1 vote per share. Holders of the Class B Stock have 10 votes per share. Holders of the Common Stock, voting separately as a class, are entitled to elect one-sixth of our Board. With respect to dividend rights, holders of the Common Stock are entitled to cash dividends 10% higher than those declared and paid on the Class B Stock.</w:t>
      </w:r>
    </w:p>
    <w:p>
      <w:pPr>
        <w:spacing w:after="0" w:line="1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Hershey Trust Company, as trustee for the trust established by Milton S. and Catherine S. Hershey that has as its sole beneficiary Milton Hershey School, maintains voting control over The Hershey Company. In addition, three representatives of Hershey Trust Company currently serve as members of the Company's Board. In performing their responsibilities on the Company’s Board, these representatives may from time to time exercise influence with regard to the ongoing business decisions of our Board or management. Hershey Trust Company, as trustee for the Trust, in its role as controlling stockholder of the Company, has indicated it intends to retain its controlling interest in The Hershey Company. The Company's Board, and not the Hershey Trust Company board, is solely responsible and accountable for the Company’s management and performance.</w:t>
      </w:r>
    </w:p>
    <w:p>
      <w:pPr>
        <w:spacing w:after="0" w:line="13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Pennsylvania law requires that the Office of Attorney General be provided advance notice of any transaction that would result in Hershey Trust Company, as trustee for the Trust, no longer having voting control of the Company. The law provides specific statutory authority for the Attorney General to intercede and petition the court having jurisdiction over Hershey Trust Company, as trustee for the Trust, to stop such a transaction if the Attorney General can prove that the transaction is unnecessary for the future economic viability of the Company and is inconsistent with investment and management considerations under fiduciary obligations. This legislation makes it more difficult for a third party to acquire a majority of our outstanding voting stock and thereby may delay or prevent a change in control of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Other Off-Balance Sheet Arrangements</w:t>
      </w:r>
    </w:p>
    <w:p>
      <w:pPr>
        <w:spacing w:after="0" w:line="106" w:lineRule="exact"/>
        <w:rPr>
          <w:sz w:val="20"/>
          <w:szCs w:val="20"/>
          <w:color w:val="auto"/>
        </w:rPr>
      </w:pPr>
    </w:p>
    <w:p>
      <w:pPr>
        <w:ind w:right="520"/>
        <w:spacing w:after="0" w:line="267" w:lineRule="auto"/>
        <w:rPr>
          <w:sz w:val="20"/>
          <w:szCs w:val="20"/>
          <w:color w:val="auto"/>
        </w:rPr>
      </w:pPr>
      <w:r>
        <w:rPr>
          <w:rFonts w:ascii="Arial" w:cs="Arial" w:eastAsia="Arial" w:hAnsi="Arial"/>
          <w:sz w:val="18"/>
          <w:szCs w:val="18"/>
          <w:color w:val="auto"/>
        </w:rPr>
        <w:t>We do not have guarantees or other off-balance sheet financing arrangements, including variable interest entities, that we believe could have a material impact on our financial condition or liquidity.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2020: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6"/>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 millions of dollars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0"/>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180" w:type="dxa"/>
            <w:vAlign w:val="bottom"/>
          </w:tcPr>
          <w:p>
            <w:pPr>
              <w:jc w:val="right"/>
              <w:ind w:right="89"/>
              <w:spacing w:after="0"/>
              <w:rPr>
                <w:sz w:val="20"/>
                <w:szCs w:val="20"/>
                <w:color w:val="auto"/>
              </w:rPr>
            </w:pPr>
            <w:r>
              <w:rPr>
                <w:rFonts w:ascii="Arial" w:cs="Arial" w:eastAsia="Arial" w:hAnsi="Arial"/>
                <w:sz w:val="14"/>
                <w:szCs w:val="14"/>
                <w:b w:val="1"/>
                <w:bCs w:val="1"/>
                <w:color w:val="auto"/>
                <w:w w:val="91"/>
              </w:rPr>
              <w:t>Less than 1 year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1-3 years</w:t>
            </w:r>
          </w:p>
        </w:tc>
        <w:tc>
          <w:tcPr>
            <w:tcW w:w="22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8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b w:val="1"/>
                <w:bCs w:val="1"/>
                <w:color w:val="auto"/>
                <w:w w:val="92"/>
              </w:rPr>
              <w:t>More than 5 years</w:t>
            </w:r>
          </w:p>
        </w:tc>
      </w:tr>
      <w:tr>
        <w:trPr>
          <w:trHeight w:val="186"/>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Long-term notes (excluding finance lease obligations)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4,478.3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434.7</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2,393.6</w:t>
            </w:r>
          </w:p>
        </w:tc>
      </w:tr>
      <w:tr>
        <w:trPr>
          <w:trHeight w:val="184"/>
        </w:trPr>
        <w:tc>
          <w:tcPr>
            <w:tcW w:w="4320" w:type="dxa"/>
            <w:vAlign w:val="bottom"/>
            <w:gridSpan w:val="2"/>
          </w:tcPr>
          <w:p>
            <w:pPr>
              <w:ind w:left="20"/>
              <w:spacing w:after="0"/>
              <w:rPr>
                <w:sz w:val="20"/>
                <w:szCs w:val="20"/>
                <w:color w:val="auto"/>
              </w:rPr>
            </w:pPr>
            <w:r>
              <w:rPr>
                <w:rFonts w:ascii="Arial" w:cs="Arial" w:eastAsia="Arial" w:hAnsi="Arial"/>
                <w:sz w:val="14"/>
                <w:szCs w:val="14"/>
                <w:color w:val="auto"/>
              </w:rPr>
              <w:t>Interest expense (1)</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1,338.4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121.7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213.3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835.4</w:t>
            </w:r>
          </w:p>
        </w:tc>
      </w:tr>
      <w:tr>
        <w:trPr>
          <w:trHeight w:val="19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obligations (2)</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r>
      <w:tr>
        <w:trPr>
          <w:trHeight w:val="184"/>
        </w:trPr>
        <w:tc>
          <w:tcPr>
            <w:tcW w:w="4320" w:type="dxa"/>
            <w:vAlign w:val="bottom"/>
            <w:gridSpan w:val="2"/>
          </w:tcPr>
          <w:p>
            <w:pPr>
              <w:ind w:left="20"/>
              <w:spacing w:after="0"/>
              <w:rPr>
                <w:sz w:val="20"/>
                <w:szCs w:val="20"/>
                <w:color w:val="auto"/>
              </w:rPr>
            </w:pPr>
            <w:r>
              <w:rPr>
                <w:rFonts w:ascii="Arial" w:cs="Arial" w:eastAsia="Arial" w:hAnsi="Arial"/>
                <w:sz w:val="14"/>
                <w:szCs w:val="14"/>
                <w:color w:val="auto"/>
              </w:rPr>
              <w:t>Finance lease obligations (3)</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161.2</w:t>
            </w:r>
          </w:p>
        </w:tc>
      </w:tr>
      <w:tr>
        <w:trPr>
          <w:trHeight w:val="19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Minimum pension plan funding obligations (4)</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4"/>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Unconditional purchase obligations (5)</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1,548.9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obligations</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8,183.6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2,159.4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1,360.1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1,111.9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3,552.2</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240" w:hanging="233"/>
        <w:spacing w:after="0"/>
        <w:tabs>
          <w:tab w:leader="none" w:pos="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the net interest payments on fixed rate debt associated with long-term notes.</w:t>
      </w:r>
    </w:p>
    <w:p>
      <w:pPr>
        <w:spacing w:after="0" w:line="95" w:lineRule="exact"/>
        <w:rPr>
          <w:rFonts w:ascii="Arial" w:cs="Arial" w:eastAsia="Arial" w:hAnsi="Arial"/>
          <w:sz w:val="16"/>
          <w:szCs w:val="16"/>
          <w:color w:val="auto"/>
        </w:rPr>
      </w:pPr>
    </w:p>
    <w:p>
      <w:pPr>
        <w:ind w:right="700" w:firstLine="7"/>
        <w:spacing w:after="0" w:line="270" w:lineRule="auto"/>
        <w:tabs>
          <w:tab w:leader="none" w:pos="2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the minimum rental commitments (including imputed interest) under non-cancelable operating leases primarily for offices, retail stores, warehouses and distribution facilities.</w:t>
      </w:r>
    </w:p>
    <w:p>
      <w:pPr>
        <w:spacing w:after="0" w:line="39" w:lineRule="exact"/>
        <w:rPr>
          <w:rFonts w:ascii="Arial" w:cs="Arial" w:eastAsia="Arial" w:hAnsi="Arial"/>
          <w:sz w:val="16"/>
          <w:szCs w:val="16"/>
          <w:color w:val="auto"/>
        </w:rPr>
      </w:pPr>
    </w:p>
    <w:p>
      <w:pPr>
        <w:ind w:right="460" w:firstLine="7"/>
        <w:spacing w:after="0" w:line="270" w:lineRule="auto"/>
        <w:tabs>
          <w:tab w:leader="none" w:pos="2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the minimum rental commitments (including imputed interest) under non-cancelable finance leases primarily for offices and warehouse facilities, as well as vehicles.</w:t>
      </w:r>
    </w:p>
    <w:p>
      <w:pPr>
        <w:spacing w:after="0" w:line="52" w:lineRule="exact"/>
        <w:rPr>
          <w:rFonts w:ascii="Arial" w:cs="Arial" w:eastAsia="Arial" w:hAnsi="Arial"/>
          <w:sz w:val="16"/>
          <w:szCs w:val="16"/>
          <w:color w:val="auto"/>
        </w:rPr>
      </w:pPr>
    </w:p>
    <w:p>
      <w:pPr>
        <w:ind w:right="300" w:firstLine="7"/>
        <w:spacing w:after="0" w:line="256" w:lineRule="auto"/>
        <w:tabs>
          <w:tab w:leader="none" w:pos="2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future pension payments to comply with local funding requirements. Our policy is to fund domestic pension liabilities in accordance with the minimum and maximum limits imposed by the Employee Retirement Income Security Act of 1974 (“ERISA”), federal income tax laws and the funding requirements of the Pension Protection Act of 2006. We fund non-domestic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410845</wp:posOffset>
            </wp:positionV>
            <wp:extent cx="194945" cy="169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rFonts w:ascii="Arial" w:cs="Arial" w:eastAsia="Arial" w:hAnsi="Arial"/>
          <w:sz w:val="15"/>
          <w:szCs w:val="15"/>
          <w:color w:val="auto"/>
        </w:rPr>
      </w:pPr>
      <w:r>
        <w:rPr>
          <w:rFonts w:ascii="Arial" w:cs="Arial" w:eastAsia="Arial" w:hAnsi="Arial"/>
          <w:sz w:val="15"/>
          <w:szCs w:val="15"/>
          <w:color w:val="auto"/>
        </w:rPr>
        <w:t xml:space="preserve">pension liabilities in accordance with laws and regulations applicable to those plans. For more information, see </w:t>
      </w:r>
      <w:hyperlink w:anchor="page82">
        <w:r>
          <w:rPr>
            <w:rFonts w:ascii="Arial" w:cs="Arial" w:eastAsia="Arial" w:hAnsi="Arial"/>
            <w:sz w:val="15"/>
            <w:szCs w:val="15"/>
            <w:u w:val="single" w:color="auto"/>
            <w:color w:val="0000FF"/>
          </w:rPr>
          <w:t>Note 11</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to the Consolidated Financial Statements.</w:t>
      </w:r>
    </w:p>
    <w:p>
      <w:pPr>
        <w:spacing w:after="0" w:line="94" w:lineRule="exact"/>
        <w:rPr>
          <w:sz w:val="20"/>
          <w:szCs w:val="20"/>
          <w:color w:val="auto"/>
        </w:rPr>
      </w:pPr>
    </w:p>
    <w:p>
      <w:pPr>
        <w:ind w:right="60" w:firstLine="7"/>
        <w:spacing w:after="0" w:line="250" w:lineRule="auto"/>
        <w:tabs>
          <w:tab w:leader="none" w:pos="226" w:val="left"/>
        </w:tabs>
        <w:numPr>
          <w:ilvl w:val="0"/>
          <w:numId w:val="26"/>
        </w:numPr>
        <w:rPr>
          <w:rFonts w:ascii="Arial" w:cs="Arial" w:eastAsia="Arial" w:hAnsi="Arial"/>
          <w:sz w:val="16"/>
          <w:szCs w:val="16"/>
          <w:color w:val="auto"/>
        </w:rPr>
      </w:pPr>
      <w:r>
        <w:rPr>
          <w:rFonts w:ascii="Arial" w:cs="Arial" w:eastAsia="Arial" w:hAnsi="Arial"/>
          <w:sz w:val="16"/>
          <w:szCs w:val="16"/>
          <w:color w:val="auto"/>
        </w:rPr>
        <w:t>Purchase obligations consist primarily of fixed commitments for the purchase of raw materials to be utilized in the normal course of business. Amounts presented included fixed price forward contracts and unpriced contracts that were valued using market prices as of December 31, 2020. The amounts presented in the table do not include items already recorded in accounts payable or accrued liabilities at year-end 2020, nor does the table reflect cash flows we are likely to incur based on our plans, but are not obligated to incur. Such amounts are part of normal operations and are reflected in historical operating cash flow trends. We do not believe such purchase obligations will adversely affect our liquidity position.</w:t>
      </w:r>
    </w:p>
    <w:p>
      <w:pPr>
        <w:spacing w:after="0" w:line="1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entering into contractual obligations, we have assumed the risk that might arise from the possible inability of counterparties to meet the terms of their contracts. We mitigate this risk by performing financial assessments prior to contract execution, conducting periodic evaluations of counterparty performance and maintaining a diverse portfolio of qualified counterparties. Our risk is limited to replacing the contracts at prevailing market rates. We do not expect any significant losses resulting from counterparty defaults.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0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specified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Obligations</w:t>
      </w:r>
    </w:p>
    <w:p>
      <w:pPr>
        <w:spacing w:after="0" w:line="106" w:lineRule="exact"/>
        <w:rPr>
          <w:sz w:val="20"/>
          <w:szCs w:val="20"/>
          <w:color w:val="auto"/>
        </w:rPr>
      </w:pPr>
    </w:p>
    <w:p>
      <w:pPr>
        <w:ind w:right="140"/>
        <w:spacing w:after="0" w:line="267" w:lineRule="auto"/>
        <w:rPr>
          <w:rFonts w:ascii="Arial" w:cs="Arial" w:eastAsia="Arial" w:hAnsi="Arial"/>
          <w:sz w:val="18"/>
          <w:szCs w:val="18"/>
          <w:color w:val="auto"/>
        </w:rPr>
      </w:pPr>
      <w:r>
        <w:rPr>
          <w:rFonts w:ascii="Arial" w:cs="Arial" w:eastAsia="Arial" w:hAnsi="Arial"/>
          <w:sz w:val="18"/>
          <w:szCs w:val="18"/>
          <w:color w:val="auto"/>
        </w:rPr>
        <w:t xml:space="preserve">Liabilities for unrecognized income tax benefits are excluded from the table above as we are unable to reasonably predict the ultimate amount or timing of a settlement of these potential liabilities. See </w:t>
      </w:r>
      <w:hyperlink w:anchor="page78">
        <w:r>
          <w:rPr>
            <w:rFonts w:ascii="Arial" w:cs="Arial" w:eastAsia="Arial" w:hAnsi="Arial"/>
            <w:sz w:val="18"/>
            <w:szCs w:val="18"/>
            <w:u w:val="single" w:color="auto"/>
            <w:color w:val="0000FF"/>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recently adopted and issued accounting standards is included in </w:t>
      </w:r>
      <w:hyperlink w:anchor="page57">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6" w:lineRule="exact"/>
        <w:rPr>
          <w:sz w:val="20"/>
          <w:szCs w:val="20"/>
          <w:color w:val="auto"/>
        </w:rPr>
      </w:pPr>
    </w:p>
    <w:p>
      <w:pPr>
        <w:ind w:right="640"/>
        <w:spacing w:after="0" w:line="267" w:lineRule="auto"/>
        <w:rPr>
          <w:sz w:val="20"/>
          <w:szCs w:val="20"/>
          <w:color w:val="auto"/>
        </w:rPr>
      </w:pPr>
      <w:r>
        <w:rPr>
          <w:rFonts w:ascii="Arial" w:cs="Arial" w:eastAsia="Arial" w:hAnsi="Arial"/>
          <w:sz w:val="18"/>
          <w:szCs w:val="18"/>
          <w:color w:val="auto"/>
        </w:rPr>
        <w:t>The preparation of financial statements requires management to use judgment and make estimates and assumptions. We believe that our most critical accounting policies and estimates relate to the following:</w:t>
      </w:r>
    </w:p>
    <w:p>
      <w:pPr>
        <w:spacing w:after="0" w:line="206" w:lineRule="exact"/>
        <w:rPr>
          <w:sz w:val="20"/>
          <w:szCs w:val="20"/>
          <w:color w:val="auto"/>
        </w:rPr>
      </w:pPr>
    </w:p>
    <w:p>
      <w:pPr>
        <w:ind w:left="640" w:hanging="31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Accrued Liabilities for Trade Promotion Activities</w:t>
      </w:r>
    </w:p>
    <w:p>
      <w:pPr>
        <w:spacing w:after="0" w:line="17" w:lineRule="exact"/>
        <w:rPr>
          <w:rFonts w:ascii="Arial" w:cs="Arial" w:eastAsia="Arial" w:hAnsi="Arial"/>
          <w:sz w:val="18"/>
          <w:szCs w:val="18"/>
          <w:color w:val="auto"/>
        </w:rPr>
      </w:pPr>
    </w:p>
    <w:p>
      <w:pPr>
        <w:ind w:left="640" w:hanging="31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Pension and Other Post-Retirement Benefits Plans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Acquisitions, Valuation and Impairment of Goodwill and Other Intangible Assets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5" w:lineRule="exact"/>
        <w:rPr>
          <w:sz w:val="20"/>
          <w:szCs w:val="20"/>
          <w:color w:val="auto"/>
        </w:rPr>
      </w:pPr>
    </w:p>
    <w:p>
      <w:pPr>
        <w:ind w:right="20"/>
        <w:spacing w:after="0" w:line="304" w:lineRule="auto"/>
        <w:rPr>
          <w:rFonts w:ascii="Arial" w:cs="Arial" w:eastAsia="Arial" w:hAnsi="Arial"/>
          <w:sz w:val="16"/>
          <w:szCs w:val="16"/>
          <w:color w:val="auto"/>
        </w:rPr>
      </w:pPr>
      <w:r>
        <w:rPr>
          <w:rFonts w:ascii="Arial" w:cs="Arial" w:eastAsia="Arial" w:hAnsi="Arial"/>
          <w:sz w:val="16"/>
          <w:szCs w:val="16"/>
          <w:color w:val="auto"/>
        </w:rPr>
        <w:t xml:space="preserve">Management has discussed the development, selection and disclosure of critical accounting policies and estimates with the Audit Committee of our Board. While we base estimates and assumptions on our knowledge of current events and actions we may undertake in the future, actual results may ultimately differ from these estimates and assumptions. Other significant accounting policies are outlined in </w:t>
      </w:r>
      <w:hyperlink w:anchor="page57">
        <w:r>
          <w:rPr>
            <w:rFonts w:ascii="Arial" w:cs="Arial" w:eastAsia="Arial" w:hAnsi="Arial"/>
            <w:sz w:val="16"/>
            <w:szCs w:val="16"/>
            <w:u w:val="single" w:color="auto"/>
            <w:color w:val="0000FF"/>
          </w:rPr>
          <w:t>Note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 for Trade Promotion Activities</w:t>
      </w:r>
    </w:p>
    <w:p>
      <w:pPr>
        <w:spacing w:after="0" w:line="1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promote our products with advertising, trade promotions and consumer incentives. These programs include, but are not limited to, discounts, coupons, rebates, in-store display incentives and volume-based incentives. We expense advertising costs and other direct marketing expenses as incurred. We recognize the costs of trade promotion and consumer incentive activities as a reduction to net sales along with a corresponding accrued liability based on estimates at the time of revenue recognition. These estimates are based on our analysis of the programs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407670</wp:posOffset>
            </wp:positionV>
            <wp:extent cx="194945" cy="169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42" w:right="339" w:bottom="1440" w:gutter="0" w:footer="0" w:header="0"/>
        </w:sectPr>
      </w:pPr>
    </w:p>
    <w:bookmarkStart w:id="39" w:name="page40"/>
    <w:bookmarkEnd w:id="39"/>
    <w:p>
      <w:pPr>
        <w:ind w:right="60"/>
        <w:spacing w:after="0" w:line="288" w:lineRule="auto"/>
        <w:rPr>
          <w:sz w:val="20"/>
          <w:szCs w:val="20"/>
          <w:color w:val="auto"/>
        </w:rPr>
      </w:pPr>
      <w:r>
        <w:rPr>
          <w:rFonts w:ascii="Arial" w:cs="Arial" w:eastAsia="Arial" w:hAnsi="Arial"/>
          <w:sz w:val="16"/>
          <w:szCs w:val="16"/>
          <w:color w:val="auto"/>
        </w:rPr>
        <w:t>historical trends, expectations regarding customer and consumer participation, sales and payment trends and our experience with payment patterns associated with similar programs offered in the past. The estimated costs of these programs are reasonably likely to change in future periods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During 2020, 2019, and 2018, actual annual promotional costs have not deviated from the estimated amount by more than 2%. Our trade promotion and consumer incentive accrued liabilities totaled $195.6 million and $181.0 million at December 31, 2020 and 2019,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 Plans</w:t>
      </w:r>
    </w:p>
    <w:p>
      <w:pPr>
        <w:spacing w:after="0" w:line="10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sponsor various defined benefit pension plans. The primary plans are The Hershey Company Retirement Plan and The Hershey Company Retirement Plan for Hourly Employees, which are cash balance plans that provide pension benefits for most U.S. employees hired prior to January 1, 2007. We also sponsor two primary other post-employment benefit (“OPEB”) plans, consisting of a health care plan and life insurance plan for retirees. The health care plan is contributory, with participants’ contributions adjusted annually, and the life insurance plan is non-contributory.</w:t>
      </w:r>
    </w:p>
    <w:p>
      <w:pPr>
        <w:spacing w:after="0" w:line="123" w:lineRule="exact"/>
        <w:rPr>
          <w:sz w:val="20"/>
          <w:szCs w:val="20"/>
          <w:color w:val="auto"/>
        </w:rPr>
      </w:pPr>
    </w:p>
    <w:p>
      <w:pPr>
        <w:ind w:right="14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For accounting purposes, the defined benefit pension and OPEB plans require assumptions to estimate the projected and accumulated benefit obligations, including the following variables: discount rate; expected salary increases; certain employee-related factors, such as turnover, retirement age and mortality; expected return on assets; and health care cost trend rates. These and other assumptions affect the annual expense and obligations recognized for the underlying plans. Our assumptions reflect our historical experiences and management's best judgment regarding future expectations. Our related accounting policies, accounting balances and plan assumptions are discussed in </w:t>
      </w:r>
      <w:hyperlink w:anchor="page82">
        <w:r>
          <w:rPr>
            <w:rFonts w:ascii="Arial" w:cs="Arial" w:eastAsia="Arial" w:hAnsi="Arial"/>
            <w:sz w:val="16"/>
            <w:szCs w:val="16"/>
            <w:u w:val="single" w:color="auto"/>
            <w:color w:val="0000FF"/>
          </w:rPr>
          <w:t>Note 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00"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Changes in certain assumptions could significantly affect pension expense and benefit obligations, particularly the estimated long-term rate of return on plan assets and the discount rates used to calculate such obligations:</w:t>
      </w:r>
    </w:p>
    <w:p>
      <w:pPr>
        <w:spacing w:after="0" w:line="206" w:lineRule="exact"/>
        <w:rPr>
          <w:sz w:val="20"/>
          <w:szCs w:val="20"/>
          <w:color w:val="auto"/>
        </w:rPr>
      </w:pPr>
    </w:p>
    <w:p>
      <w:pPr>
        <w:ind w:left="320" w:hanging="313"/>
        <w:spacing w:after="0" w:line="268" w:lineRule="auto"/>
        <w:tabs>
          <w:tab w:leader="none" w:pos="31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Long-term rate of return on plan assets</w:t>
      </w:r>
      <w:r>
        <w:rPr>
          <w:rFonts w:ascii="Arial" w:cs="Arial" w:eastAsia="Arial" w:hAnsi="Arial"/>
          <w:sz w:val="17"/>
          <w:szCs w:val="17"/>
          <w:color w:val="auto"/>
        </w:rPr>
        <w:t>. The expected long-term rate of return is evaluated on an annual basis. We consider a number of factors when setting assumptions with respect to the long-term rate of return, including current and expected asset allocation and historical and expected returns on the plan asset categories. Actual asset allocations are regularly reviewed and periodically rebalanced to the targeted allocations when considered appropriate. Investment gains or losses represent the difference between the expected return estimated using the long-term rate of return and the actual return realized. For 2020, we decreased the expected return on plan assets assumption to 4.8% from the 5.3% assumption used during 2019. The historical average return (compounded annually) over the 20 years prior to December 31, 2020 was approximately 6.0%.</w:t>
      </w:r>
    </w:p>
    <w:p>
      <w:pPr>
        <w:spacing w:after="0" w:line="209" w:lineRule="exact"/>
        <w:rPr>
          <w:rFonts w:ascii="Arial" w:cs="Arial" w:eastAsia="Arial" w:hAnsi="Arial"/>
          <w:sz w:val="17"/>
          <w:szCs w:val="17"/>
          <w:color w:val="auto"/>
        </w:rPr>
      </w:pPr>
    </w:p>
    <w:p>
      <w:pPr>
        <w:ind w:left="320" w:right="80"/>
        <w:spacing w:after="0" w:line="267" w:lineRule="auto"/>
        <w:rPr>
          <w:rFonts w:ascii="Arial" w:cs="Arial" w:eastAsia="Arial" w:hAnsi="Arial"/>
          <w:sz w:val="17"/>
          <w:szCs w:val="17"/>
          <w:color w:val="auto"/>
        </w:rPr>
      </w:pPr>
      <w:r>
        <w:rPr>
          <w:rFonts w:ascii="Arial" w:cs="Arial" w:eastAsia="Arial" w:hAnsi="Arial"/>
          <w:sz w:val="17"/>
          <w:szCs w:val="17"/>
          <w:color w:val="auto"/>
        </w:rPr>
        <w:t>As of December 31, 2020, our primary plans had cumulative unrecognized investment and actuarial losses of approximately $281 million. We amortize the unrecognized net actuarial gains and losses in excess of the corridor amount, which is the greater of 10% of a respective plan’s projected benefit obligation or the fair market value of plan assets. These unrecognized net losses may increase future pension expense if not offset by (i) actual investment returns that exceed the expected long-term rate of investment returns, (ii) other factors, including reduced pension liabilities arising from higher discount rates used to calculate pension obligations or (iii) other actuarial gains when actual plan experience is favorable as compared to the assumed experience. A 100 basis point decrease or increase in the long-term rate of return on pension assets would correspondingly increase or decrease annual net periodic pension benefit expense by approximately $10 million.</w:t>
      </w:r>
    </w:p>
    <w:p>
      <w:pPr>
        <w:spacing w:after="0" w:line="210" w:lineRule="exact"/>
        <w:rPr>
          <w:rFonts w:ascii="Arial" w:cs="Arial" w:eastAsia="Arial" w:hAnsi="Arial"/>
          <w:sz w:val="17"/>
          <w:szCs w:val="17"/>
          <w:color w:val="auto"/>
        </w:rPr>
      </w:pPr>
    </w:p>
    <w:p>
      <w:pPr>
        <w:ind w:left="320" w:right="260" w:hanging="313"/>
        <w:spacing w:after="0" w:line="251" w:lineRule="auto"/>
        <w:tabs>
          <w:tab w:leader="none" w:pos="31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Prior to December 31, 2017, the service and interest cost components of net periodic benefit cost were determined utilizing a single weighted-average discount rate derived from the yield curve used to measure the plan obligations. Beginning in 2018, we elected to utilize a full yield curve approach in the estimation of service and interest costs by applying the specific spot rates along the yield curve used in the determination of the benefit obligation to the relevant projected cash flows. We made this change to provide a more precise measurement of service and interest costs by improving the correlation between the projected cash flows to the corresponding spot rates along the yield curve. This change does not affect the measurement of our pension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418465</wp:posOffset>
            </wp:positionV>
            <wp:extent cx="194945" cy="169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0" w:name="page41"/>
    <w:bookmarkEnd w:id="40"/>
    <w:p>
      <w:pPr>
        <w:ind w:left="320" w:right="100"/>
        <w:spacing w:after="0" w:line="412" w:lineRule="auto"/>
        <w:rPr>
          <w:sz w:val="20"/>
          <w:szCs w:val="20"/>
          <w:color w:val="auto"/>
        </w:rPr>
      </w:pPr>
      <w:r>
        <w:rPr>
          <w:rFonts w:ascii="Arial" w:cs="Arial" w:eastAsia="Arial" w:hAnsi="Arial"/>
          <w:sz w:val="14"/>
          <w:szCs w:val="14"/>
          <w:color w:val="auto"/>
        </w:rPr>
        <w:t>other post-retirement benefit liabilities but generally results in lower benefit expense in periods when the yield curve is upward sloping, which was the case in 2018. We accounted for this change as a change in accounting estimate and, accordingly, accounted for it on a prospective basis starting in 2018.</w:t>
      </w:r>
    </w:p>
    <w:p>
      <w:pPr>
        <w:spacing w:after="0" w:line="34" w:lineRule="exact"/>
        <w:rPr>
          <w:sz w:val="20"/>
          <w:szCs w:val="20"/>
          <w:color w:val="auto"/>
        </w:rPr>
      </w:pPr>
    </w:p>
    <w:p>
      <w:pPr>
        <w:ind w:left="320" w:right="540"/>
        <w:spacing w:after="0" w:line="257" w:lineRule="auto"/>
        <w:rPr>
          <w:sz w:val="20"/>
          <w:szCs w:val="20"/>
          <w:color w:val="auto"/>
        </w:rPr>
      </w:pPr>
      <w:r>
        <w:rPr>
          <w:rFonts w:ascii="Arial" w:cs="Arial" w:eastAsia="Arial" w:hAnsi="Arial"/>
          <w:sz w:val="18"/>
          <w:szCs w:val="18"/>
          <w:color w:val="auto"/>
        </w:rPr>
        <w:t>A 100 basis point decrease (increase) in the weighted-average pension discount rate would increase (decrease) annual net periodic pension benefit expense by approximately $7 million and the December 31, 2020 pension liability would increase by approximately $108 million or decrease by approximately $91 million, respectively.</w:t>
      </w:r>
    </w:p>
    <w:p>
      <w:pPr>
        <w:spacing w:after="0" w:line="121"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Pension expense for defined benefit pension plans is expected to be approximately $6 million in 2021. Pension expense beyond 2021 will depend on future investment performance, our contributions to the pension trusts, changes in discount rates and various other factors related to the covered employees in the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Post-Employment Benefit Plans</w:t>
      </w:r>
    </w:p>
    <w:p>
      <w:pPr>
        <w:spacing w:after="0" w:line="153" w:lineRule="exact"/>
        <w:rPr>
          <w:sz w:val="20"/>
          <w:szCs w:val="20"/>
          <w:color w:val="auto"/>
        </w:rPr>
      </w:pPr>
    </w:p>
    <w:p>
      <w:pPr>
        <w:ind w:right="820"/>
        <w:spacing w:after="0" w:line="267" w:lineRule="auto"/>
        <w:rPr>
          <w:sz w:val="20"/>
          <w:szCs w:val="20"/>
          <w:color w:val="auto"/>
        </w:rPr>
      </w:pPr>
      <w:r>
        <w:rPr>
          <w:rFonts w:ascii="Arial" w:cs="Arial" w:eastAsia="Arial" w:hAnsi="Arial"/>
          <w:sz w:val="18"/>
          <w:szCs w:val="18"/>
          <w:color w:val="auto"/>
        </w:rPr>
        <w:t>Changes in significant assumptions could affect consolidated expense and benefit obligations, particularly the discount rates used to calculate such obligations:</w:t>
      </w:r>
    </w:p>
    <w:p>
      <w:pPr>
        <w:spacing w:after="0" w:line="113" w:lineRule="exact"/>
        <w:rPr>
          <w:sz w:val="20"/>
          <w:szCs w:val="20"/>
          <w:color w:val="auto"/>
        </w:rPr>
      </w:pPr>
    </w:p>
    <w:p>
      <w:pPr>
        <w:ind w:left="320" w:right="40" w:hanging="313"/>
        <w:spacing w:after="0" w:line="253"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The determination of the discount rate used to calculate the benefit obligations of the OPEB plans is discussed in the pension plans section above. A 100 basis point decrease (increase) in the discount rate assumption for these plans would not be material to the OPEB plans' consolidated expense and the December 31, 2020 benefit liability would increase by approximately $27 million or decrease by approximately $22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 Valuation and Impairment of Goodwill and Other Intangible Assets</w:t>
      </w:r>
    </w:p>
    <w:p>
      <w:pPr>
        <w:spacing w:after="0" w:line="10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use the acquisition method of accounting for business acquisitions. Under the acquisition method, the results of operations of the acquired business have been included in the consolidated financial statements since the respective dates of the acquisitions. The assets acquired and liabilities assumed are recorded at their respective estimated fair values at the date of the acquisition. Any excess of the purchase price over the estimated fair values of the identifiable net assets acquired is recorded as goodwill. Significant judgment is often required in estimating the fair value of assets acquired, particularly intangible assets. As a result, we normally obtain the assistance of a third-party valuation specialist in estimating fair values of tangible and intangible assets. The fair value estimates are based on available historical information and on expectations and assumptions about the future, considering the perspective of marketplace participants. While management believes those expectations and assumptions are reasonable, they are inherently uncertain. Unanticipated market or macroeconomic events and circumstances may occur, which could affect the accuracy or validity of the estimates and assumptions.</w:t>
      </w:r>
    </w:p>
    <w:p>
      <w:pPr>
        <w:spacing w:after="0" w:line="198"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Goodwill and indefinite-lived intangible assets are not amortized, but instead, are evaluated for impairment annually or more often if indicators of a potential impairment are present. Our annual impairment tests are conducted at the beginning of the fourth quarter.</w:t>
      </w:r>
    </w:p>
    <w:p>
      <w:pPr>
        <w:spacing w:after="0" w:line="20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21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418465</wp:posOffset>
            </wp:positionV>
            <wp:extent cx="194945" cy="169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41" w:name="page42"/>
    <w:bookmarkEnd w:id="41"/>
    <w:p>
      <w:pPr>
        <w:ind w:right="260"/>
        <w:spacing w:after="0" w:line="304" w:lineRule="auto"/>
        <w:rPr>
          <w:sz w:val="20"/>
          <w:szCs w:val="20"/>
          <w:color w:val="auto"/>
        </w:rPr>
      </w:pPr>
      <w:r>
        <w:rPr>
          <w:rFonts w:ascii="Arial" w:cs="Arial" w:eastAsia="Arial" w:hAnsi="Arial"/>
          <w:sz w:val="16"/>
          <w:szCs w:val="16"/>
          <w:color w:val="auto"/>
        </w:rPr>
        <w:t>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also have intangible assets, consisting primarily of certain trademarks, customer-related intangible assets and patents obtained through business acquisitions, that are expected to have determinable useful lives. The costs of finite-lived intangible assets are amortized to expense over their estimated lives. Our estimates of the useful lives of finite-lived intangible assets consider judgments regarding the future effects of obsolescence, demand, competition and other economic factors. We conduct impairment tests when events or changes in circumstances indicate that the carrying value of these finite-lived assets may not be recoverable. Undiscounted cash flow analyses are used to determine if an impairment exists. If an impairment is determined to exist, the loss is calculated based on the estimated fair value of the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Impairment Tests</w:t>
      </w:r>
    </w:p>
    <w:p>
      <w:pPr>
        <w:spacing w:after="0" w:line="24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At December 31, 2020, the net book value of our goodwill totaled $1,988.2 million. As it relates to our 2020 annual testing performed at the beginning of the fourth quarter, we tested one reporting unit using a quantitative assessment. We tested our remaining reporting units using a qualitative assessment and determined that no quantitative testing was deemed necessary. Based on our testing, all of our reporting units had an excess fair value well over the their respective carrying values. There were no other events or circumstances that would indicate that impairment may exist. We had no goodwill impairment charges in 2020, 2019 or 2018.</w:t>
      </w:r>
    </w:p>
    <w:p>
      <w:pPr>
        <w:spacing w:after="0" w:line="21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2019, sales and operating performance associated with our Krave business were below expectations. In the fourth quarter of 2019, as part of a strategic review initiated by our leadership team, we updated our strategic forecast which projected underperformance related to the Krave business primarily due to mainstream brands driving category volume and an increase in the overall competitive landscape. We deemed this to be a triggering event requiring us to test our Krave long-lived asset group for impairment. Based on our assessment, we determined that the carrying value was not recoverable and calculated an impairment loss as the excess of the asset group's carrying value over its fair value. Therefore, as a result of this testing, during the fourth quarter of 2019, we recorded an impairment charge totaling $100.1 million to write down the long-lived asset group, which predominantly consisted of customer relationship and trademark intangible assets.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base our deferred income taxes, accrued income taxes and provision for income taxes upon income, statutory tax rates, the legal structure of our Company, interpretation of tax laws and tax planning opportunities available to us in the various jurisdictions in which we operate. We file income tax returns in the U.S. federal jurisdiction and various state and foreign jurisdictions. We are regularly audited by federal, state and foreign tax authorities; a number of years may elapse before an uncertain tax position, for which we have unrecognized tax benefits, is audited and finally resolved. From time to time, these audits result in assessments of additional tax. We maintain reserves for such assessments.</w:t>
      </w:r>
    </w:p>
    <w:p>
      <w:pPr>
        <w:spacing w:after="0" w:line="1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apply a more-likely-than-not threshold to the recognition and derecognition of uncertain tax positions. Accordingly, we recognize the amount of tax benefit that has a greater than 50% likelihood of being ultimately realized upon settlement. Future changes in judgments and estimates related to the expected ultimate resolution of uncertain tax positions will affect income in the quarter of such change. While it is often difficult to predict the final outcome or the timing of resolution of any particular uncertain tax position, we believe that our unrecognized tax benefits reflect the most likely outcome. Accrued interest and penalties related to unrecognized tax benefits are included in income tax expense. We adjust these unrecognized tax benefits, as well as the related interest, in light of changing facts and circumstances, such as receiving audit assessments or clearing of an item for which a reserve has been established. Settlement of any particular position could require the use of cash. Favorable resolution would be recognized as a reduction to our effective income tax rate in the period of resolution.</w:t>
      </w:r>
    </w:p>
    <w:p>
      <w:pPr>
        <w:spacing w:after="0" w:line="141" w:lineRule="exact"/>
        <w:rPr>
          <w:sz w:val="20"/>
          <w:szCs w:val="20"/>
          <w:color w:val="auto"/>
        </w:rPr>
      </w:pPr>
    </w:p>
    <w:p>
      <w:pPr>
        <w:ind w:right="520"/>
        <w:spacing w:after="0" w:line="267" w:lineRule="auto"/>
        <w:rPr>
          <w:sz w:val="20"/>
          <w:szCs w:val="20"/>
          <w:color w:val="auto"/>
        </w:rPr>
      </w:pPr>
      <w:r>
        <w:rPr>
          <w:rFonts w:ascii="Arial" w:cs="Arial" w:eastAsia="Arial" w:hAnsi="Arial"/>
          <w:sz w:val="18"/>
          <w:szCs w:val="18"/>
          <w:color w:val="auto"/>
        </w:rPr>
        <w:t>We believe it is more likely than not that the results of future operations will generate sufficient taxable income to realize the deferred tax assets, net of valuation allowances. Our valuation allowances are primarily related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409575</wp:posOffset>
            </wp:positionV>
            <wp:extent cx="194945" cy="169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42" w:name="page43"/>
    <w:bookmarkEnd w:id="42"/>
    <w:p>
      <w:pPr>
        <w:ind w:right="400"/>
        <w:spacing w:after="0" w:line="267" w:lineRule="auto"/>
        <w:rPr>
          <w:sz w:val="20"/>
          <w:szCs w:val="20"/>
          <w:color w:val="auto"/>
        </w:rPr>
      </w:pPr>
      <w:r>
        <w:rPr>
          <w:rFonts w:ascii="Arial" w:cs="Arial" w:eastAsia="Arial" w:hAnsi="Arial"/>
          <w:sz w:val="18"/>
          <w:szCs w:val="18"/>
          <w:color w:val="auto"/>
        </w:rPr>
        <w:t>capital loss carryforwards and various foreign jurisdictions' net operating loss carryforwards and other deferred tax assets for which we do not expect to realize a benefit.</w:t>
      </w:r>
    </w:p>
    <w:p>
      <w:pPr>
        <w:spacing w:after="0" w:line="213"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92"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We use certain derivative instruments to manage our interest rate, foreign currency exchange rate and commodity price risks. We monitor and manage these exposures as part of our overall risk management program.</w:t>
      </w:r>
    </w:p>
    <w:p>
      <w:pPr>
        <w:spacing w:after="0" w:line="12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enter into interest rate swap agreements and foreign currency forward exchange contracts for periods consistent with related underlying exposures. We enter into commodities futures and options contracts and other derivative instruments for varying periods. These commodity derivative instruments are intended to be, and are effective as, economic hedges of market price risks associated with anticipated raw material purchases, energy requirements and transportation costs. We do not hold or issue derivative instruments for trading purposes and are not a party to any instruments with leverage or prepayment features.</w:t>
      </w:r>
    </w:p>
    <w:p>
      <w:pPr>
        <w:spacing w:after="0" w:line="13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40"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Refer to </w:t>
      </w:r>
      <w:hyperlink w:anchor="page57">
        <w:r>
          <w:rPr>
            <w:rFonts w:ascii="Arial" w:cs="Arial" w:eastAsia="Arial" w:hAnsi="Arial"/>
            <w:sz w:val="17"/>
            <w:szCs w:val="17"/>
            <w:u w:val="single" w:color="auto"/>
            <w:color w:val="0000FF"/>
          </w:rPr>
          <w:t>Note 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w:anchor="page69">
        <w:r>
          <w:rPr>
            <w:rFonts w:ascii="Arial" w:cs="Arial" w:eastAsia="Arial" w:hAnsi="Arial"/>
            <w:sz w:val="17"/>
            <w:szCs w:val="17"/>
            <w:u w:val="single" w:color="auto"/>
            <w:color w:val="0000FF"/>
          </w:rPr>
          <w:t>Note 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for further discussion of these derivative instruments and our hedging policies.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December 2020, our fixed-to-floating interest rate swap matured in connection with the repayment of certain long-term debt upon its maturity. Therefore, as of December 31, 2020, we had no interest rate swap derivative instruments in a fair value hedging relationship. The total notional amount of interest rate swaps outstanding at December 31, 2019 was $350 million. The notional amount relates to fixed-to-floating interest rate swaps which convert a comparable amount of fixed-rate debt to variable rate debt at December 31, 2019. A hypothetical 100 basis point increase in interest rates applied to this variable-rate debt through its December 2020 maturity would have increased interest expense by approximately $3.2 million for the year 2020 and $3.5 million for the full year 2019.</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total amount of short-term debt, net of cash, amounted to net cash of $1.1 billion and $461 million, respectively, at December 31,</w:t>
      </w:r>
    </w:p>
    <w:p>
      <w:pPr>
        <w:spacing w:after="0" w:line="2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2020 and 2019. A hypothetical 100 basis point increase in interest rates applied to this variable-rate short-term debt as of December 31, 2020 would have changed interest expense by approximately $8.6 million for the full year 2020 and $4.3 million for the full year 2019.</w:t>
      </w:r>
    </w:p>
    <w:p>
      <w:pPr>
        <w:spacing w:after="0" w:line="13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December 31, 2020 and December 31, 2019 by approximately $357 million and $246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411480</wp:posOffset>
            </wp:positionV>
            <wp:extent cx="194945" cy="169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43" w:name="page44"/>
    <w:bookmarkEnd w:id="43"/>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 We also may hedge payment of forecasted intercompany transactions with our subsidiaries outside of the United States. We generally hedge foreign currency price risks for periods from 3 to 12 months.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foreign currency forward exchange contracts and the corresponding amounts at contracted forward rates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1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ind w:left="42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ind w:left="42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260"/>
              <w:spacing w:after="0" w:line="156" w:lineRule="exact"/>
              <w:rPr>
                <w:sz w:val="20"/>
                <w:szCs w:val="20"/>
                <w:color w:val="auto"/>
              </w:rPr>
            </w:pPr>
            <w:r>
              <w:rPr>
                <w:rFonts w:ascii="Arial" w:cs="Arial" w:eastAsia="Arial" w:hAnsi="Arial"/>
                <w:sz w:val="16"/>
                <w:szCs w:val="16"/>
                <w:b w:val="1"/>
                <w:bCs w:val="1"/>
                <w:color w:val="auto"/>
                <w:w w:val="94"/>
              </w:rPr>
              <w:t>Contract</w:t>
            </w:r>
          </w:p>
        </w:tc>
        <w:tc>
          <w:tcPr>
            <w:tcW w:w="2320" w:type="dxa"/>
            <w:vAlign w:val="bottom"/>
            <w:tcBorders>
              <w:top w:val="single" w:sz="8" w:color="auto"/>
            </w:tcBorders>
          </w:tcPr>
          <w:p>
            <w:pPr>
              <w:ind w:left="860"/>
              <w:spacing w:after="0" w:line="156" w:lineRule="exact"/>
              <w:rPr>
                <w:sz w:val="20"/>
                <w:szCs w:val="20"/>
                <w:color w:val="auto"/>
              </w:rPr>
            </w:pPr>
            <w:r>
              <w:rPr>
                <w:rFonts w:ascii="Arial" w:cs="Arial" w:eastAsia="Arial" w:hAnsi="Arial"/>
                <w:sz w:val="16"/>
                <w:szCs w:val="16"/>
                <w:b w:val="1"/>
                <w:bCs w:val="1"/>
                <w:color w:val="auto"/>
              </w:rPr>
              <w:t>Primary</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260"/>
              <w:spacing w:after="0" w:line="156" w:lineRule="exact"/>
              <w:rPr>
                <w:sz w:val="20"/>
                <w:szCs w:val="20"/>
                <w:color w:val="auto"/>
              </w:rPr>
            </w:pPr>
            <w:r>
              <w:rPr>
                <w:rFonts w:ascii="Arial" w:cs="Arial" w:eastAsia="Arial" w:hAnsi="Arial"/>
                <w:sz w:val="16"/>
                <w:szCs w:val="16"/>
                <w:b w:val="1"/>
                <w:bCs w:val="1"/>
                <w:color w:val="auto"/>
                <w:w w:val="94"/>
              </w:rPr>
              <w:t>Contract</w:t>
            </w:r>
          </w:p>
        </w:tc>
        <w:tc>
          <w:tcPr>
            <w:tcW w:w="2320" w:type="dxa"/>
            <w:vAlign w:val="bottom"/>
            <w:tcBorders>
              <w:top w:val="single" w:sz="8" w:color="auto"/>
            </w:tcBorders>
          </w:tcPr>
          <w:p>
            <w:pPr>
              <w:ind w:left="880"/>
              <w:spacing w:after="0" w:line="156" w:lineRule="exact"/>
              <w:rPr>
                <w:sz w:val="20"/>
                <w:szCs w:val="20"/>
                <w:color w:val="auto"/>
              </w:rPr>
            </w:pPr>
            <w:r>
              <w:rPr>
                <w:rFonts w:ascii="Arial" w:cs="Arial" w:eastAsia="Arial" w:hAnsi="Arial"/>
                <w:sz w:val="16"/>
                <w:szCs w:val="16"/>
                <w:b w:val="1"/>
                <w:bCs w:val="1"/>
                <w:color w:val="auto"/>
              </w:rPr>
              <w:t>Primary</w:t>
            </w:r>
          </w:p>
        </w:tc>
        <w:tc>
          <w:tcPr>
            <w:tcW w:w="0" w:type="dxa"/>
            <w:vAlign w:val="bottom"/>
          </w:tcPr>
          <w:p>
            <w:pPr>
              <w:spacing w:after="0"/>
              <w:rPr>
                <w:sz w:val="1"/>
                <w:szCs w:val="1"/>
                <w:color w:val="auto"/>
              </w:rPr>
            </w:pPr>
          </w:p>
        </w:tc>
      </w:tr>
      <w:tr>
        <w:trPr>
          <w:trHeight w:val="21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2420" w:type="dxa"/>
            <w:vAlign w:val="bottom"/>
            <w:gridSpan w:val="2"/>
          </w:tcPr>
          <w:p>
            <w:pPr>
              <w:ind w:left="780"/>
              <w:spacing w:after="0"/>
              <w:rPr>
                <w:sz w:val="20"/>
                <w:szCs w:val="20"/>
                <w:color w:val="auto"/>
              </w:rPr>
            </w:pPr>
            <w:r>
              <w:rPr>
                <w:rFonts w:ascii="Arial" w:cs="Arial" w:eastAsia="Arial" w:hAnsi="Arial"/>
                <w:sz w:val="16"/>
                <w:szCs w:val="16"/>
                <w:b w:val="1"/>
                <w:bCs w:val="1"/>
                <w:color w:val="auto"/>
              </w:rPr>
              <w:t>Currencies</w:t>
            </w: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2320" w:type="dxa"/>
            <w:vAlign w:val="bottom"/>
          </w:tcPr>
          <w:p>
            <w:pPr>
              <w:ind w:left="780"/>
              <w:spacing w:after="0"/>
              <w:rPr>
                <w:sz w:val="20"/>
                <w:szCs w:val="20"/>
                <w:color w:val="auto"/>
              </w:rPr>
            </w:pPr>
            <w:r>
              <w:rPr>
                <w:rFonts w:ascii="Arial" w:cs="Arial" w:eastAsia="Arial" w:hAnsi="Arial"/>
                <w:sz w:val="16"/>
                <w:szCs w:val="16"/>
                <w:b w:val="1"/>
                <w:bCs w:val="1"/>
                <w:color w:val="auto"/>
              </w:rPr>
              <w:t>Currencies</w:t>
            </w:r>
          </w:p>
        </w:tc>
        <w:tc>
          <w:tcPr>
            <w:tcW w:w="0" w:type="dxa"/>
            <w:vAlign w:val="bottom"/>
          </w:tcPr>
          <w:p>
            <w:pPr>
              <w:spacing w:after="0"/>
              <w:rPr>
                <w:sz w:val="1"/>
                <w:szCs w:val="1"/>
                <w:color w:val="auto"/>
              </w:rPr>
            </w:pPr>
          </w:p>
        </w:tc>
      </w:tr>
      <w:tr>
        <w:trPr>
          <w:trHeight w:val="163"/>
        </w:trPr>
        <w:tc>
          <w:tcPr>
            <w:tcW w:w="4160" w:type="dxa"/>
            <w:vAlign w:val="bottom"/>
            <w:gridSpan w:val="3"/>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 to</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60"/>
              <w:spacing w:after="0" w:line="180" w:lineRule="exact"/>
              <w:rPr>
                <w:sz w:val="20"/>
                <w:szCs w:val="20"/>
                <w:color w:val="auto"/>
              </w:rPr>
            </w:pPr>
            <w:r>
              <w:rPr>
                <w:rFonts w:ascii="Arial" w:cs="Arial" w:eastAsia="Arial" w:hAnsi="Arial"/>
                <w:sz w:val="18"/>
                <w:szCs w:val="18"/>
                <w:color w:val="auto"/>
              </w:rPr>
              <w:t>Euros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ind w:left="180"/>
              <w:spacing w:after="0" w:line="180" w:lineRule="exact"/>
              <w:rPr>
                <w:sz w:val="20"/>
                <w:szCs w:val="20"/>
                <w:color w:val="auto"/>
              </w:rPr>
            </w:pPr>
            <w:r>
              <w:rPr>
                <w:rFonts w:ascii="Arial" w:cs="Arial" w:eastAsia="Arial" w:hAnsi="Arial"/>
                <w:sz w:val="18"/>
                <w:szCs w:val="18"/>
                <w:color w:val="auto"/>
              </w:rPr>
              <w:t>Euros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gridSpan w:val="2"/>
            <w:vMerge w:val="continue"/>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256"/>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60"/>
              <w:spacing w:after="0" w:line="173" w:lineRule="exact"/>
              <w:rPr>
                <w:sz w:val="20"/>
                <w:szCs w:val="20"/>
                <w:color w:val="auto"/>
              </w:rPr>
            </w:pPr>
            <w:r>
              <w:rPr>
                <w:rFonts w:ascii="Arial" w:cs="Arial" w:eastAsia="Arial" w:hAnsi="Arial"/>
                <w:sz w:val="18"/>
                <w:szCs w:val="18"/>
                <w:color w:val="auto"/>
              </w:rPr>
              <w:t>Malaysian ringgit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center"/>
              <w:ind w:right="76"/>
              <w:spacing w:after="0"/>
              <w:rPr>
                <w:sz w:val="20"/>
                <w:szCs w:val="20"/>
                <w:color w:val="auto"/>
              </w:rPr>
            </w:pPr>
            <w:r>
              <w:rPr>
                <w:rFonts w:ascii="Arial" w:cs="Arial" w:eastAsia="Arial" w:hAnsi="Arial"/>
                <w:sz w:val="18"/>
                <w:szCs w:val="18"/>
                <w:color w:val="auto"/>
                <w:w w:val="88"/>
              </w:rPr>
              <w:t>110.8</w:t>
            </w: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ind w:left="180"/>
              <w:spacing w:after="0" w:line="173" w:lineRule="exact"/>
              <w:rPr>
                <w:sz w:val="20"/>
                <w:szCs w:val="20"/>
                <w:color w:val="auto"/>
              </w:rPr>
            </w:pPr>
            <w:r>
              <w:rPr>
                <w:rFonts w:ascii="Arial" w:cs="Arial" w:eastAsia="Arial" w:hAnsi="Arial"/>
                <w:sz w:val="18"/>
                <w:szCs w:val="18"/>
                <w:color w:val="auto"/>
              </w:rPr>
              <w:t>British pound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foreign currencies</w:t>
            </w: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Swiss Franc</w:t>
            </w: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Malaysian ringgit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2"/>
          </w:tcPr>
          <w:p>
            <w:pPr>
              <w:ind w:left="160"/>
              <w:spacing w:after="0" w:line="175" w:lineRule="exact"/>
              <w:rPr>
                <w:sz w:val="20"/>
                <w:szCs w:val="20"/>
                <w:color w:val="auto"/>
              </w:rPr>
            </w:pPr>
            <w:r>
              <w:rPr>
                <w:rFonts w:ascii="Arial" w:cs="Arial" w:eastAsia="Arial" w:hAnsi="Arial"/>
                <w:sz w:val="18"/>
                <w:szCs w:val="18"/>
                <w:color w:val="auto"/>
              </w:rPr>
              <w:t>Canadian dollars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2"/>
          </w:tcPr>
          <w:p>
            <w:pPr>
              <w:ind w:left="160"/>
              <w:spacing w:after="0" w:line="173" w:lineRule="exact"/>
              <w:rPr>
                <w:sz w:val="20"/>
                <w:szCs w:val="20"/>
                <w:color w:val="auto"/>
              </w:rPr>
            </w:pPr>
            <w:r>
              <w:rPr>
                <w:rFonts w:ascii="Arial" w:cs="Arial" w:eastAsia="Arial" w:hAnsi="Arial"/>
                <w:sz w:val="18"/>
                <w:szCs w:val="18"/>
                <w:color w:val="auto"/>
              </w:rPr>
              <w:t>Brazilian reals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vMerge w:val="restart"/>
          </w:tcPr>
          <w:p>
            <w:pPr>
              <w:ind w:left="180"/>
              <w:spacing w:after="0"/>
              <w:rPr>
                <w:sz w:val="20"/>
                <w:szCs w:val="20"/>
                <w:color w:val="auto"/>
              </w:rPr>
            </w:pPr>
            <w:r>
              <w:rPr>
                <w:rFonts w:ascii="Arial" w:cs="Arial" w:eastAsia="Arial" w:hAnsi="Arial"/>
                <w:sz w:val="18"/>
                <w:szCs w:val="18"/>
                <w:color w:val="auto"/>
              </w:rPr>
              <w:t>Canadian dollars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Foreign currency forward exchange contracts to sell</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2"/>
          </w:tcPr>
          <w:p>
            <w:pPr>
              <w:ind w:left="160"/>
              <w:spacing w:after="0" w:line="173" w:lineRule="exact"/>
              <w:rPr>
                <w:sz w:val="20"/>
                <w:szCs w:val="20"/>
                <w:color w:val="auto"/>
              </w:rPr>
            </w:pPr>
            <w:r>
              <w:rPr>
                <w:rFonts w:ascii="Arial" w:cs="Arial" w:eastAsia="Arial" w:hAnsi="Arial"/>
                <w:sz w:val="18"/>
                <w:szCs w:val="18"/>
                <w:color w:val="auto"/>
              </w:rPr>
              <w:t>Mexican peso</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256"/>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15"/>
                <w:szCs w:val="15"/>
                <w:color w:val="auto"/>
              </w:rPr>
            </w:pPr>
          </w:p>
        </w:tc>
        <w:tc>
          <w:tcPr>
            <w:tcW w:w="2420" w:type="dxa"/>
            <w:vAlign w:val="bottom"/>
            <w:gridSpan w:val="2"/>
          </w:tcPr>
          <w:p>
            <w:pPr>
              <w:ind w:left="160"/>
              <w:spacing w:after="0" w:line="173" w:lineRule="exact"/>
              <w:rPr>
                <w:sz w:val="20"/>
                <w:szCs w:val="20"/>
                <w:color w:val="auto"/>
              </w:rPr>
            </w:pPr>
            <w:r>
              <w:rPr>
                <w:rFonts w:ascii="Arial" w:cs="Arial" w:eastAsia="Arial" w:hAnsi="Arial"/>
                <w:sz w:val="18"/>
                <w:szCs w:val="18"/>
                <w:color w:val="auto"/>
              </w:rPr>
              <w:t>Japanese yen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center"/>
              <w:ind w:right="76"/>
              <w:spacing w:after="0"/>
              <w:rPr>
                <w:sz w:val="20"/>
                <w:szCs w:val="20"/>
                <w:color w:val="auto"/>
              </w:rPr>
            </w:pPr>
            <w:r>
              <w:rPr>
                <w:rFonts w:ascii="Arial" w:cs="Arial" w:eastAsia="Arial" w:hAnsi="Arial"/>
                <w:sz w:val="18"/>
                <w:szCs w:val="18"/>
                <w:color w:val="auto"/>
                <w:w w:val="88"/>
              </w:rPr>
              <w:t>125.8</w:t>
            </w:r>
          </w:p>
        </w:tc>
        <w:tc>
          <w:tcPr>
            <w:tcW w:w="120" w:type="dxa"/>
            <w:vAlign w:val="bottom"/>
          </w:tcPr>
          <w:p>
            <w:pPr>
              <w:spacing w:after="0"/>
              <w:rPr>
                <w:sz w:val="15"/>
                <w:szCs w:val="15"/>
                <w:color w:val="auto"/>
              </w:rPr>
            </w:pPr>
          </w:p>
        </w:tc>
        <w:tc>
          <w:tcPr>
            <w:tcW w:w="2320" w:type="dxa"/>
            <w:vAlign w:val="bottom"/>
          </w:tcPr>
          <w:p>
            <w:pPr>
              <w:ind w:left="180"/>
              <w:spacing w:after="0" w:line="173" w:lineRule="exact"/>
              <w:rPr>
                <w:sz w:val="20"/>
                <w:szCs w:val="20"/>
                <w:color w:val="auto"/>
              </w:rPr>
            </w:pPr>
            <w:r>
              <w:rPr>
                <w:rFonts w:ascii="Arial" w:cs="Arial" w:eastAsia="Arial" w:hAnsi="Arial"/>
                <w:sz w:val="18"/>
                <w:szCs w:val="18"/>
                <w:color w:val="auto"/>
              </w:rPr>
              <w:t>Brazilian reals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foreign currencies</w:t>
            </w:r>
          </w:p>
        </w:tc>
        <w:tc>
          <w:tcPr>
            <w:tcW w:w="1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British pound</w:t>
            </w:r>
          </w:p>
        </w:tc>
        <w:tc>
          <w:tcPr>
            <w:tcW w:w="1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Japanese yen</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At December 31, 2020 and 2019, the net fair value of these instruments was a liability of $3.1 million and an asset of $1.0 million, respectively. In addition, assuming an unfavorable 10% change in year-end foreign currency exchange rates, the fair value of these instruments would have declined by $25.6 million and $55.4 million, respectively, generally offset by a reduction in foreign exchange associated with our transactional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411480</wp:posOffset>
            </wp:positionV>
            <wp:extent cx="194945" cy="169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Commodities—Price Risk Management and Futures Contracts</w:t>
      </w:r>
    </w:p>
    <w:p>
      <w:pPr>
        <w:spacing w:after="0" w:line="9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most significant raw material requirements include cocoa products, sugar, corn products, dairy products, peanuts and almonds. The cost of cocoa products and prices for related futures contracts and costs for certain other raw materials historically have been subject to wide fluctuations attributable to a variety of factors. These factors include:</w:t>
      </w:r>
    </w:p>
    <w:p>
      <w:pPr>
        <w:spacing w:after="0" w:line="215" w:lineRule="exact"/>
        <w:rPr>
          <w:sz w:val="20"/>
          <w:szCs w:val="20"/>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Commodity market fluctuations;</w:t>
      </w:r>
    </w:p>
    <w:p>
      <w:pPr>
        <w:spacing w:after="0" w:line="17"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Imbalances between supply and demand;</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climate change and extreme weather on crop yield and quality;</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Speculative influences;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Trade agreements among producing and consuming nations;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Supplier compliance with commitments;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Import/export requirements for raw materials and finished goods;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unrest in producing countries;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Introduction of living income premiums or similar requirements; and</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governmental agricultural programs and energy policies.</w:t>
      </w:r>
    </w:p>
    <w:p>
      <w:pPr>
        <w:spacing w:after="0" w:line="23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We use futures and options contracts and other commodity derivative instruments in combination with forward purchasing of cocoa products, sugar, corn products, certain dairy products, natural gas and diesel fuel primarily to mitigate price volatility and provide visibility to future costs within our supply chain. Currently, active futures contracts are not available for use in pricing our other major raw material requirements, primarily peanuts and almonds. We attempt to minimize the effect of future raw material and energy price fluctuations by using derivatives and forward purchasing to cover future manufacturing requirements generally for 3 to 24 months. However, dairy futures liquidity is not as developed as many of the other commodity futures markets and, therefore, it can be difficult to hedge dairy costs for extended periods of time. We use diesel fuel futures to minimize price fluctuations associated with our transportation costs. Our commodity procurement practices are intended to mitigate price volatility and provide visibility to future costs, but also may potentially limit our ability to benefit from possible price decreases. Our costs for major raw materials will not necessarily reflect market price fluctuations because of our forward purchasing and hedging practices.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Cocoa Products</w:t>
      </w:r>
    </w:p>
    <w:p>
      <w:pPr>
        <w:spacing w:after="0" w:line="16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During 2020, average cocoa futures contract prices increased compared with 2019 and traded in a range between $1.00 and $1.29 per pound, based on the Intercontinental Exchange futures contract. While global production declined slightly, demand reduced to a greater extent leading to a modest global surplus and accompanying increase in overall stocks. During the first half of the year prices declined amidst an expectation of strong future supply and concerns around the demand outlook. Strong West African production remains the consensus, though the demand picture has been unclear given broad-based quarantine measures. The table below shows annual average cocoa futures prices and the highest and lowest monthly averages for each of the calendar years indicated. The prices reflect the monthly averages of the quotations at noon of the three active futures trading contracts closest to maturity on the Intercontinental Exchange.</w:t>
      </w:r>
    </w:p>
    <w:p>
      <w:pPr>
        <w:spacing w:after="0" w:line="106" w:lineRule="exact"/>
        <w:rPr>
          <w:sz w:val="20"/>
          <w:szCs w:val="20"/>
          <w:color w:val="auto"/>
        </w:rPr>
      </w:pPr>
    </w:p>
    <w:p>
      <w:pPr>
        <w:jc w:val="center"/>
        <w:ind w:left="5540"/>
        <w:spacing w:after="0"/>
        <w:rPr>
          <w:sz w:val="20"/>
          <w:szCs w:val="20"/>
          <w:color w:val="auto"/>
        </w:rPr>
      </w:pPr>
      <w:r>
        <w:rPr>
          <w:rFonts w:ascii="Arial" w:cs="Arial" w:eastAsia="Arial" w:hAnsi="Arial"/>
          <w:sz w:val="16"/>
          <w:szCs w:val="16"/>
          <w:b w:val="1"/>
          <w:bCs w:val="1"/>
          <w:color w:val="auto"/>
        </w:rPr>
        <w:t>Cocoa Futures Contract Prices</w:t>
      </w:r>
    </w:p>
    <w:p>
      <w:pPr>
        <w:jc w:val="center"/>
        <w:ind w:left="5500"/>
        <w:spacing w:after="0"/>
        <w:rPr>
          <w:sz w:val="20"/>
          <w:szCs w:val="20"/>
          <w:color w:val="auto"/>
        </w:rPr>
      </w:pPr>
      <w:r>
        <w:rPr>
          <w:rFonts w:ascii="Arial" w:cs="Arial" w:eastAsia="Arial" w:hAnsi="Arial"/>
          <w:sz w:val="16"/>
          <w:szCs w:val="16"/>
          <w:b w:val="1"/>
          <w:bCs w:val="1"/>
          <w:color w:val="auto"/>
        </w:rPr>
        <w:t>(dollars per pound)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2016</w:t>
            </w:r>
          </w:p>
        </w:tc>
      </w:tr>
      <w:tr>
        <w:trPr>
          <w:trHeight w:val="222"/>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Average</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6"/>
        </w:trPr>
        <w:tc>
          <w:tcPr>
            <w:tcW w:w="5560" w:type="dxa"/>
            <w:vAlign w:val="bottom"/>
          </w:tcPr>
          <w:p>
            <w:pPr>
              <w:ind w:left="20"/>
              <w:spacing w:after="0"/>
              <w:rPr>
                <w:sz w:val="20"/>
                <w:szCs w:val="20"/>
                <w:color w:val="auto"/>
              </w:rPr>
            </w:pPr>
            <w:r>
              <w:rPr>
                <w:rFonts w:ascii="Arial" w:cs="Arial" w:eastAsia="Arial" w:hAnsi="Arial"/>
                <w:sz w:val="18"/>
                <w:szCs w:val="18"/>
                <w:color w:val="auto"/>
              </w:rPr>
              <w:t>High</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Low</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bl>
    <w:p>
      <w:pPr>
        <w:spacing w:after="0" w:line="8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Source: International Cocoa Organization Quarterly Bulletin of Cocoa Statistics</w:t>
      </w:r>
    </w:p>
    <w:p>
      <w:pPr>
        <w:spacing w:after="0" w:line="160"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Our costs for cocoa products will not necessarily reflect market price fluctuations because of our forward purchasing and hedging practices, premiums and discounts reflective of varying delivery times, and supply and demand for our specific varieties and grades of cocoa liquor, cocoa butter and cocoa powder. As a result, the average futures contract prices are not necessarily indicative of our average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404495</wp:posOffset>
            </wp:positionV>
            <wp:extent cx="194945" cy="169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Sugar</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price of sugar is subject to price supports under U.S. farm legislation. Such legislation establishes import quotas and duties to support the price of sugar. As a result, sugar prices paid by users in the U.S. are currently higher than prices on the world sugar market. The U.S. delivered east coast refined sugar prices traded in a range from $44.00 to $49.00 per pound during 2020. Prices were historically high throughout 2020 due to poor beet and cane sugar production in 2019 for all of North America.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Corn Products</w:t>
      </w:r>
    </w:p>
    <w:p>
      <w:pPr>
        <w:spacing w:after="0" w:line="166"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color w:val="auto"/>
        </w:rPr>
        <w:t>We use corn futures to price our corn sweetener product requirements. Strong U.S. exports, particularly in China, drove corn prices higher in 2020. Corn prices traded in a range from $3.15 to $4.83 per bushel during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Dairy Products</w:t>
      </w:r>
    </w:p>
    <w:p>
      <w:pPr>
        <w:spacing w:after="0" w:line="166"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color w:val="auto"/>
        </w:rPr>
        <w:t>During 2020, prices for fluid dairy milk ranged from a low of $12.75 per pound to a high of $16.65 per pound, on a Class IV milk basis. Fluid dairy milk prices were lower than 2019, driven by declines in U.S. dairy demand due to the impacts of COVID-19.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Peanuts and Almonds</w:t>
      </w:r>
    </w:p>
    <w:p>
      <w:pPr>
        <w:spacing w:after="0" w:line="16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Peanut prices in the U.S. ranged from a low of $0.51 per pound to a high of $0.90 per pound during 2020. Prices rose this year due to the low quality of the U.S. crop and strong demand. Almond prices began the year at $3.25 per pound and closed the year at $2.05 per pound during 2020. A record 2020 almond crop size drove prices lower.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the Value of Futures Contracts</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make or receive cash transfers to or from commodity futures brokers on a daily basis reflecting changes in the value of futures contracts on the Intercontinental Exchange or various other exchanges. These changes in value represent unrealized gains and losses. The cash transfers offset higher or lower cash requirements for the payment of future invoice prices of raw materials, energy requirements and transportation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Sensitivity Analysis</w:t>
      </w:r>
    </w:p>
    <w:p>
      <w:pPr>
        <w:spacing w:after="0" w:line="166"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Our open commodity derivative contracts had a notional value of $279.8 million as of December 31, 2020 and $589.7 million as of December 31, 2019. At the end of 2020, the potential change in fair value of commodity derivative instruments, assuming a 10% decrease in the underlying commodity price, would have increased our net unrealized losses in 2020 by $27.4 million, generally offset by a reduction in the cost of the underlying commodity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393065</wp:posOffset>
            </wp:positionV>
            <wp:extent cx="194945" cy="169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9340" w:type="dxa"/>
            <w:vAlign w:val="bottom"/>
            <w:gridSpan w:val="11"/>
          </w:tcPr>
          <w:p>
            <w:pPr>
              <w:ind w:left="4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1900" w:type="dxa"/>
            <w:vAlign w:val="bottom"/>
          </w:tcPr>
          <w:p>
            <w:pPr>
              <w:spacing w:after="0"/>
              <w:rPr>
                <w:sz w:val="20"/>
                <w:szCs w:val="20"/>
                <w:color w:val="auto"/>
              </w:rPr>
            </w:pPr>
          </w:p>
        </w:tc>
      </w:tr>
      <w:tr>
        <w:trPr>
          <w:trHeight w:val="453"/>
        </w:trPr>
        <w:tc>
          <w:tcPr>
            <w:tcW w:w="2420" w:type="dxa"/>
            <w:vAlign w:val="bottom"/>
          </w:tcPr>
          <w:p>
            <w:pPr>
              <w:spacing w:after="0"/>
              <w:rPr>
                <w:sz w:val="24"/>
                <w:szCs w:val="24"/>
                <w:color w:val="auto"/>
              </w:rPr>
            </w:pPr>
          </w:p>
        </w:tc>
        <w:tc>
          <w:tcPr>
            <w:tcW w:w="6920" w:type="dxa"/>
            <w:vAlign w:val="bottom"/>
            <w:gridSpan w:val="10"/>
          </w:tcPr>
          <w:p>
            <w:pPr>
              <w:ind w:left="900"/>
              <w:spacing w:after="0"/>
              <w:rPr>
                <w:sz w:val="20"/>
                <w:szCs w:val="20"/>
                <w:color w:val="auto"/>
              </w:rPr>
            </w:pPr>
            <w:r>
              <w:rPr>
                <w:rFonts w:ascii="Arial" w:cs="Arial" w:eastAsia="Arial" w:hAnsi="Arial"/>
                <w:sz w:val="18"/>
                <w:szCs w:val="18"/>
                <w:b w:val="1"/>
                <w:bCs w:val="1"/>
                <w:color w:val="auto"/>
              </w:rPr>
              <w:t>INDEX TO CONSOLIDATED FINANCIAL STATEMENTS</w:t>
            </w:r>
          </w:p>
        </w:tc>
        <w:tc>
          <w:tcPr>
            <w:tcW w:w="1900" w:type="dxa"/>
            <w:vAlign w:val="bottom"/>
          </w:tcPr>
          <w:p>
            <w:pPr>
              <w:spacing w:after="0"/>
              <w:rPr>
                <w:sz w:val="24"/>
                <w:szCs w:val="24"/>
                <w:color w:val="auto"/>
              </w:rPr>
            </w:pPr>
          </w:p>
        </w:tc>
      </w:tr>
      <w:tr>
        <w:trPr>
          <w:trHeight w:val="121"/>
        </w:trPr>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227"/>
        </w:trPr>
        <w:tc>
          <w:tcPr>
            <w:tcW w:w="9340" w:type="dxa"/>
            <w:vAlign w:val="bottom"/>
            <w:gridSpan w:val="11"/>
            <w:shd w:val="clear" w:color="auto" w:fill="CCEEFF"/>
          </w:tcPr>
          <w:p>
            <w:pPr>
              <w:ind w:left="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Report of Independent Registered Public Accounting Firm</w:t>
              </w:r>
            </w:hyperlink>
          </w:p>
        </w:tc>
        <w:tc>
          <w:tcPr>
            <w:tcW w:w="1900" w:type="dxa"/>
            <w:vAlign w:val="bottom"/>
            <w:shd w:val="clear" w:color="auto" w:fill="CCEEFF"/>
          </w:tcPr>
          <w:p>
            <w:pPr>
              <w:jc w:val="right"/>
              <w:ind w:right="211"/>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r>
      <w:tr>
        <w:trPr>
          <w:trHeight w:val="226"/>
        </w:trPr>
        <w:tc>
          <w:tcPr>
            <w:tcW w:w="9340" w:type="dxa"/>
            <w:vAlign w:val="bottom"/>
            <w:gridSpan w:val="11"/>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Report of Independent Registered Public Accounting Firm on Internal Control Over Financial Reporting</w:t>
              </w:r>
            </w:hyperlink>
          </w:p>
        </w:tc>
        <w:tc>
          <w:tcPr>
            <w:tcW w:w="1900" w:type="dxa"/>
            <w:vAlign w:val="bottom"/>
          </w:tcPr>
          <w:p>
            <w:pPr>
              <w:jc w:val="right"/>
              <w:ind w:right="211"/>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48</w:t>
              </w:r>
            </w:hyperlink>
          </w:p>
        </w:tc>
      </w:tr>
      <w:tr>
        <w:trPr>
          <w:trHeight w:val="187"/>
        </w:trPr>
        <w:tc>
          <w:tcPr>
            <w:tcW w:w="9340" w:type="dxa"/>
            <w:vAlign w:val="bottom"/>
            <w:gridSpan w:val="11"/>
            <w:shd w:val="clear" w:color="auto" w:fill="CCEEFF"/>
          </w:tcPr>
          <w:p>
            <w:pPr>
              <w:ind w:left="20"/>
              <w:spacing w:after="0" w:line="188" w:lineRule="exact"/>
              <w:rPr>
                <w:rFonts w:ascii="Arial" w:cs="Arial" w:eastAsia="Arial" w:hAnsi="Arial"/>
                <w:sz w:val="18"/>
                <w:szCs w:val="18"/>
                <w:color w:val="0000FF"/>
              </w:rPr>
            </w:pPr>
            <w:hyperlink w:anchor="page51">
              <w:r>
                <w:rPr>
                  <w:rFonts w:ascii="Arial" w:cs="Arial" w:eastAsia="Arial" w:hAnsi="Arial"/>
                  <w:sz w:val="18"/>
                  <w:szCs w:val="18"/>
                  <w:u w:val="single" w:color="auto"/>
                  <w:color w:val="0000FF"/>
                </w:rPr>
                <w:t>Consolidated Statements of Income for the years ended December 31, 2020,</w:t>
              </w:r>
              <w:r>
                <w:rPr>
                  <w:rFonts w:ascii="Arial" w:cs="Arial" w:eastAsia="Arial" w:hAnsi="Arial"/>
                  <w:sz w:val="18"/>
                  <w:szCs w:val="18"/>
                  <w:color w:val="0000FF"/>
                </w:rPr>
                <w:t xml:space="preserve"> 2019 and 2018</w:t>
              </w:r>
            </w:hyperlink>
          </w:p>
        </w:tc>
        <w:tc>
          <w:tcPr>
            <w:tcW w:w="1900" w:type="dxa"/>
            <w:vAlign w:val="bottom"/>
            <w:shd w:val="clear" w:color="auto" w:fill="CCEEFF"/>
          </w:tcPr>
          <w:p>
            <w:pPr>
              <w:jc w:val="right"/>
              <w:ind w:right="211"/>
              <w:spacing w:after="0" w:line="188" w:lineRule="exact"/>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50</w:t>
              </w:r>
            </w:hyperlink>
          </w:p>
        </w:tc>
      </w:tr>
      <w:tr>
        <w:trPr>
          <w:trHeight w:val="40"/>
        </w:trPr>
        <w:tc>
          <w:tcPr>
            <w:tcW w:w="2420" w:type="dxa"/>
            <w:vAlign w:val="bottom"/>
            <w:shd w:val="clear" w:color="auto" w:fill="CCEEFF"/>
          </w:tcPr>
          <w:p>
            <w:pPr>
              <w:spacing w:after="0"/>
              <w:rPr>
                <w:sz w:val="3"/>
                <w:szCs w:val="3"/>
                <w:color w:val="auto"/>
              </w:rPr>
            </w:pPr>
          </w:p>
        </w:tc>
        <w:tc>
          <w:tcPr>
            <w:tcW w:w="1200" w:type="dxa"/>
            <w:vAlign w:val="bottom"/>
            <w:tcBorders>
              <w:right w:val="single" w:sz="8" w:color="CCEEFF"/>
            </w:tcBorders>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r>
      <w:tr>
        <w:trPr>
          <w:trHeight w:val="197"/>
        </w:trPr>
        <w:tc>
          <w:tcPr>
            <w:tcW w:w="9340" w:type="dxa"/>
            <w:vAlign w:val="bottom"/>
            <w:gridSpan w:val="11"/>
          </w:tcPr>
          <w:p>
            <w:pPr>
              <w:ind w:left="20"/>
              <w:spacing w:after="0" w:line="187" w:lineRule="exact"/>
              <w:rPr>
                <w:rFonts w:ascii="Arial" w:cs="Arial" w:eastAsia="Arial" w:hAnsi="Arial"/>
                <w:sz w:val="18"/>
                <w:szCs w:val="18"/>
                <w:color w:val="0000FF"/>
              </w:rPr>
            </w:pPr>
            <w:hyperlink w:anchor="page52">
              <w:r>
                <w:rPr>
                  <w:rFonts w:ascii="Arial" w:cs="Arial" w:eastAsia="Arial" w:hAnsi="Arial"/>
                  <w:sz w:val="18"/>
                  <w:szCs w:val="18"/>
                  <w:u w:val="single" w:color="auto"/>
                  <w:color w:val="0000FF"/>
                </w:rPr>
                <w:t>Consolidated Statements of Comprehensive Income for the years ended December 31, 2020,</w:t>
              </w:r>
              <w:r>
                <w:rPr>
                  <w:rFonts w:ascii="Arial" w:cs="Arial" w:eastAsia="Arial" w:hAnsi="Arial"/>
                  <w:sz w:val="18"/>
                  <w:szCs w:val="18"/>
                  <w:color w:val="0000FF"/>
                </w:rPr>
                <w:t xml:space="preserve"> 2019 and 2018</w:t>
              </w:r>
            </w:hyperlink>
          </w:p>
        </w:tc>
        <w:tc>
          <w:tcPr>
            <w:tcW w:w="1900" w:type="dxa"/>
            <w:vAlign w:val="bottom"/>
          </w:tcPr>
          <w:p>
            <w:pPr>
              <w:jc w:val="right"/>
              <w:ind w:right="211"/>
              <w:spacing w:after="0" w:line="187" w:lineRule="exact"/>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r>
      <w:tr>
        <w:trPr>
          <w:trHeight w:val="197"/>
        </w:trPr>
        <w:tc>
          <w:tcPr>
            <w:tcW w:w="6600" w:type="dxa"/>
            <w:vAlign w:val="bottom"/>
            <w:tcBorders>
              <w:right w:val="single" w:sz="8" w:color="CCEEFF"/>
            </w:tcBorders>
            <w:gridSpan w:val="7"/>
            <w:shd w:val="clear" w:color="auto" w:fill="CCEEFF"/>
          </w:tcPr>
          <w:p>
            <w:pPr>
              <w:ind w:left="20"/>
              <w:spacing w:after="0" w:line="196" w:lineRule="exact"/>
              <w:rPr>
                <w:rFonts w:ascii="Arial" w:cs="Arial" w:eastAsia="Arial" w:hAnsi="Arial"/>
                <w:sz w:val="18"/>
                <w:szCs w:val="18"/>
                <w:color w:val="0000FF"/>
              </w:rPr>
            </w:pPr>
            <w:hyperlink w:anchor="page53">
              <w:r>
                <w:rPr>
                  <w:rFonts w:ascii="Arial" w:cs="Arial" w:eastAsia="Arial" w:hAnsi="Arial"/>
                  <w:sz w:val="18"/>
                  <w:szCs w:val="18"/>
                  <w:u w:val="single" w:color="auto"/>
                  <w:color w:val="0000FF"/>
                </w:rPr>
                <w:t>Consolidated Balance Sheets as of December 31,</w:t>
              </w:r>
              <w:r>
                <w:rPr>
                  <w:rFonts w:ascii="Arial" w:cs="Arial" w:eastAsia="Arial" w:hAnsi="Arial"/>
                  <w:sz w:val="18"/>
                  <w:szCs w:val="18"/>
                  <w:color w:val="0000FF"/>
                </w:rPr>
                <w:t xml:space="preserve"> 2020 and 2019</w:t>
              </w:r>
            </w:hyperlink>
          </w:p>
        </w:tc>
        <w:tc>
          <w:tcPr>
            <w:tcW w:w="1100" w:type="dxa"/>
            <w:vAlign w:val="bottom"/>
            <w:tcBorders>
              <w:top w:val="single" w:sz="8" w:color="0000FF"/>
            </w:tcBorders>
            <w:gridSpan w:val="3"/>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211"/>
              <w:spacing w:after="0" w:line="196" w:lineRule="exact"/>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r>
      <w:tr>
        <w:trPr>
          <w:trHeight w:val="40"/>
        </w:trPr>
        <w:tc>
          <w:tcPr>
            <w:tcW w:w="2420" w:type="dxa"/>
            <w:vAlign w:val="bottom"/>
            <w:shd w:val="clear" w:color="auto" w:fill="CCEEFF"/>
          </w:tcPr>
          <w:p>
            <w:pPr>
              <w:spacing w:after="0"/>
              <w:rPr>
                <w:sz w:val="3"/>
                <w:szCs w:val="3"/>
                <w:color w:val="auto"/>
              </w:rPr>
            </w:pPr>
          </w:p>
        </w:tc>
        <w:tc>
          <w:tcPr>
            <w:tcW w:w="1200" w:type="dxa"/>
            <w:vAlign w:val="bottom"/>
            <w:tcBorders>
              <w:right w:val="single" w:sz="8" w:color="0000FF"/>
            </w:tcBorders>
            <w:shd w:val="clear" w:color="auto" w:fill="CCEE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r>
      <w:tr>
        <w:trPr>
          <w:trHeight w:val="187"/>
        </w:trPr>
        <w:tc>
          <w:tcPr>
            <w:tcW w:w="9340" w:type="dxa"/>
            <w:vAlign w:val="bottom"/>
            <w:gridSpan w:val="11"/>
          </w:tcPr>
          <w:p>
            <w:pPr>
              <w:ind w:left="20"/>
              <w:spacing w:after="0" w:line="187" w:lineRule="exact"/>
              <w:rPr>
                <w:rFonts w:ascii="Arial" w:cs="Arial" w:eastAsia="Arial" w:hAnsi="Arial"/>
                <w:sz w:val="18"/>
                <w:szCs w:val="18"/>
                <w:color w:val="0000FF"/>
              </w:rPr>
            </w:pPr>
            <w:hyperlink w:anchor="page54">
              <w:r>
                <w:rPr>
                  <w:rFonts w:ascii="Arial" w:cs="Arial" w:eastAsia="Arial" w:hAnsi="Arial"/>
                  <w:sz w:val="18"/>
                  <w:szCs w:val="18"/>
                  <w:u w:val="single" w:color="auto"/>
                  <w:color w:val="0000FF"/>
                </w:rPr>
                <w:t>Consolidated Statements of Cash Flows for the years ended December 31,</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2020, </w:t>
            </w:r>
            <w:hyperlink w:anchor="page54">
              <w:r>
                <w:rPr>
                  <w:rFonts w:ascii="Arial" w:cs="Arial" w:eastAsia="Arial" w:hAnsi="Arial"/>
                  <w:sz w:val="18"/>
                  <w:szCs w:val="18"/>
                  <w:color w:val="0000FF"/>
                </w:rPr>
                <w:t>2019 and 2018</w:t>
              </w:r>
            </w:hyperlink>
          </w:p>
        </w:tc>
        <w:tc>
          <w:tcPr>
            <w:tcW w:w="1900" w:type="dxa"/>
            <w:vAlign w:val="bottom"/>
          </w:tcPr>
          <w:p>
            <w:pPr>
              <w:jc w:val="right"/>
              <w:ind w:right="211"/>
              <w:spacing w:after="0" w:line="187" w:lineRule="exact"/>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53</w:t>
              </w:r>
            </w:hyperlink>
          </w:p>
        </w:tc>
      </w:tr>
      <w:tr>
        <w:trPr>
          <w:trHeight w:val="30"/>
        </w:trPr>
        <w:tc>
          <w:tcPr>
            <w:tcW w:w="2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17"/>
        </w:trPr>
        <w:tc>
          <w:tcPr>
            <w:tcW w:w="9340" w:type="dxa"/>
            <w:vAlign w:val="bottom"/>
            <w:gridSpan w:val="11"/>
            <w:shd w:val="clear" w:color="auto" w:fill="CCEEFF"/>
          </w:tcPr>
          <w:p>
            <w:pPr>
              <w:ind w:left="20"/>
              <w:spacing w:after="0" w:line="196" w:lineRule="exact"/>
              <w:rPr>
                <w:rFonts w:ascii="Arial" w:cs="Arial" w:eastAsia="Arial" w:hAnsi="Arial"/>
                <w:sz w:val="18"/>
                <w:szCs w:val="18"/>
                <w:color w:val="0000FF"/>
              </w:rPr>
            </w:pPr>
            <w:hyperlink w:anchor="page55">
              <w:r>
                <w:rPr>
                  <w:rFonts w:ascii="Arial" w:cs="Arial" w:eastAsia="Arial" w:hAnsi="Arial"/>
                  <w:sz w:val="18"/>
                  <w:szCs w:val="18"/>
                  <w:u w:val="single" w:color="auto"/>
                  <w:color w:val="0000FF"/>
                </w:rPr>
                <w:t>Consolidated Statements of Stockholders’ Equity for the years ended December 31, 2020,</w:t>
              </w:r>
              <w:r>
                <w:rPr>
                  <w:rFonts w:ascii="Arial" w:cs="Arial" w:eastAsia="Arial" w:hAnsi="Arial"/>
                  <w:sz w:val="18"/>
                  <w:szCs w:val="18"/>
                  <w:color w:val="0000FF"/>
                </w:rPr>
                <w:t xml:space="preserve"> 2019 and 2018</w:t>
              </w:r>
            </w:hyperlink>
          </w:p>
        </w:tc>
        <w:tc>
          <w:tcPr>
            <w:tcW w:w="1900" w:type="dxa"/>
            <w:vAlign w:val="bottom"/>
            <w:shd w:val="clear" w:color="auto" w:fill="CCEEFF"/>
          </w:tcPr>
          <w:p>
            <w:pPr>
              <w:jc w:val="right"/>
              <w:ind w:right="211"/>
              <w:spacing w:after="0" w:line="196" w:lineRule="exact"/>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r>
      <w:tr>
        <w:trPr>
          <w:trHeight w:val="226"/>
        </w:trPr>
        <w:tc>
          <w:tcPr>
            <w:tcW w:w="6460" w:type="dxa"/>
            <w:vAlign w:val="bottom"/>
            <w:tcBorders>
              <w:top w:val="single" w:sz="8" w:color="CCEEFF"/>
            </w:tcBorders>
            <w:gridSpan w:val="6"/>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Notes to Consolidated Financial Statements</w:t>
              </w:r>
            </w:hyperlink>
          </w:p>
        </w:tc>
        <w:tc>
          <w:tcPr>
            <w:tcW w:w="1060" w:type="dxa"/>
            <w:vAlign w:val="bottom"/>
            <w:tcBorders>
              <w:top w:val="single" w:sz="8" w:color="0000FF"/>
            </w:tcBorders>
            <w:gridSpan w:val="3"/>
          </w:tcPr>
          <w:p>
            <w:pPr>
              <w:spacing w:after="0"/>
              <w:rPr>
                <w:sz w:val="19"/>
                <w:szCs w:val="19"/>
                <w:color w:val="auto"/>
              </w:rPr>
            </w:pPr>
          </w:p>
        </w:tc>
        <w:tc>
          <w:tcPr>
            <w:tcW w:w="1820" w:type="dxa"/>
            <w:vAlign w:val="bottom"/>
            <w:tcBorders>
              <w:top w:val="single" w:sz="8" w:color="CCEEFF"/>
            </w:tcBorders>
            <w:gridSpan w:val="2"/>
          </w:tcPr>
          <w:p>
            <w:pPr>
              <w:spacing w:after="0"/>
              <w:rPr>
                <w:sz w:val="19"/>
                <w:szCs w:val="19"/>
                <w:color w:val="auto"/>
              </w:rPr>
            </w:pPr>
          </w:p>
        </w:tc>
        <w:tc>
          <w:tcPr>
            <w:tcW w:w="1900" w:type="dxa"/>
            <w:vAlign w:val="bottom"/>
            <w:tcBorders>
              <w:top w:val="single" w:sz="8" w:color="CCEEFF"/>
            </w:tcBorders>
          </w:tcPr>
          <w:p>
            <w:pPr>
              <w:jc w:val="right"/>
              <w:ind w:right="211"/>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55</w:t>
              </w:r>
            </w:hyperlink>
          </w:p>
        </w:tc>
      </w:tr>
      <w:tr>
        <w:trPr>
          <w:trHeight w:val="227"/>
        </w:trPr>
        <w:tc>
          <w:tcPr>
            <w:tcW w:w="9340" w:type="dxa"/>
            <w:vAlign w:val="bottom"/>
            <w:gridSpan w:val="11"/>
            <w:shd w:val="clear" w:color="auto" w:fill="CCEEFF"/>
          </w:tcPr>
          <w:p>
            <w:pPr>
              <w:ind w:left="2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Note 1 - Summary of Significant Accounting Policies</w:t>
              </w:r>
            </w:hyperlink>
          </w:p>
        </w:tc>
        <w:tc>
          <w:tcPr>
            <w:tcW w:w="1900" w:type="dxa"/>
            <w:vAlign w:val="bottom"/>
            <w:shd w:val="clear" w:color="auto" w:fill="CCEEFF"/>
          </w:tcPr>
          <w:p>
            <w:pPr>
              <w:jc w:val="right"/>
              <w:ind w:right="211"/>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55</w:t>
              </w:r>
            </w:hyperlink>
          </w:p>
        </w:tc>
      </w:tr>
      <w:tr>
        <w:trPr>
          <w:trHeight w:val="187"/>
        </w:trPr>
        <w:tc>
          <w:tcPr>
            <w:tcW w:w="9340" w:type="dxa"/>
            <w:vAlign w:val="bottom"/>
            <w:gridSpan w:val="11"/>
          </w:tcPr>
          <w:p>
            <w:pPr>
              <w:ind w:left="220"/>
              <w:spacing w:after="0" w:line="187" w:lineRule="exact"/>
              <w:rPr>
                <w:rFonts w:ascii="Arial" w:cs="Arial" w:eastAsia="Arial" w:hAnsi="Arial"/>
                <w:sz w:val="18"/>
                <w:szCs w:val="18"/>
                <w:color w:val="0000FF"/>
              </w:rPr>
            </w:pPr>
            <w:hyperlink w:anchor="page62">
              <w:r>
                <w:rPr>
                  <w:rFonts w:ascii="Arial" w:cs="Arial" w:eastAsia="Arial" w:hAnsi="Arial"/>
                  <w:sz w:val="18"/>
                  <w:szCs w:val="18"/>
                  <w:u w:val="single" w:color="auto"/>
                  <w:color w:val="0000FF"/>
                </w:rPr>
                <w:t>Note 2 - Business Acquisitions</w:t>
              </w:r>
              <w:r>
                <w:rPr>
                  <w:rFonts w:ascii="Arial" w:cs="Arial" w:eastAsia="Arial" w:hAnsi="Arial"/>
                  <w:sz w:val="18"/>
                  <w:szCs w:val="18"/>
                  <w:color w:val="0000FF"/>
                </w:rPr>
                <w:t xml:space="preserve"> and Divestitures</w:t>
              </w:r>
            </w:hyperlink>
          </w:p>
        </w:tc>
        <w:tc>
          <w:tcPr>
            <w:tcW w:w="1900" w:type="dxa"/>
            <w:vAlign w:val="bottom"/>
          </w:tcPr>
          <w:p>
            <w:pPr>
              <w:jc w:val="right"/>
              <w:ind w:right="211"/>
              <w:spacing w:after="0" w:line="187" w:lineRule="exact"/>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61</w:t>
              </w:r>
            </w:hyperlink>
          </w:p>
        </w:tc>
      </w:tr>
      <w:tr>
        <w:trPr>
          <w:trHeight w:val="30"/>
        </w:trPr>
        <w:tc>
          <w:tcPr>
            <w:tcW w:w="2420" w:type="dxa"/>
            <w:vAlign w:val="bottom"/>
          </w:tcPr>
          <w:p>
            <w:pPr>
              <w:spacing w:after="0"/>
              <w:rPr>
                <w:sz w:val="2"/>
                <w:szCs w:val="2"/>
                <w:color w:val="auto"/>
              </w:rPr>
            </w:pPr>
          </w:p>
        </w:tc>
        <w:tc>
          <w:tcPr>
            <w:tcW w:w="1200" w:type="dxa"/>
            <w:vAlign w:val="bottom"/>
            <w:tcBorders>
              <w:right w:val="single" w:sz="8" w:color="0000FF"/>
            </w:tcBorders>
            <w:shd w:val="clear" w:color="auto" w:fill="0000FF"/>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9340" w:type="dxa"/>
            <w:vAlign w:val="bottom"/>
            <w:gridSpan w:val="11"/>
            <w:shd w:val="clear" w:color="auto" w:fill="CCEEFF"/>
          </w:tcPr>
          <w:p>
            <w:pPr>
              <w:ind w:left="2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Note 3 - Goodwill and Intangible Assets</w:t>
              </w:r>
            </w:hyperlink>
          </w:p>
        </w:tc>
        <w:tc>
          <w:tcPr>
            <w:tcW w:w="1900" w:type="dxa"/>
            <w:vAlign w:val="bottom"/>
            <w:shd w:val="clear" w:color="auto" w:fill="CCEEFF"/>
          </w:tcPr>
          <w:p>
            <w:pPr>
              <w:jc w:val="right"/>
              <w:ind w:right="211"/>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64</w:t>
              </w:r>
            </w:hyperlink>
          </w:p>
        </w:tc>
      </w:tr>
      <w:tr>
        <w:trPr>
          <w:trHeight w:val="226"/>
        </w:trPr>
        <w:tc>
          <w:tcPr>
            <w:tcW w:w="9340" w:type="dxa"/>
            <w:vAlign w:val="bottom"/>
            <w:gridSpan w:val="11"/>
          </w:tcPr>
          <w:p>
            <w:pPr>
              <w:ind w:left="2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Note 4 - Short and Long-Term Debt</w:t>
              </w:r>
            </w:hyperlink>
          </w:p>
        </w:tc>
        <w:tc>
          <w:tcPr>
            <w:tcW w:w="1900" w:type="dxa"/>
            <w:vAlign w:val="bottom"/>
          </w:tcPr>
          <w:p>
            <w:pPr>
              <w:jc w:val="right"/>
              <w:ind w:right="211"/>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65</w:t>
              </w:r>
            </w:hyperlink>
          </w:p>
        </w:tc>
      </w:tr>
      <w:tr>
        <w:trPr>
          <w:trHeight w:val="227"/>
        </w:trPr>
        <w:tc>
          <w:tcPr>
            <w:tcW w:w="9340" w:type="dxa"/>
            <w:vAlign w:val="bottom"/>
            <w:gridSpan w:val="11"/>
            <w:shd w:val="clear" w:color="auto" w:fill="CCEEFF"/>
          </w:tcPr>
          <w:p>
            <w:pPr>
              <w:ind w:left="2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Note 5 - Derivative Instruments</w:t>
              </w:r>
            </w:hyperlink>
          </w:p>
        </w:tc>
        <w:tc>
          <w:tcPr>
            <w:tcW w:w="1900" w:type="dxa"/>
            <w:vAlign w:val="bottom"/>
            <w:shd w:val="clear" w:color="auto" w:fill="CCEEFF"/>
          </w:tcPr>
          <w:p>
            <w:pPr>
              <w:jc w:val="right"/>
              <w:ind w:right="211"/>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67</w:t>
              </w:r>
            </w:hyperlink>
          </w:p>
        </w:tc>
      </w:tr>
      <w:tr>
        <w:trPr>
          <w:trHeight w:val="226"/>
        </w:trPr>
        <w:tc>
          <w:tcPr>
            <w:tcW w:w="9340" w:type="dxa"/>
            <w:vAlign w:val="bottom"/>
            <w:gridSpan w:val="11"/>
          </w:tcPr>
          <w:p>
            <w:pPr>
              <w:ind w:left="22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Note 6 - Fair Value Measurements</w:t>
              </w:r>
            </w:hyperlink>
          </w:p>
        </w:tc>
        <w:tc>
          <w:tcPr>
            <w:tcW w:w="1900" w:type="dxa"/>
            <w:vAlign w:val="bottom"/>
          </w:tcPr>
          <w:p>
            <w:pPr>
              <w:jc w:val="right"/>
              <w:ind w:right="211"/>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70</w:t>
              </w:r>
            </w:hyperlink>
          </w:p>
        </w:tc>
      </w:tr>
      <w:tr>
        <w:trPr>
          <w:trHeight w:val="227"/>
        </w:trPr>
        <w:tc>
          <w:tcPr>
            <w:tcW w:w="9340" w:type="dxa"/>
            <w:vAlign w:val="bottom"/>
            <w:gridSpan w:val="11"/>
            <w:shd w:val="clear" w:color="auto" w:fill="CCEEFF"/>
          </w:tcPr>
          <w:p>
            <w:pPr>
              <w:ind w:left="2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Note 7 - Leases</w:t>
              </w:r>
            </w:hyperlink>
          </w:p>
        </w:tc>
        <w:tc>
          <w:tcPr>
            <w:tcW w:w="1900" w:type="dxa"/>
            <w:vAlign w:val="bottom"/>
            <w:shd w:val="clear" w:color="auto" w:fill="CCEEFF"/>
          </w:tcPr>
          <w:p>
            <w:pPr>
              <w:jc w:val="right"/>
              <w:ind w:right="211"/>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72</w:t>
              </w:r>
            </w:hyperlink>
          </w:p>
        </w:tc>
      </w:tr>
      <w:tr>
        <w:trPr>
          <w:trHeight w:val="226"/>
        </w:trPr>
        <w:tc>
          <w:tcPr>
            <w:tcW w:w="9340" w:type="dxa"/>
            <w:vAlign w:val="bottom"/>
            <w:gridSpan w:val="11"/>
          </w:tcPr>
          <w:p>
            <w:pPr>
              <w:ind w:left="2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Note 8 - Assets and Liabilities Held for Sale</w:t>
              </w:r>
            </w:hyperlink>
          </w:p>
        </w:tc>
        <w:tc>
          <w:tcPr>
            <w:tcW w:w="1900" w:type="dxa"/>
            <w:vAlign w:val="bottom"/>
          </w:tcPr>
          <w:p>
            <w:pPr>
              <w:jc w:val="right"/>
              <w:ind w:right="211"/>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74</w:t>
              </w:r>
            </w:hyperlink>
          </w:p>
        </w:tc>
      </w:tr>
      <w:tr>
        <w:trPr>
          <w:trHeight w:val="227"/>
        </w:trPr>
        <w:tc>
          <w:tcPr>
            <w:tcW w:w="9340" w:type="dxa"/>
            <w:vAlign w:val="bottom"/>
            <w:gridSpan w:val="11"/>
            <w:shd w:val="clear" w:color="auto" w:fill="CCEEFF"/>
          </w:tcPr>
          <w:p>
            <w:pPr>
              <w:ind w:left="2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Note 9 - Business Realignment Activities</w:t>
              </w:r>
            </w:hyperlink>
          </w:p>
        </w:tc>
        <w:tc>
          <w:tcPr>
            <w:tcW w:w="1900" w:type="dxa"/>
            <w:vAlign w:val="bottom"/>
            <w:shd w:val="clear" w:color="auto" w:fill="CCEEFF"/>
          </w:tcPr>
          <w:p>
            <w:pPr>
              <w:jc w:val="right"/>
              <w:ind w:right="211"/>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75</w:t>
              </w:r>
            </w:hyperlink>
          </w:p>
        </w:tc>
      </w:tr>
      <w:tr>
        <w:trPr>
          <w:trHeight w:val="226"/>
        </w:trPr>
        <w:tc>
          <w:tcPr>
            <w:tcW w:w="9340" w:type="dxa"/>
            <w:vAlign w:val="bottom"/>
            <w:gridSpan w:val="11"/>
          </w:tcPr>
          <w:p>
            <w:pPr>
              <w:ind w:left="2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Note 10 - Income Taxes</w:t>
              </w:r>
            </w:hyperlink>
          </w:p>
        </w:tc>
        <w:tc>
          <w:tcPr>
            <w:tcW w:w="1900" w:type="dxa"/>
            <w:vAlign w:val="bottom"/>
          </w:tcPr>
          <w:p>
            <w:pPr>
              <w:jc w:val="right"/>
              <w:ind w:right="211"/>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77</w:t>
              </w:r>
            </w:hyperlink>
          </w:p>
        </w:tc>
      </w:tr>
      <w:tr>
        <w:trPr>
          <w:trHeight w:val="227"/>
        </w:trPr>
        <w:tc>
          <w:tcPr>
            <w:tcW w:w="9340" w:type="dxa"/>
            <w:vAlign w:val="bottom"/>
            <w:gridSpan w:val="11"/>
            <w:shd w:val="clear" w:color="auto" w:fill="CCEEFF"/>
          </w:tcPr>
          <w:p>
            <w:pPr>
              <w:ind w:left="2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Note 11 - Pension and Other Post-Retirement Benefit Plans</w:t>
              </w:r>
            </w:hyperlink>
          </w:p>
        </w:tc>
        <w:tc>
          <w:tcPr>
            <w:tcW w:w="1900" w:type="dxa"/>
            <w:vAlign w:val="bottom"/>
            <w:shd w:val="clear" w:color="auto" w:fill="CCEEFF"/>
          </w:tcPr>
          <w:p>
            <w:pPr>
              <w:jc w:val="right"/>
              <w:ind w:right="211"/>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80</w:t>
              </w:r>
            </w:hyperlink>
          </w:p>
        </w:tc>
      </w:tr>
      <w:tr>
        <w:trPr>
          <w:trHeight w:val="226"/>
        </w:trPr>
        <w:tc>
          <w:tcPr>
            <w:tcW w:w="9340" w:type="dxa"/>
            <w:vAlign w:val="bottom"/>
            <w:gridSpan w:val="11"/>
          </w:tcPr>
          <w:p>
            <w:pPr>
              <w:ind w:left="22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Note 12 - Stock Compensation Plans</w:t>
              </w:r>
            </w:hyperlink>
          </w:p>
        </w:tc>
        <w:tc>
          <w:tcPr>
            <w:tcW w:w="1900" w:type="dxa"/>
            <w:vAlign w:val="bottom"/>
          </w:tcPr>
          <w:p>
            <w:pPr>
              <w:jc w:val="right"/>
              <w:ind w:right="211"/>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86</w:t>
              </w:r>
            </w:hyperlink>
          </w:p>
        </w:tc>
      </w:tr>
      <w:tr>
        <w:trPr>
          <w:trHeight w:val="227"/>
        </w:trPr>
        <w:tc>
          <w:tcPr>
            <w:tcW w:w="9340" w:type="dxa"/>
            <w:vAlign w:val="bottom"/>
            <w:gridSpan w:val="11"/>
            <w:shd w:val="clear" w:color="auto" w:fill="CCEEFF"/>
          </w:tcPr>
          <w:p>
            <w:pPr>
              <w:ind w:left="22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Note 13 - Segment Information</w:t>
              </w:r>
            </w:hyperlink>
          </w:p>
        </w:tc>
        <w:tc>
          <w:tcPr>
            <w:tcW w:w="1900" w:type="dxa"/>
            <w:vAlign w:val="bottom"/>
            <w:shd w:val="clear" w:color="auto" w:fill="CCEEFF"/>
          </w:tcPr>
          <w:p>
            <w:pPr>
              <w:jc w:val="right"/>
              <w:ind w:right="211"/>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89</w:t>
              </w:r>
            </w:hyperlink>
          </w:p>
        </w:tc>
      </w:tr>
      <w:tr>
        <w:trPr>
          <w:trHeight w:val="226"/>
        </w:trPr>
        <w:tc>
          <w:tcPr>
            <w:tcW w:w="9340" w:type="dxa"/>
            <w:vAlign w:val="bottom"/>
            <w:gridSpan w:val="11"/>
          </w:tcPr>
          <w:p>
            <w:pPr>
              <w:ind w:left="22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Note 14 - Equity and Noncontrolling Interest</w:t>
              </w:r>
            </w:hyperlink>
          </w:p>
        </w:tc>
        <w:tc>
          <w:tcPr>
            <w:tcW w:w="1900" w:type="dxa"/>
            <w:vAlign w:val="bottom"/>
          </w:tcPr>
          <w:p>
            <w:pPr>
              <w:jc w:val="right"/>
              <w:ind w:right="211"/>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91</w:t>
              </w:r>
            </w:hyperlink>
          </w:p>
        </w:tc>
      </w:tr>
      <w:tr>
        <w:trPr>
          <w:trHeight w:val="227"/>
        </w:trPr>
        <w:tc>
          <w:tcPr>
            <w:tcW w:w="9340" w:type="dxa"/>
            <w:vAlign w:val="bottom"/>
            <w:gridSpan w:val="11"/>
            <w:shd w:val="clear" w:color="auto" w:fill="CCEEFF"/>
          </w:tcPr>
          <w:p>
            <w:pPr>
              <w:ind w:left="2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Note 15 - Commitments and Contingencies</w:t>
              </w:r>
            </w:hyperlink>
          </w:p>
        </w:tc>
        <w:tc>
          <w:tcPr>
            <w:tcW w:w="1900" w:type="dxa"/>
            <w:vAlign w:val="bottom"/>
            <w:shd w:val="clear" w:color="auto" w:fill="CCEEFF"/>
          </w:tcPr>
          <w:p>
            <w:pPr>
              <w:jc w:val="right"/>
              <w:ind w:right="211"/>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93</w:t>
              </w:r>
            </w:hyperlink>
          </w:p>
        </w:tc>
      </w:tr>
      <w:tr>
        <w:trPr>
          <w:trHeight w:val="226"/>
        </w:trPr>
        <w:tc>
          <w:tcPr>
            <w:tcW w:w="9340" w:type="dxa"/>
            <w:vAlign w:val="bottom"/>
            <w:gridSpan w:val="11"/>
          </w:tcPr>
          <w:p>
            <w:pPr>
              <w:ind w:left="22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Note 16 - Earnings Per Share</w:t>
              </w:r>
            </w:hyperlink>
          </w:p>
        </w:tc>
        <w:tc>
          <w:tcPr>
            <w:tcW w:w="1900" w:type="dxa"/>
            <w:vAlign w:val="bottom"/>
          </w:tcPr>
          <w:p>
            <w:pPr>
              <w:jc w:val="right"/>
              <w:ind w:right="211"/>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94</w:t>
              </w:r>
            </w:hyperlink>
          </w:p>
        </w:tc>
      </w:tr>
      <w:tr>
        <w:trPr>
          <w:trHeight w:val="227"/>
        </w:trPr>
        <w:tc>
          <w:tcPr>
            <w:tcW w:w="9340" w:type="dxa"/>
            <w:vAlign w:val="bottom"/>
            <w:gridSpan w:val="11"/>
            <w:shd w:val="clear" w:color="auto" w:fill="CCEEFF"/>
          </w:tcPr>
          <w:p>
            <w:pPr>
              <w:ind w:left="220"/>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Note 17 - Other (Income) Expense, Net</w:t>
              </w:r>
            </w:hyperlink>
          </w:p>
        </w:tc>
        <w:tc>
          <w:tcPr>
            <w:tcW w:w="1900" w:type="dxa"/>
            <w:vAlign w:val="bottom"/>
            <w:shd w:val="clear" w:color="auto" w:fill="CCEEFF"/>
          </w:tcPr>
          <w:p>
            <w:pPr>
              <w:jc w:val="right"/>
              <w:ind w:right="211"/>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96</w:t>
              </w:r>
            </w:hyperlink>
          </w:p>
        </w:tc>
      </w:tr>
      <w:tr>
        <w:trPr>
          <w:trHeight w:val="226"/>
        </w:trPr>
        <w:tc>
          <w:tcPr>
            <w:tcW w:w="9340" w:type="dxa"/>
            <w:vAlign w:val="bottom"/>
            <w:gridSpan w:val="11"/>
          </w:tcPr>
          <w:p>
            <w:pPr>
              <w:ind w:left="22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Note 18 - Supplemental Balance Sheet Information</w:t>
              </w:r>
            </w:hyperlink>
          </w:p>
        </w:tc>
        <w:tc>
          <w:tcPr>
            <w:tcW w:w="1900" w:type="dxa"/>
            <w:vAlign w:val="bottom"/>
          </w:tcPr>
          <w:p>
            <w:pPr>
              <w:jc w:val="right"/>
              <w:ind w:right="211"/>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97</w:t>
              </w:r>
            </w:hyperlink>
          </w:p>
        </w:tc>
      </w:tr>
      <w:tr>
        <w:trPr>
          <w:trHeight w:val="227"/>
        </w:trPr>
        <w:tc>
          <w:tcPr>
            <w:tcW w:w="9340" w:type="dxa"/>
            <w:vAlign w:val="bottom"/>
            <w:gridSpan w:val="11"/>
            <w:shd w:val="clear" w:color="auto" w:fill="CCEEFF"/>
          </w:tcPr>
          <w:p>
            <w:pPr>
              <w:ind w:left="220"/>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Note 19 - Quarterly Data (Unaudited)</w:t>
              </w:r>
            </w:hyperlink>
          </w:p>
        </w:tc>
        <w:tc>
          <w:tcPr>
            <w:tcW w:w="1900" w:type="dxa"/>
            <w:vAlign w:val="bottom"/>
            <w:shd w:val="clear" w:color="auto" w:fill="CCEEFF"/>
          </w:tcPr>
          <w:p>
            <w:pPr>
              <w:jc w:val="right"/>
              <w:ind w:right="211"/>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98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635000</wp:posOffset>
            </wp:positionV>
            <wp:extent cx="194945" cy="169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Hershey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audited the accompanying consolidated balance sheets of The Hershey Company (the Company) as of December 31, 2020 and 2019, the related consolidated statements of income, comprehensive income, cash flows, and stockholders' equity for each of the three years in the period ended December 31, 2020,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2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17, 2021 expressed an unqualified opinion thereon.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409575</wp:posOffset>
            </wp:positionV>
            <wp:extent cx="194945" cy="169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81" w:right="39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i w:val="1"/>
          <w:iCs w:val="1"/>
          <w:color w:val="auto"/>
        </w:rPr>
        <w:t>Valuation of Accrued Liabilities for Trade Promotion Activities</w:t>
      </w:r>
    </w:p>
    <w:p>
      <w:pPr>
        <w:sectPr>
          <w:pgSz w:w="11900" w:h="16838" w:orient="portrait"/>
          <w:cols w:equalWidth="0" w:num="1">
            <w:col w:w="11120"/>
          </w:cols>
          <w:pgMar w:left="340" w:top="1380" w:right="439" w:bottom="1440" w:gutter="0" w:footer="0" w:header="0"/>
        </w:sectPr>
      </w:pPr>
    </w:p>
    <w:p>
      <w:pPr>
        <w:spacing w:after="0" w:line="332" w:lineRule="exact"/>
        <w:rPr>
          <w:sz w:val="20"/>
          <w:szCs w:val="20"/>
          <w:color w:val="auto"/>
        </w:rPr>
      </w:pPr>
    </w:p>
    <w:p>
      <w:pPr>
        <w:spacing w:after="0" w:line="230"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140"/>
        <w:spacing w:after="0" w:line="223" w:lineRule="auto"/>
        <w:rPr>
          <w:sz w:val="20"/>
          <w:szCs w:val="20"/>
          <w:color w:val="auto"/>
        </w:rPr>
      </w:pPr>
      <w:r>
        <w:rPr>
          <w:rFonts w:ascii="Arial" w:cs="Arial" w:eastAsia="Arial" w:hAnsi="Arial"/>
          <w:sz w:val="17"/>
          <w:szCs w:val="17"/>
          <w:color w:val="auto"/>
        </w:rPr>
        <w:t>The unsettled portion of the Company’s obligation for trade promotion activities at December 31, 2020 was $195.6 million. As discussed in Note 1 of the consolidated financial statements, the Company promotes its products through programs such as, but not limited to, discounts, coupons, rebates, in-store display incentives, and volume-based incentives. The Company recognizes the estimated costs of these trade promotion activities as a component of variable consideration when determining the transaction price. The unsettled portion of the Company’s obligation for trade promotion activities is included in accrued liabilities in the consolidated balance sheet.</w:t>
      </w:r>
    </w:p>
    <w:p>
      <w:pPr>
        <w:spacing w:after="0" w:line="190" w:lineRule="exact"/>
        <w:rPr>
          <w:sz w:val="20"/>
          <w:szCs w:val="20"/>
          <w:color w:val="auto"/>
        </w:rPr>
      </w:pPr>
    </w:p>
    <w:p>
      <w:pPr>
        <w:sectPr>
          <w:pgSz w:w="11900" w:h="16838" w:orient="portrait"/>
          <w:cols w:equalWidth="0" w:num="2">
            <w:col w:w="1280" w:space="660"/>
            <w:col w:w="9180"/>
          </w:cols>
          <w:pgMar w:left="340" w:top="1380" w:right="439" w:bottom="1440" w:gutter="0" w:footer="0" w:header="0"/>
          <w:type w:val="continuous"/>
        </w:sectPr>
      </w:pPr>
    </w:p>
    <w:p>
      <w:pPr>
        <w:ind w:left="1940" w:right="100"/>
        <w:spacing w:after="0" w:line="237" w:lineRule="auto"/>
        <w:rPr>
          <w:sz w:val="20"/>
          <w:szCs w:val="20"/>
          <w:color w:val="auto"/>
        </w:rPr>
      </w:pPr>
      <w:r>
        <w:rPr>
          <w:rFonts w:ascii="Arial" w:cs="Arial" w:eastAsia="Arial" w:hAnsi="Arial"/>
          <w:sz w:val="16"/>
          <w:szCs w:val="16"/>
          <w:color w:val="auto"/>
        </w:rPr>
        <w:t>Auditing management’s calculation of the unsettled portion of the Company’s obligation for trade promotion activities was highly subjective and required significant judgment as a result of the nature of the required estimates and assumptions. In particular, the estimates required an analysis of the programs offered, expectations regarding customer and consumer participation, historical sales and payment trends, and experience with payment patterns associated with similar programs offered in the past. The estimated cost of these programs is sensitive to changes in trends with regard to customer and consumer participation, particularly for new programs and for programs related to the introduction of new products.</w:t>
      </w:r>
    </w:p>
    <w:p>
      <w:pPr>
        <w:sectPr>
          <w:pgSz w:w="11900" w:h="16838" w:orient="portrait"/>
          <w:cols w:equalWidth="0" w:num="1">
            <w:col w:w="11120"/>
          </w:cols>
          <w:pgMar w:left="340" w:top="1380" w:right="439" w:bottom="1440" w:gutter="0" w:footer="0" w:header="0"/>
          <w:type w:val="continuous"/>
        </w:sectPr>
      </w:pPr>
    </w:p>
    <w:p>
      <w:pPr>
        <w:spacing w:after="0" w:line="216"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We obtained an understanding, evaluated the design, and tested the operating effectiveness of the controls related to the Company’s calculation of the accrued liabilities for trade promotion activities. For example, we tested controls over management’s review of the completeness of the promotional activities as well as the significant assumptions and the data inputs utilized in the calculations.</w:t>
      </w:r>
    </w:p>
    <w:p>
      <w:pPr>
        <w:spacing w:after="0" w:line="191" w:lineRule="exact"/>
        <w:rPr>
          <w:sz w:val="20"/>
          <w:szCs w:val="20"/>
          <w:color w:val="auto"/>
        </w:rPr>
      </w:pPr>
    </w:p>
    <w:p>
      <w:pPr>
        <w:sectPr>
          <w:pgSz w:w="11900" w:h="16838" w:orient="portrait"/>
          <w:cols w:equalWidth="0" w:num="2">
            <w:col w:w="1640" w:space="300"/>
            <w:col w:w="9180"/>
          </w:cols>
          <w:pgMar w:left="340" w:top="1380" w:right="439" w:bottom="1440" w:gutter="0" w:footer="0" w:header="0"/>
          <w:type w:val="continuous"/>
        </w:sectPr>
      </w:pPr>
    </w:p>
    <w:p>
      <w:pPr>
        <w:ind w:left="1940"/>
        <w:spacing w:after="0" w:line="235" w:lineRule="auto"/>
        <w:rPr>
          <w:sz w:val="20"/>
          <w:szCs w:val="20"/>
          <w:color w:val="auto"/>
        </w:rPr>
      </w:pPr>
      <w:r>
        <w:rPr>
          <w:rFonts w:ascii="Arial" w:cs="Arial" w:eastAsia="Arial" w:hAnsi="Arial"/>
          <w:sz w:val="16"/>
          <w:szCs w:val="16"/>
          <w:color w:val="auto"/>
        </w:rPr>
        <w:t>To test the unsettled portion of the Company’s obligation for trade promotion activities, we performed audit procedures that included, among others, assessing (1) the expected value estimation methodology used by management, (2) whether all material trade promotion activities were properly included in management’s estimate, and (3) the significant assumptions discussed above and the underlying data used in its analyses. Specifically, when evaluating the significant assumptions, we compared them to historical trends, third party data, and assumptions used in prior periods, and inspected management’s retrospective review of actual trade promotion activities compared to previous estimates. We also performed sensitivity analyses of significant assumptions to evaluate the changes in the estimate that would result from changes in the assumptions.</w:t>
      </w:r>
    </w:p>
    <w:p>
      <w:pPr>
        <w:sectPr>
          <w:pgSz w:w="11900" w:h="16838" w:orient="portrait"/>
          <w:cols w:equalWidth="0" w:num="1">
            <w:col w:w="11120"/>
          </w:cols>
          <w:pgMar w:left="340" w:top="138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646430</wp:posOffset>
            </wp:positionV>
            <wp:extent cx="194945" cy="169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39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40" w:top="1380" w:right="439" w:bottom="1440" w:gutter="0" w:footer="0" w:header="0"/>
          <w:type w:val="continuous"/>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Hershey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audited The Hershey Company’s internal control over financial reporting as of December 31, 2020, based on criteria established in Internal Control-Integrated Framework issued by the Committee of Sponsoring Organizations of the Treadway Commission (2013 framework) (the COSO criteria). In our opinion, The Hershey Company (the Company) maintained, in all material respects, effective internal control over financial reporting as of December 31, 2020, based on the COSO criteria.</w:t>
      </w:r>
    </w:p>
    <w:p>
      <w:pPr>
        <w:spacing w:after="0" w:line="22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cash flows, and stockholders' equity for each of the three years in the period ended December 31, 2020, and the related notes and financial statement schedule listed in the Index at Item 15(a)(2) and our report dated February 17, 2021 expressed an unqualified opinion thereon.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6" w:lineRule="exact"/>
        <w:rPr>
          <w:sz w:val="20"/>
          <w:szCs w:val="20"/>
          <w:color w:val="auto"/>
        </w:rPr>
      </w:pPr>
    </w:p>
    <w:p>
      <w:pPr>
        <w:jc w:val="both"/>
        <w:ind w:right="440"/>
        <w:spacing w:after="0" w:line="279"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708660</wp:posOffset>
            </wp:positionV>
            <wp:extent cx="194945" cy="169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81" w:right="359" w:bottom="1440" w:gutter="0" w:footer="0" w:header="0"/>
        </w:sectPr>
      </w:pPr>
    </w:p>
    <w:bookmarkStart w:id="50" w:name="page51"/>
    <w:bookmarkEnd w:id="50"/>
    <w:p>
      <w:pPr>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646430</wp:posOffset>
            </wp:positionV>
            <wp:extent cx="194945" cy="169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47" w:right="41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380" w:type="dxa"/>
            <w:vAlign w:val="bottom"/>
          </w:tcPr>
          <w:p>
            <w:pPr>
              <w:spacing w:after="0"/>
              <w:rPr>
                <w:sz w:val="20"/>
                <w:szCs w:val="20"/>
                <w:color w:val="auto"/>
              </w:rPr>
            </w:pPr>
          </w:p>
        </w:tc>
        <w:tc>
          <w:tcPr>
            <w:tcW w:w="1300" w:type="dxa"/>
            <w:vAlign w:val="bottom"/>
          </w:tcPr>
          <w:p>
            <w:pPr>
              <w:jc w:val="right"/>
              <w:ind w:right="57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1"/>
              <w:spacing w:after="0"/>
              <w:rPr>
                <w:sz w:val="20"/>
                <w:szCs w:val="20"/>
                <w:color w:val="auto"/>
              </w:rPr>
            </w:pPr>
            <w:r>
              <w:rPr>
                <w:rFonts w:ascii="Arial" w:cs="Arial" w:eastAsia="Arial" w:hAnsi="Arial"/>
                <w:sz w:val="18"/>
                <w:szCs w:val="18"/>
                <w:b w:val="1"/>
                <w:bCs w:val="1"/>
                <w:color w:val="auto"/>
              </w:rPr>
              <w:t>2018</w:t>
            </w:r>
          </w:p>
        </w:tc>
      </w:tr>
      <w:tr>
        <w:trPr>
          <w:trHeight w:val="221"/>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8,149,719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7,986,252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7,791,069</w:t>
            </w:r>
          </w:p>
        </w:tc>
      </w:tr>
      <w:tr>
        <w:trPr>
          <w:trHeight w:val="226"/>
        </w:trPr>
        <w:tc>
          <w:tcPr>
            <w:tcW w:w="5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4,448,450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4,363,774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4,215,744</w:t>
            </w:r>
          </w:p>
        </w:tc>
      </w:tr>
      <w:tr>
        <w:trPr>
          <w:trHeight w:val="221"/>
        </w:trPr>
        <w:tc>
          <w:tcPr>
            <w:tcW w:w="59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3,701,269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3,622,478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3,575,325</w:t>
            </w:r>
          </w:p>
        </w:tc>
      </w:tr>
      <w:tr>
        <w:trPr>
          <w:trHeight w:val="22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Selling, marketing and administrative expense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1,890,925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1,905,929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1,874,829</w:t>
            </w:r>
          </w:p>
        </w:tc>
      </w:tr>
      <w:tr>
        <w:trPr>
          <w:trHeight w:val="227"/>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Long-lived and intangible asset impairment charges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57,729</w:t>
            </w:r>
          </w:p>
        </w:tc>
      </w:tr>
      <w:tr>
        <w:trPr>
          <w:trHeight w:val="226"/>
        </w:trPr>
        <w:tc>
          <w:tcPr>
            <w:tcW w:w="5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Business realignment costs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19,103</w:t>
            </w:r>
          </w:p>
        </w:tc>
      </w:tr>
      <w:tr>
        <w:trPr>
          <w:trHeight w:val="221"/>
        </w:trPr>
        <w:tc>
          <w:tcPr>
            <w:tcW w:w="59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Operating profit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1,782,698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1,595,952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1,623,664</w:t>
            </w:r>
          </w:p>
        </w:tc>
      </w:tr>
      <w:tr>
        <w:trPr>
          <w:trHeight w:val="22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149,374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144,125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138,837</w:t>
            </w:r>
          </w:p>
        </w:tc>
      </w:tr>
      <w:tr>
        <w:trPr>
          <w:trHeight w:val="227"/>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r>
      <w:tr>
        <w:trPr>
          <w:trHeight w:val="219"/>
        </w:trPr>
        <w:tc>
          <w:tcPr>
            <w:tcW w:w="592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1,494,997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1,380,784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1,410,061</w:t>
            </w:r>
          </w:p>
        </w:tc>
      </w:tr>
      <w:tr>
        <w:trPr>
          <w:trHeight w:val="227"/>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219,584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239,010</w:t>
            </w:r>
          </w:p>
        </w:tc>
      </w:tr>
      <w:tr>
        <w:trPr>
          <w:trHeight w:val="219"/>
        </w:trPr>
        <w:tc>
          <w:tcPr>
            <w:tcW w:w="59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including noncontrolling interest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1,275,413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1,146,752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1,171,051</w:t>
            </w:r>
          </w:p>
        </w:tc>
      </w:tr>
      <w:tr>
        <w:trPr>
          <w:trHeight w:val="227"/>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Net loss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r>
      <w:tr>
        <w:trPr>
          <w:trHeight w:val="221"/>
        </w:trPr>
        <w:tc>
          <w:tcPr>
            <w:tcW w:w="592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1,278,708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1,149,692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1,177,562</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3"/>
        </w:trPr>
        <w:tc>
          <w:tcPr>
            <w:tcW w:w="5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7"/>
        </w:trPr>
        <w:tc>
          <w:tcPr>
            <w:tcW w:w="59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per share—basic:</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2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Class B common stock</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67"/>
        </w:trPr>
        <w:tc>
          <w:tcPr>
            <w:tcW w:w="5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7"/>
        </w:trPr>
        <w:tc>
          <w:tcPr>
            <w:tcW w:w="59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per share—diluted:</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2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Class B common stock</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67"/>
        </w:trPr>
        <w:tc>
          <w:tcPr>
            <w:tcW w:w="5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7"/>
        </w:trPr>
        <w:tc>
          <w:tcPr>
            <w:tcW w:w="5920" w:type="dxa"/>
            <w:vAlign w:val="bottom"/>
            <w:gridSpan w:val="2"/>
          </w:tcPr>
          <w:p>
            <w:pPr>
              <w:ind w:left="20"/>
              <w:spacing w:after="0"/>
              <w:rPr>
                <w:sz w:val="20"/>
                <w:szCs w:val="20"/>
                <w:color w:val="auto"/>
              </w:rPr>
            </w:pPr>
            <w:r>
              <w:rPr>
                <w:rFonts w:ascii="Arial" w:cs="Arial" w:eastAsia="Arial" w:hAnsi="Arial"/>
                <w:sz w:val="18"/>
                <w:szCs w:val="18"/>
                <w:b w:val="1"/>
                <w:bCs w:val="1"/>
                <w:color w:val="auto"/>
              </w:rPr>
              <w:t>Dividends paid per share: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25"/>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Class B common stock</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2.866</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2.504</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447040</wp:posOffset>
            </wp:positionV>
            <wp:extent cx="194945" cy="169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9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3422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40" w:top="1241" w:right="3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4"/>
                <w:szCs w:val="14"/>
                <w:b w:val="1"/>
                <w:bCs w:val="1"/>
                <w:color w:val="auto"/>
                <w:w w:val="90"/>
              </w:rPr>
              <w:t>For the years ended December 31,</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0"/>
              </w:rPr>
              <w:t>Tax</w:t>
            </w: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After-Tax</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0"/>
              </w:rPr>
              <w:t>Tax</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0"/>
              </w:rPr>
              <w:t>Tax</w:t>
            </w: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(Expense)</w:t>
            </w: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8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86"/>
              </w:rPr>
              <w:t>(Expense)</w:t>
            </w: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(Expense)</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740" w:type="dxa"/>
            <w:vAlign w:val="bottom"/>
          </w:tcPr>
          <w:p>
            <w:pPr>
              <w:jc w:val="right"/>
              <w:ind w:right="49"/>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Benefit</w:t>
            </w:r>
          </w:p>
        </w:tc>
        <w:tc>
          <w:tcPr>
            <w:tcW w:w="740" w:type="dxa"/>
            <w:vAlign w:val="bottom"/>
          </w:tcPr>
          <w:p>
            <w:pPr>
              <w:jc w:val="right"/>
              <w:ind w:right="49"/>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Benefit</w:t>
            </w:r>
          </w:p>
        </w:tc>
        <w:tc>
          <w:tcPr>
            <w:tcW w:w="740" w:type="dxa"/>
            <w:vAlign w:val="bottom"/>
          </w:tcPr>
          <w:p>
            <w:pPr>
              <w:jc w:val="right"/>
              <w:ind w:right="4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1"/>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including noncontrolling interest</w:t>
            </w: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$ 1,275,413</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$ 1,146,752</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$ 1,171,051</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 net of tax:</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220"/>
              <w:spacing w:after="0"/>
              <w:rPr>
                <w:sz w:val="20"/>
                <w:szCs w:val="20"/>
                <w:color w:val="auto"/>
              </w:rPr>
            </w:pPr>
            <w:r>
              <w:rPr>
                <w:rFonts w:ascii="Arial" w:cs="Arial" w:eastAsia="Arial" w:hAnsi="Arial"/>
                <w:sz w:val="14"/>
                <w:szCs w:val="14"/>
                <w:color w:val="auto"/>
              </w:rPr>
              <w:t>Foreign currency translation (losses) gains during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(13,767)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(13,767)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13,141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13,141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(31,143)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(31,143)</w:t>
            </w: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9"/>
              </w:rPr>
              <w:t>Reclassification to earnings due to the sale of businesses</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25,131</w:t>
            </w:r>
          </w:p>
        </w:tc>
        <w:tc>
          <w:tcPr>
            <w:tcW w:w="0" w:type="dxa"/>
            <w:vAlign w:val="bottom"/>
          </w:tcPr>
          <w:p>
            <w:pPr>
              <w:spacing w:after="0"/>
              <w:rPr>
                <w:sz w:val="1"/>
                <w:szCs w:val="1"/>
                <w:color w:val="auto"/>
              </w:rPr>
            </w:pPr>
          </w:p>
        </w:tc>
      </w:tr>
      <w:tr>
        <w:trPr>
          <w:trHeight w:val="184"/>
        </w:trPr>
        <w:tc>
          <w:tcPr>
            <w:tcW w:w="3780" w:type="dxa"/>
            <w:vAlign w:val="bottom"/>
          </w:tcPr>
          <w:p>
            <w:pPr>
              <w:ind w:left="140"/>
              <w:spacing w:after="0"/>
              <w:rPr>
                <w:sz w:val="20"/>
                <w:szCs w:val="20"/>
                <w:color w:val="auto"/>
              </w:rPr>
            </w:pPr>
            <w:r>
              <w:rPr>
                <w:rFonts w:ascii="Arial" w:cs="Arial" w:eastAsia="Arial" w:hAnsi="Arial"/>
                <w:sz w:val="14"/>
                <w:szCs w:val="14"/>
                <w:color w:val="auto"/>
              </w:rPr>
              <w:t>Pension and post-retirement benefit plans: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actuarial (loss) gain and prior service cost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9,351</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(30,104)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(29,604)</w:t>
            </w:r>
          </w:p>
        </w:tc>
        <w:tc>
          <w:tcPr>
            <w:tcW w:w="0" w:type="dxa"/>
            <w:vAlign w:val="bottom"/>
          </w:tcPr>
          <w:p>
            <w:pPr>
              <w:spacing w:after="0"/>
              <w:rPr>
                <w:sz w:val="1"/>
                <w:szCs w:val="1"/>
                <w:color w:val="auto"/>
              </w:rPr>
            </w:pPr>
          </w:p>
        </w:tc>
      </w:tr>
      <w:tr>
        <w:trPr>
          <w:trHeight w:val="184"/>
        </w:trPr>
        <w:tc>
          <w:tcPr>
            <w:tcW w:w="3780" w:type="dxa"/>
            <w:vAlign w:val="bottom"/>
          </w:tcPr>
          <w:p>
            <w:pPr>
              <w:ind w:left="220"/>
              <w:spacing w:after="0"/>
              <w:rPr>
                <w:sz w:val="20"/>
                <w:szCs w:val="20"/>
                <w:color w:val="auto"/>
              </w:rPr>
            </w:pPr>
            <w:r>
              <w:rPr>
                <w:rFonts w:ascii="Arial" w:cs="Arial" w:eastAsia="Arial" w:hAnsi="Arial"/>
                <w:sz w:val="14"/>
                <w:szCs w:val="14"/>
                <w:color w:val="auto"/>
              </w:rPr>
              <w:t>Reclassification of tax effects relating to U.S. tax reform</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(36,535)</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(36,535)</w:t>
            </w: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to earnings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33,326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25,086</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30,435</w:t>
            </w:r>
          </w:p>
        </w:tc>
        <w:tc>
          <w:tcPr>
            <w:tcW w:w="0" w:type="dxa"/>
            <w:vAlign w:val="bottom"/>
          </w:tcPr>
          <w:p>
            <w:pPr>
              <w:spacing w:after="0"/>
              <w:rPr>
                <w:sz w:val="1"/>
                <w:szCs w:val="1"/>
                <w:color w:val="auto"/>
              </w:rPr>
            </w:pPr>
          </w:p>
        </w:tc>
      </w:tr>
      <w:tr>
        <w:trPr>
          <w:trHeight w:val="184"/>
        </w:trPr>
        <w:tc>
          <w:tcPr>
            <w:tcW w:w="3780" w:type="dxa"/>
            <w:vAlign w:val="bottom"/>
          </w:tcPr>
          <w:p>
            <w:pPr>
              <w:ind w:left="140"/>
              <w:spacing w:after="0"/>
              <w:rPr>
                <w:sz w:val="20"/>
                <w:szCs w:val="20"/>
                <w:color w:val="auto"/>
              </w:rPr>
            </w:pPr>
            <w:r>
              <w:rPr>
                <w:rFonts w:ascii="Arial" w:cs="Arial" w:eastAsia="Arial" w:hAnsi="Arial"/>
                <w:sz w:val="14"/>
                <w:szCs w:val="14"/>
                <w:color w:val="auto"/>
              </w:rPr>
              <w:t>Cash flow hedges: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(Losses) gains on cash flow hedging derivatives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5,736</w:t>
            </w:r>
          </w:p>
        </w:tc>
        <w:tc>
          <w:tcPr>
            <w:tcW w:w="0" w:type="dxa"/>
            <w:vAlign w:val="bottom"/>
          </w:tcPr>
          <w:p>
            <w:pPr>
              <w:spacing w:after="0"/>
              <w:rPr>
                <w:sz w:val="1"/>
                <w:szCs w:val="1"/>
                <w:color w:val="auto"/>
              </w:rPr>
            </w:pPr>
          </w:p>
        </w:tc>
      </w:tr>
      <w:tr>
        <w:trPr>
          <w:trHeight w:val="184"/>
        </w:trPr>
        <w:tc>
          <w:tcPr>
            <w:tcW w:w="3780" w:type="dxa"/>
            <w:vAlign w:val="bottom"/>
          </w:tcPr>
          <w:p>
            <w:pPr>
              <w:ind w:left="220"/>
              <w:spacing w:after="0"/>
              <w:rPr>
                <w:sz w:val="20"/>
                <w:szCs w:val="20"/>
                <w:color w:val="auto"/>
              </w:rPr>
            </w:pPr>
            <w:r>
              <w:rPr>
                <w:rFonts w:ascii="Arial" w:cs="Arial" w:eastAsia="Arial" w:hAnsi="Arial"/>
                <w:sz w:val="14"/>
                <w:szCs w:val="14"/>
                <w:color w:val="auto"/>
              </w:rPr>
              <w:t>Reclassification of tax effects relating to U.S. tax reform</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(11,121)</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(11,121)</w:t>
            </w: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to earnings</w:t>
            </w: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7,779</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(3,156)</w:t>
            </w: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4,623</w:t>
            </w:r>
          </w:p>
        </w:tc>
        <w:tc>
          <w:tcPr>
            <w:tcW w:w="2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8,404</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(2,949)</w:t>
            </w: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5,455</w:t>
            </w:r>
          </w:p>
        </w:tc>
        <w:tc>
          <w:tcPr>
            <w:tcW w:w="2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5,573</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Total other comprehensive (loss) income, net of tax</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(12,897)</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(13,062)</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41,056</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(8,075)</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32,981</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6,080</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(50,285)</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(44,205)</w:t>
            </w:r>
          </w:p>
        </w:tc>
        <w:tc>
          <w:tcPr>
            <w:tcW w:w="0" w:type="dxa"/>
            <w:vAlign w:val="bottom"/>
          </w:tcPr>
          <w:p>
            <w:pPr>
              <w:spacing w:after="0"/>
              <w:rPr>
                <w:sz w:val="1"/>
                <w:szCs w:val="1"/>
                <w:color w:val="auto"/>
              </w:rPr>
            </w:pPr>
          </w:p>
        </w:tc>
      </w:tr>
      <w:tr>
        <w:trPr>
          <w:trHeight w:val="45"/>
        </w:trPr>
        <w:tc>
          <w:tcPr>
            <w:tcW w:w="37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3780" w:type="dxa"/>
            <w:vAlign w:val="bottom"/>
            <w:tcBorders>
              <w:top w:val="single" w:sz="8" w:color="CCEEFF"/>
            </w:tcBorders>
            <w:shd w:val="clear" w:color="auto" w:fill="CCEEFF"/>
          </w:tcPr>
          <w:p>
            <w:pPr>
              <w:ind w:left="20"/>
              <w:spacing w:after="0" w:line="80" w:lineRule="exact"/>
              <w:rPr>
                <w:sz w:val="20"/>
                <w:szCs w:val="20"/>
                <w:color w:val="auto"/>
              </w:rPr>
            </w:pPr>
            <w:r>
              <w:rPr>
                <w:rFonts w:ascii="Arial" w:cs="Arial" w:eastAsia="Arial" w:hAnsi="Arial"/>
                <w:sz w:val="9"/>
                <w:szCs w:val="9"/>
                <w:b w:val="1"/>
                <w:bCs w:val="1"/>
                <w:color w:val="auto"/>
              </w:rPr>
              <w:t>Total comprehensive income including noncontrolling</w:t>
            </w:r>
          </w:p>
        </w:tc>
        <w:tc>
          <w:tcPr>
            <w:tcW w:w="10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$ 1,262,351</w:t>
            </w: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$ 1,179,733</w:t>
            </w: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$ 1,126,846</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Comprehensive loss attributable to noncontrolling interest</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(2,241)</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(2,773)</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(7,682)</w:t>
            </w:r>
          </w:p>
        </w:tc>
        <w:tc>
          <w:tcPr>
            <w:tcW w:w="0" w:type="dxa"/>
            <w:vAlign w:val="bottom"/>
          </w:tcPr>
          <w:p>
            <w:pPr>
              <w:spacing w:after="0"/>
              <w:rPr>
                <w:sz w:val="1"/>
                <w:szCs w:val="1"/>
                <w:color w:val="auto"/>
              </w:rPr>
            </w:pPr>
          </w:p>
        </w:tc>
      </w:tr>
      <w:tr>
        <w:trPr>
          <w:trHeight w:val="116"/>
        </w:trPr>
        <w:tc>
          <w:tcPr>
            <w:tcW w:w="378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Comprehensive income attributable to The Hershey</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$ 1,264,592</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$ 1,182,506</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$ 1,134,528</w:t>
            </w:r>
          </w:p>
        </w:tc>
        <w:tc>
          <w:tcPr>
            <w:tcW w:w="0" w:type="dxa"/>
            <w:vAlign w:val="bottom"/>
          </w:tcPr>
          <w:p>
            <w:pPr>
              <w:spacing w:after="0"/>
              <w:rPr>
                <w:sz w:val="1"/>
                <w:szCs w:val="1"/>
                <w:color w:val="auto"/>
              </w:rPr>
            </w:pPr>
          </w:p>
        </w:tc>
      </w:tr>
      <w:tr>
        <w:trPr>
          <w:trHeight w:val="180"/>
        </w:trPr>
        <w:tc>
          <w:tcPr>
            <w:tcW w:w="378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b w:val="1"/>
                <w:bCs w:val="1"/>
                <w:color w:val="auto"/>
              </w:rPr>
              <w:t>Company</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5923915</wp:posOffset>
            </wp:positionH>
            <wp:positionV relativeFrom="paragraph">
              <wp:posOffset>447040</wp:posOffset>
            </wp:positionV>
            <wp:extent cx="194945" cy="169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580"/>
        <w:spacing w:after="0"/>
        <w:tabs>
          <w:tab w:leader="none" w:pos="39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342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40" w:top="1241" w:right="359" w:bottom="1440" w:gutter="0" w:footer="0" w:header="0"/>
        </w:sectPr>
      </w:pPr>
    </w:p>
    <w:bookmarkStart w:id="53" w:name="page54"/>
    <w:bookmarkEnd w:id="53"/>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BALANCE SHEETS</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20"/>
                <w:szCs w:val="20"/>
                <w:color w:val="auto"/>
              </w:rPr>
            </w:pPr>
          </w:p>
        </w:tc>
        <w:tc>
          <w:tcPr>
            <w:tcW w:w="1460" w:type="dxa"/>
            <w:vAlign w:val="bottom"/>
          </w:tcPr>
          <w:p>
            <w:pPr>
              <w:jc w:val="right"/>
              <w:ind w:right="6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1"/>
        </w:trPr>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493,262</w:t>
            </w:r>
          </w:p>
        </w:tc>
        <w:tc>
          <w:tcPr>
            <w:tcW w:w="0" w:type="dxa"/>
            <w:vAlign w:val="bottom"/>
          </w:tcPr>
          <w:p>
            <w:pPr>
              <w:spacing w:after="0"/>
              <w:rPr>
                <w:sz w:val="1"/>
                <w:szCs w:val="1"/>
                <w:color w:val="auto"/>
              </w:rPr>
            </w:pPr>
          </w:p>
        </w:tc>
      </w:tr>
      <w:tr>
        <w:trPr>
          <w:trHeight w:val="226"/>
        </w:trPr>
        <w:tc>
          <w:tcPr>
            <w:tcW w:w="7340" w:type="dxa"/>
            <w:vAlign w:val="bottom"/>
            <w:gridSpan w:val="2"/>
          </w:tcPr>
          <w:p>
            <w:pPr>
              <w:ind w:left="220"/>
              <w:spacing w:after="0"/>
              <w:rPr>
                <w:sz w:val="20"/>
                <w:szCs w:val="20"/>
                <w:color w:val="auto"/>
              </w:rPr>
            </w:pPr>
            <w:r>
              <w:rPr>
                <w:rFonts w:ascii="Arial" w:cs="Arial" w:eastAsia="Arial" w:hAnsi="Arial"/>
                <w:sz w:val="18"/>
                <w:szCs w:val="18"/>
                <w:color w:val="auto"/>
              </w:rPr>
              <w:t>Accounts receivable—trade, net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615,233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568,509</w:t>
            </w: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815,251</w:t>
            </w: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Prepaid expenses and other</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240,080</w:t>
            </w:r>
          </w:p>
        </w:tc>
        <w:tc>
          <w:tcPr>
            <w:tcW w:w="0" w:type="dxa"/>
            <w:vAlign w:val="bottom"/>
          </w:tcPr>
          <w:p>
            <w:pPr>
              <w:spacing w:after="0"/>
              <w:rPr>
                <w:sz w:val="1"/>
                <w:szCs w:val="1"/>
                <w:color w:val="auto"/>
              </w:rPr>
            </w:pPr>
          </w:p>
        </w:tc>
      </w:tr>
      <w:tr>
        <w:trPr>
          <w:trHeight w:val="221"/>
        </w:trPr>
        <w:tc>
          <w:tcPr>
            <w:tcW w:w="7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2,977,905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2,117,102</w:t>
            </w:r>
          </w:p>
        </w:tc>
        <w:tc>
          <w:tcPr>
            <w:tcW w:w="0" w:type="dxa"/>
            <w:vAlign w:val="bottom"/>
          </w:tcPr>
          <w:p>
            <w:pPr>
              <w:spacing w:after="0"/>
              <w:rPr>
                <w:sz w:val="1"/>
                <w:szCs w:val="1"/>
                <w:color w:val="auto"/>
              </w:rPr>
            </w:pPr>
          </w:p>
        </w:tc>
      </w:tr>
      <w:tr>
        <w:trPr>
          <w:trHeight w:val="227"/>
        </w:trPr>
        <w:tc>
          <w:tcPr>
            <w:tcW w:w="73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2,285,255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2,153,139</w:t>
            </w: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1,988,215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1,985,955</w:t>
            </w:r>
          </w:p>
        </w:tc>
        <w:tc>
          <w:tcPr>
            <w:tcW w:w="0" w:type="dxa"/>
            <w:vAlign w:val="bottom"/>
          </w:tcPr>
          <w:p>
            <w:pPr>
              <w:spacing w:after="0"/>
              <w:rPr>
                <w:sz w:val="1"/>
                <w:szCs w:val="1"/>
                <w:color w:val="auto"/>
              </w:rPr>
            </w:pPr>
          </w:p>
        </w:tc>
      </w:tr>
      <w:tr>
        <w:trPr>
          <w:trHeight w:val="227"/>
        </w:trPr>
        <w:tc>
          <w:tcPr>
            <w:tcW w:w="73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intangibles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1,295,214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1,341,166</w:t>
            </w: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512,000</w:t>
            </w:r>
          </w:p>
        </w:tc>
        <w:tc>
          <w:tcPr>
            <w:tcW w:w="0" w:type="dxa"/>
            <w:vAlign w:val="bottom"/>
          </w:tcPr>
          <w:p>
            <w:pPr>
              <w:spacing w:after="0"/>
              <w:rPr>
                <w:sz w:val="1"/>
                <w:szCs w:val="1"/>
                <w:color w:val="auto"/>
              </w:rPr>
            </w:pPr>
          </w:p>
        </w:tc>
      </w:tr>
      <w:tr>
        <w:trPr>
          <w:trHeight w:val="227"/>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31,033</w:t>
            </w:r>
          </w:p>
        </w:tc>
        <w:tc>
          <w:tcPr>
            <w:tcW w:w="0" w:type="dxa"/>
            <w:vAlign w:val="bottom"/>
          </w:tcPr>
          <w:p>
            <w:pPr>
              <w:spacing w:after="0"/>
              <w:rPr>
                <w:sz w:val="1"/>
                <w:szCs w:val="1"/>
                <w:color w:val="auto"/>
              </w:rPr>
            </w:pPr>
          </w:p>
        </w:tc>
      </w:tr>
      <w:tr>
        <w:trPr>
          <w:trHeight w:val="245"/>
        </w:trPr>
        <w:tc>
          <w:tcPr>
            <w:tcW w:w="7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9,131,845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8,140,395</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3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580,058</w:t>
            </w:r>
          </w:p>
        </w:tc>
        <w:tc>
          <w:tcPr>
            <w:tcW w:w="10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550,828</w:t>
            </w: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702,372</w:t>
            </w:r>
          </w:p>
        </w:tc>
        <w:tc>
          <w:tcPr>
            <w:tcW w:w="0" w:type="dxa"/>
            <w:vAlign w:val="bottom"/>
          </w:tcPr>
          <w:p>
            <w:pPr>
              <w:spacing w:after="0"/>
              <w:rPr>
                <w:sz w:val="1"/>
                <w:szCs w:val="1"/>
                <w:color w:val="auto"/>
              </w:rPr>
            </w:pPr>
          </w:p>
        </w:tc>
      </w:tr>
      <w:tr>
        <w:trPr>
          <w:trHeight w:val="226"/>
        </w:trPr>
        <w:tc>
          <w:tcPr>
            <w:tcW w:w="7340" w:type="dxa"/>
            <w:vAlign w:val="bottom"/>
            <w:gridSpan w:val="2"/>
          </w:tcPr>
          <w:p>
            <w:pPr>
              <w:ind w:left="220"/>
              <w:spacing w:after="0"/>
              <w:rPr>
                <w:sz w:val="20"/>
                <w:szCs w:val="20"/>
                <w:color w:val="auto"/>
              </w:rPr>
            </w:pPr>
            <w:r>
              <w:rPr>
                <w:rFonts w:ascii="Arial" w:cs="Arial" w:eastAsia="Arial" w:hAnsi="Arial"/>
                <w:sz w:val="18"/>
                <w:szCs w:val="18"/>
                <w:color w:val="auto"/>
              </w:rPr>
              <w:t>Accrued income taxes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19,921</w:t>
            </w: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Short-term debt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32,282</w:t>
            </w: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703,390</w:t>
            </w:r>
          </w:p>
        </w:tc>
        <w:tc>
          <w:tcPr>
            <w:tcW w:w="0" w:type="dxa"/>
            <w:vAlign w:val="bottom"/>
          </w:tcPr>
          <w:p>
            <w:pPr>
              <w:spacing w:after="0"/>
              <w:rPr>
                <w:sz w:val="1"/>
                <w:szCs w:val="1"/>
                <w:color w:val="auto"/>
              </w:rPr>
            </w:pPr>
          </w:p>
        </w:tc>
      </w:tr>
      <w:tr>
        <w:trPr>
          <w:trHeight w:val="221"/>
        </w:trPr>
        <w:tc>
          <w:tcPr>
            <w:tcW w:w="7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1,891,745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2,008,793</w:t>
            </w:r>
          </w:p>
        </w:tc>
        <w:tc>
          <w:tcPr>
            <w:tcW w:w="0" w:type="dxa"/>
            <w:vAlign w:val="bottom"/>
          </w:tcPr>
          <w:p>
            <w:pPr>
              <w:spacing w:after="0"/>
              <w:rPr>
                <w:sz w:val="1"/>
                <w:szCs w:val="1"/>
                <w:color w:val="auto"/>
              </w:rPr>
            </w:pPr>
          </w:p>
        </w:tc>
      </w:tr>
      <w:tr>
        <w:trPr>
          <w:trHeight w:val="227"/>
        </w:trPr>
        <w:tc>
          <w:tcPr>
            <w:tcW w:w="7340" w:type="dxa"/>
            <w:vAlign w:val="bottom"/>
            <w:gridSpan w:val="2"/>
          </w:tcPr>
          <w:p>
            <w:pPr>
              <w:ind w:left="20"/>
              <w:spacing w:after="0"/>
              <w:rPr>
                <w:sz w:val="20"/>
                <w:szCs w:val="20"/>
                <w:color w:val="auto"/>
              </w:rPr>
            </w:pPr>
            <w:r>
              <w:rPr>
                <w:rFonts w:ascii="Arial" w:cs="Arial" w:eastAsia="Arial" w:hAnsi="Arial"/>
                <w:sz w:val="18"/>
                <w:szCs w:val="18"/>
                <w:b w:val="1"/>
                <w:bCs w:val="1"/>
                <w:color w:val="auto"/>
              </w:rPr>
              <w:t>Long-term debt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4,089,755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3,530,813</w:t>
            </w: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655,777</w:t>
            </w:r>
          </w:p>
        </w:tc>
        <w:tc>
          <w:tcPr>
            <w:tcW w:w="0" w:type="dxa"/>
            <w:vAlign w:val="bottom"/>
          </w:tcPr>
          <w:p>
            <w:pPr>
              <w:spacing w:after="0"/>
              <w:rPr>
                <w:sz w:val="1"/>
                <w:szCs w:val="1"/>
                <w:color w:val="auto"/>
              </w:rPr>
            </w:pPr>
          </w:p>
        </w:tc>
      </w:tr>
      <w:tr>
        <w:trPr>
          <w:trHeight w:val="227"/>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229,028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200,018</w:t>
            </w:r>
          </w:p>
        </w:tc>
        <w:tc>
          <w:tcPr>
            <w:tcW w:w="0" w:type="dxa"/>
            <w:vAlign w:val="bottom"/>
          </w:tcPr>
          <w:p>
            <w:pPr>
              <w:spacing w:after="0"/>
              <w:rPr>
                <w:sz w:val="1"/>
                <w:szCs w:val="1"/>
                <w:color w:val="auto"/>
              </w:rPr>
            </w:pPr>
          </w:p>
        </w:tc>
      </w:tr>
      <w:tr>
        <w:trPr>
          <w:trHeight w:val="219"/>
        </w:trPr>
        <w:tc>
          <w:tcPr>
            <w:tcW w:w="7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6,893,962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6,395,401</w:t>
            </w:r>
          </w:p>
        </w:tc>
        <w:tc>
          <w:tcPr>
            <w:tcW w:w="0" w:type="dxa"/>
            <w:vAlign w:val="bottom"/>
          </w:tcPr>
          <w:p>
            <w:pPr>
              <w:spacing w:after="0"/>
              <w:rPr>
                <w:sz w:val="1"/>
                <w:szCs w:val="1"/>
                <w:color w:val="auto"/>
              </w:rPr>
            </w:pPr>
          </w:p>
        </w:tc>
      </w:tr>
      <w:tr>
        <w:trPr>
          <w:trHeight w:val="234"/>
        </w:trPr>
        <w:tc>
          <w:tcPr>
            <w:tcW w:w="7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gridSpan w:val="2"/>
          </w:tcPr>
          <w:p>
            <w:pPr>
              <w:ind w:left="140"/>
              <w:spacing w:after="0"/>
              <w:rPr>
                <w:sz w:val="20"/>
                <w:szCs w:val="20"/>
                <w:color w:val="auto"/>
              </w:rPr>
            </w:pPr>
            <w:r>
              <w:rPr>
                <w:rFonts w:ascii="Arial" w:cs="Arial" w:eastAsia="Arial" w:hAnsi="Arial"/>
                <w:sz w:val="18"/>
                <w:szCs w:val="18"/>
                <w:color w:val="auto"/>
              </w:rPr>
              <w:t>The Hershey Company stockholders’ equity</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Preferred stock, shares issued: none in 2020 and 2019</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340" w:type="dxa"/>
            <w:vAlign w:val="bottom"/>
            <w:gridSpan w:val="2"/>
          </w:tcPr>
          <w:p>
            <w:pPr>
              <w:ind w:left="220"/>
              <w:spacing w:after="0"/>
              <w:rPr>
                <w:sz w:val="20"/>
                <w:szCs w:val="20"/>
                <w:color w:val="auto"/>
              </w:rPr>
            </w:pPr>
            <w:r>
              <w:rPr>
                <w:rFonts w:ascii="Arial" w:cs="Arial" w:eastAsia="Arial" w:hAnsi="Arial"/>
                <w:sz w:val="18"/>
                <w:szCs w:val="18"/>
                <w:color w:val="auto"/>
              </w:rPr>
              <w:t>Common stock, shares issued: 160,939,248 in 2020 and 2019</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160,939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160,939</w:t>
            </w: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B common stock, shares issued: 60,613,777 in 2020 and 2019</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60,614</w:t>
            </w:r>
          </w:p>
        </w:tc>
        <w:tc>
          <w:tcPr>
            <w:tcW w:w="0" w:type="dxa"/>
            <w:vAlign w:val="bottom"/>
          </w:tcPr>
          <w:p>
            <w:pPr>
              <w:spacing w:after="0"/>
              <w:rPr>
                <w:sz w:val="1"/>
                <w:szCs w:val="1"/>
                <w:color w:val="auto"/>
              </w:rPr>
            </w:pPr>
          </w:p>
        </w:tc>
      </w:tr>
      <w:tr>
        <w:trPr>
          <w:trHeight w:val="226"/>
        </w:trPr>
        <w:tc>
          <w:tcPr>
            <w:tcW w:w="734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1,191,200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1,142,210</w:t>
            </w: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1,290,461</w:t>
            </w:r>
          </w:p>
        </w:tc>
        <w:tc>
          <w:tcPr>
            <w:tcW w:w="0" w:type="dxa"/>
            <w:vAlign w:val="bottom"/>
          </w:tcPr>
          <w:p>
            <w:pPr>
              <w:spacing w:after="0"/>
              <w:rPr>
                <w:sz w:val="1"/>
                <w:szCs w:val="1"/>
                <w:color w:val="auto"/>
              </w:rPr>
            </w:pPr>
          </w:p>
        </w:tc>
      </w:tr>
      <w:tr>
        <w:trPr>
          <w:trHeight w:val="226"/>
        </w:trPr>
        <w:tc>
          <w:tcPr>
            <w:tcW w:w="7340" w:type="dxa"/>
            <w:vAlign w:val="bottom"/>
            <w:gridSpan w:val="2"/>
          </w:tcPr>
          <w:p>
            <w:pPr>
              <w:ind w:left="220"/>
              <w:spacing w:after="0"/>
              <w:rPr>
                <w:sz w:val="20"/>
                <w:szCs w:val="20"/>
                <w:color w:val="auto"/>
              </w:rPr>
            </w:pPr>
            <w:r>
              <w:rPr>
                <w:rFonts w:ascii="Arial" w:cs="Arial" w:eastAsia="Arial" w:hAnsi="Arial"/>
                <w:sz w:val="18"/>
                <w:szCs w:val="18"/>
                <w:color w:val="auto"/>
              </w:rPr>
              <w:t>Treasury—common stock shares, at cost: 13,325,898 in 2020 and 12,723,592 in 2019</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(768,992)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(591,036)</w:t>
            </w: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(338,082)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(323,966)</w:t>
            </w:r>
          </w:p>
        </w:tc>
        <w:tc>
          <w:tcPr>
            <w:tcW w:w="0" w:type="dxa"/>
            <w:vAlign w:val="bottom"/>
          </w:tcPr>
          <w:p>
            <w:pPr>
              <w:spacing w:after="0"/>
              <w:rPr>
                <w:sz w:val="1"/>
                <w:szCs w:val="1"/>
                <w:color w:val="auto"/>
              </w:rPr>
            </w:pPr>
          </w:p>
        </w:tc>
      </w:tr>
      <w:tr>
        <w:trPr>
          <w:trHeight w:val="219"/>
        </w:trPr>
        <w:tc>
          <w:tcPr>
            <w:tcW w:w="7340" w:type="dxa"/>
            <w:vAlign w:val="bottom"/>
            <w:gridSpan w:val="2"/>
          </w:tcPr>
          <w:p>
            <w:pPr>
              <w:ind w:left="340"/>
              <w:spacing w:after="0"/>
              <w:rPr>
                <w:sz w:val="20"/>
                <w:szCs w:val="20"/>
                <w:color w:val="auto"/>
              </w:rPr>
            </w:pPr>
            <w:r>
              <w:rPr>
                <w:rFonts w:ascii="Arial" w:cs="Arial" w:eastAsia="Arial" w:hAnsi="Arial"/>
                <w:sz w:val="18"/>
                <w:szCs w:val="18"/>
                <w:color w:val="auto"/>
              </w:rPr>
              <w:t>Total—The Hershey Company stockholders’ equity</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2,234,352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1,739,222</w:t>
            </w:r>
          </w:p>
        </w:tc>
        <w:tc>
          <w:tcPr>
            <w:tcW w:w="0" w:type="dxa"/>
            <w:vAlign w:val="bottom"/>
          </w:tcPr>
          <w:p>
            <w:pPr>
              <w:spacing w:after="0"/>
              <w:rPr>
                <w:sz w:val="1"/>
                <w:szCs w:val="1"/>
                <w:color w:val="auto"/>
              </w:rPr>
            </w:pPr>
          </w:p>
        </w:tc>
      </w:tr>
      <w:tr>
        <w:trPr>
          <w:trHeight w:val="227"/>
        </w:trPr>
        <w:tc>
          <w:tcPr>
            <w:tcW w:w="7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Noncontrolling interest in subsidiary</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19"/>
        </w:trPr>
        <w:tc>
          <w:tcPr>
            <w:tcW w:w="73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2,237,883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1,744,994</w:t>
            </w:r>
          </w:p>
        </w:tc>
        <w:tc>
          <w:tcPr>
            <w:tcW w:w="0" w:type="dxa"/>
            <w:vAlign w:val="bottom"/>
          </w:tcPr>
          <w:p>
            <w:pPr>
              <w:spacing w:after="0"/>
              <w:rPr>
                <w:sz w:val="1"/>
                <w:szCs w:val="1"/>
                <w:color w:val="auto"/>
              </w:rPr>
            </w:pPr>
          </w:p>
        </w:tc>
      </w:tr>
      <w:tr>
        <w:trPr>
          <w:trHeight w:val="246"/>
        </w:trPr>
        <w:tc>
          <w:tcPr>
            <w:tcW w:w="7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9,131,845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8,140,395</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438785</wp:posOffset>
            </wp:positionV>
            <wp:extent cx="194945" cy="169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54" w:name="page55"/>
    <w:bookmarkEnd w:id="54"/>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6"/>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60" w:type="dxa"/>
            <w:vAlign w:val="bottom"/>
          </w:tcPr>
          <w:p>
            <w:pPr>
              <w:ind w:left="380"/>
              <w:spacing w:after="0"/>
              <w:rPr>
                <w:sz w:val="20"/>
                <w:szCs w:val="20"/>
                <w:color w:val="auto"/>
              </w:rPr>
            </w:pPr>
            <w:r>
              <w:rPr>
                <w:rFonts w:ascii="Arial" w:cs="Arial" w:eastAsia="Arial" w:hAnsi="Arial"/>
                <w:sz w:val="14"/>
                <w:szCs w:val="14"/>
                <w:color w:val="auto"/>
              </w:rPr>
              <w:t>Net income including noncontrolling interest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1,275,413</w:t>
            </w:r>
          </w:p>
        </w:tc>
        <w:tc>
          <w:tcPr>
            <w:tcW w:w="12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1,146,752</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1,171,051</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60" w:type="dxa"/>
            <w:vAlign w:val="bottom"/>
          </w:tcPr>
          <w:p>
            <w:pPr>
              <w:ind w:left="6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294,907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291,544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295,144</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Stock-based compensation expense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57,584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49,286</w:t>
            </w:r>
          </w:p>
        </w:tc>
        <w:tc>
          <w:tcPr>
            <w:tcW w:w="0" w:type="dxa"/>
            <w:vAlign w:val="bottom"/>
          </w:tcPr>
          <w:p>
            <w:pPr>
              <w:spacing w:after="0"/>
              <w:rPr>
                <w:sz w:val="1"/>
                <w:szCs w:val="1"/>
                <w:color w:val="auto"/>
              </w:rPr>
            </w:pPr>
          </w:p>
        </w:tc>
      </w:tr>
      <w:tr>
        <w:trPr>
          <w:trHeight w:val="184"/>
        </w:trPr>
        <w:tc>
          <w:tcPr>
            <w:tcW w:w="6960" w:type="dxa"/>
            <w:vAlign w:val="bottom"/>
          </w:tcPr>
          <w:p>
            <w:pPr>
              <w:ind w:left="6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26,880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36,255</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620"/>
              <w:spacing w:after="0"/>
              <w:rPr>
                <w:rFonts w:ascii="Arial" w:cs="Arial" w:eastAsia="Arial" w:hAnsi="Arial"/>
                <w:sz w:val="14"/>
                <w:szCs w:val="14"/>
                <w:color w:val="auto"/>
              </w:rPr>
            </w:pPr>
            <w:r>
              <w:rPr>
                <w:rFonts w:ascii="Arial" w:cs="Arial" w:eastAsia="Arial" w:hAnsi="Arial"/>
                <w:sz w:val="14"/>
                <w:szCs w:val="14"/>
                <w:color w:val="auto"/>
              </w:rPr>
              <w:t xml:space="preserve">Impairment of long-lived and intangible assets (see </w:t>
            </w:r>
            <w:hyperlink w:anchor="page71">
              <w:r>
                <w:rPr>
                  <w:rFonts w:ascii="Arial" w:cs="Arial" w:eastAsia="Arial" w:hAnsi="Arial"/>
                  <w:sz w:val="14"/>
                  <w:szCs w:val="14"/>
                  <w:u w:val="single" w:color="auto"/>
                  <w:color w:val="0000FF"/>
                </w:rPr>
                <w:t>Note 6</w:t>
              </w:r>
            </w:hyperlink>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57,729</w:t>
            </w:r>
          </w:p>
        </w:tc>
        <w:tc>
          <w:tcPr>
            <w:tcW w:w="0" w:type="dxa"/>
            <w:vAlign w:val="bottom"/>
          </w:tcPr>
          <w:p>
            <w:pPr>
              <w:spacing w:after="0"/>
              <w:rPr>
                <w:sz w:val="1"/>
                <w:szCs w:val="1"/>
                <w:color w:val="auto"/>
              </w:rPr>
            </w:pPr>
          </w:p>
        </w:tc>
      </w:tr>
      <w:tr>
        <w:trPr>
          <w:trHeight w:val="184"/>
        </w:trPr>
        <w:tc>
          <w:tcPr>
            <w:tcW w:w="6960" w:type="dxa"/>
            <w:vAlign w:val="bottom"/>
          </w:tcPr>
          <w:p>
            <w:pPr>
              <w:ind w:left="620"/>
              <w:spacing w:after="0"/>
              <w:rPr>
                <w:sz w:val="20"/>
                <w:szCs w:val="20"/>
                <w:color w:val="auto"/>
              </w:rPr>
            </w:pPr>
            <w:r>
              <w:rPr>
                <w:rFonts w:ascii="Arial" w:cs="Arial" w:eastAsia="Arial" w:hAnsi="Arial"/>
                <w:sz w:val="14"/>
                <w:szCs w:val="14"/>
                <w:color w:val="auto"/>
              </w:rPr>
              <w:t>Write-down of equity investments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125,579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50,457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50,329</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113,470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37,278</w:t>
            </w:r>
          </w:p>
        </w:tc>
        <w:tc>
          <w:tcPr>
            <w:tcW w:w="0" w:type="dxa"/>
            <w:vAlign w:val="bottom"/>
          </w:tcPr>
          <w:p>
            <w:pPr>
              <w:spacing w:after="0"/>
              <w:rPr>
                <w:sz w:val="1"/>
                <w:szCs w:val="1"/>
                <w:color w:val="auto"/>
              </w:rPr>
            </w:pPr>
          </w:p>
        </w:tc>
      </w:tr>
      <w:tr>
        <w:trPr>
          <w:trHeight w:val="184"/>
        </w:trPr>
        <w:tc>
          <w:tcPr>
            <w:tcW w:w="6960" w:type="dxa"/>
            <w:vAlign w:val="bottom"/>
          </w:tcPr>
          <w:p>
            <w:pPr>
              <w:ind w:left="620"/>
              <w:spacing w:after="0"/>
              <w:rPr>
                <w:sz w:val="20"/>
                <w:szCs w:val="20"/>
                <w:color w:val="auto"/>
              </w:rPr>
            </w:pPr>
            <w:r>
              <w:rPr>
                <w:rFonts w:ascii="Arial" w:cs="Arial" w:eastAsia="Arial" w:hAnsi="Arial"/>
                <w:sz w:val="14"/>
                <w:szCs w:val="14"/>
                <w:color w:val="auto"/>
              </w:rPr>
              <w:t>Changes in assets and liabilities, net of business acquisitions and divestitures: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receivable—trade, net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(55,537)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8,585</w:t>
            </w:r>
          </w:p>
        </w:tc>
        <w:tc>
          <w:tcPr>
            <w:tcW w:w="0" w:type="dxa"/>
            <w:vAlign w:val="bottom"/>
          </w:tcPr>
          <w:p>
            <w:pPr>
              <w:spacing w:after="0"/>
              <w:rPr>
                <w:sz w:val="1"/>
                <w:szCs w:val="1"/>
                <w:color w:val="auto"/>
              </w:rPr>
            </w:pPr>
          </w:p>
        </w:tc>
      </w:tr>
      <w:tr>
        <w:trPr>
          <w:trHeight w:val="184"/>
        </w:trPr>
        <w:tc>
          <w:tcPr>
            <w:tcW w:w="6960" w:type="dxa"/>
            <w:vAlign w:val="bottom"/>
          </w:tcPr>
          <w:p>
            <w:pPr>
              <w:ind w:left="82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(151,918)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(21,194)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(12,746)</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(39,899)</w:t>
            </w:r>
          </w:p>
        </w:tc>
        <w:tc>
          <w:tcPr>
            <w:tcW w:w="0" w:type="dxa"/>
            <w:vAlign w:val="bottom"/>
          </w:tcPr>
          <w:p>
            <w:pPr>
              <w:spacing w:after="0"/>
              <w:rPr>
                <w:sz w:val="1"/>
                <w:szCs w:val="1"/>
                <w:color w:val="auto"/>
              </w:rPr>
            </w:pPr>
          </w:p>
        </w:tc>
      </w:tr>
      <w:tr>
        <w:trPr>
          <w:trHeight w:val="184"/>
        </w:trPr>
        <w:tc>
          <w:tcPr>
            <w:tcW w:w="6960" w:type="dxa"/>
            <w:vAlign w:val="bottom"/>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41,470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41,101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(100,252)</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Accrued income taxes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75,568</w:t>
            </w:r>
          </w:p>
        </w:tc>
        <w:tc>
          <w:tcPr>
            <w:tcW w:w="0" w:type="dxa"/>
            <w:vAlign w:val="bottom"/>
          </w:tcPr>
          <w:p>
            <w:pPr>
              <w:spacing w:after="0"/>
              <w:rPr>
                <w:sz w:val="1"/>
                <w:szCs w:val="1"/>
                <w:color w:val="auto"/>
              </w:rPr>
            </w:pPr>
          </w:p>
        </w:tc>
      </w:tr>
      <w:tr>
        <w:trPr>
          <w:trHeight w:val="184"/>
        </w:trPr>
        <w:tc>
          <w:tcPr>
            <w:tcW w:w="6960" w:type="dxa"/>
            <w:vAlign w:val="bottom"/>
          </w:tcPr>
          <w:p>
            <w:pPr>
              <w:ind w:left="820"/>
              <w:spacing w:after="0"/>
              <w:rPr>
                <w:sz w:val="20"/>
                <w:szCs w:val="20"/>
                <w:color w:val="auto"/>
              </w:rPr>
            </w:pPr>
            <w:r>
              <w:rPr>
                <w:rFonts w:ascii="Arial" w:cs="Arial" w:eastAsia="Arial" w:hAnsi="Arial"/>
                <w:sz w:val="14"/>
                <w:szCs w:val="14"/>
                <w:color w:val="auto"/>
              </w:rPr>
              <w:t>Contributions to pension and other benefit plans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(11,671)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(20,134)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(25,864)</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Other assets and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24,308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(2,471)</w:t>
            </w:r>
          </w:p>
        </w:tc>
        <w:tc>
          <w:tcPr>
            <w:tcW w:w="0" w:type="dxa"/>
            <w:vAlign w:val="bottom"/>
          </w:tcPr>
          <w:p>
            <w:pPr>
              <w:spacing w:after="0"/>
              <w:rPr>
                <w:sz w:val="1"/>
                <w:szCs w:val="1"/>
                <w:color w:val="auto"/>
              </w:rPr>
            </w:pPr>
          </w:p>
        </w:tc>
      </w:tr>
      <w:tr>
        <w:trPr>
          <w:trHeight w:val="17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1,699,657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1,763,873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1,599,993</w:t>
            </w:r>
          </w:p>
        </w:tc>
        <w:tc>
          <w:tcPr>
            <w:tcW w:w="0" w:type="dxa"/>
            <w:vAlign w:val="bottom"/>
          </w:tcPr>
          <w:p>
            <w:pPr>
              <w:spacing w:after="0"/>
              <w:rPr>
                <w:sz w:val="1"/>
                <w:szCs w:val="1"/>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960" w:type="dxa"/>
            <w:vAlign w:val="bottom"/>
          </w:tcPr>
          <w:p>
            <w:pPr>
              <w:ind w:left="380"/>
              <w:spacing w:after="0"/>
              <w:rPr>
                <w:sz w:val="20"/>
                <w:szCs w:val="20"/>
                <w:color w:val="auto"/>
              </w:rPr>
            </w:pPr>
            <w:r>
              <w:rPr>
                <w:rFonts w:ascii="Arial" w:cs="Arial" w:eastAsia="Arial" w:hAnsi="Arial"/>
                <w:sz w:val="14"/>
                <w:szCs w:val="14"/>
                <w:color w:val="auto"/>
              </w:rPr>
              <w:t>Capital additions (including software)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(441,626)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(318,192)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(328,601)</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sales of property, plant and equipment and other long-lived assets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49,759</w:t>
            </w:r>
          </w:p>
        </w:tc>
        <w:tc>
          <w:tcPr>
            <w:tcW w:w="0" w:type="dxa"/>
            <w:vAlign w:val="bottom"/>
          </w:tcPr>
          <w:p>
            <w:pPr>
              <w:spacing w:after="0"/>
              <w:rPr>
                <w:sz w:val="1"/>
                <w:szCs w:val="1"/>
                <w:color w:val="auto"/>
              </w:rPr>
            </w:pPr>
          </w:p>
        </w:tc>
      </w:tr>
      <w:tr>
        <w:trPr>
          <w:trHeight w:val="184"/>
        </w:trPr>
        <w:tc>
          <w:tcPr>
            <w:tcW w:w="6960" w:type="dxa"/>
            <w:vAlign w:val="bottom"/>
          </w:tcPr>
          <w:p>
            <w:pPr>
              <w:ind w:left="380"/>
              <w:spacing w:after="0"/>
              <w:rPr>
                <w:sz w:val="20"/>
                <w:szCs w:val="20"/>
                <w:color w:val="auto"/>
              </w:rPr>
            </w:pPr>
            <w:r>
              <w:rPr>
                <w:rFonts w:ascii="Arial" w:cs="Arial" w:eastAsia="Arial" w:hAnsi="Arial"/>
                <w:sz w:val="14"/>
                <w:szCs w:val="14"/>
                <w:color w:val="auto"/>
              </w:rPr>
              <w:t>Proceeds from sales of businesses, net of cash and cash equivalents divested</w:t>
            </w:r>
          </w:p>
        </w:tc>
        <w:tc>
          <w:tcPr>
            <w:tcW w:w="3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167,048</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(87,211)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(52,641)</w:t>
            </w:r>
          </w:p>
        </w:tc>
        <w:tc>
          <w:tcPr>
            <w:tcW w:w="0" w:type="dxa"/>
            <w:vAlign w:val="bottom"/>
          </w:tcPr>
          <w:p>
            <w:pPr>
              <w:spacing w:after="0"/>
              <w:rPr>
                <w:sz w:val="1"/>
                <w:szCs w:val="1"/>
                <w:color w:val="auto"/>
              </w:rPr>
            </w:pPr>
          </w:p>
        </w:tc>
      </w:tr>
      <w:tr>
        <w:trPr>
          <w:trHeight w:val="184"/>
        </w:trPr>
        <w:tc>
          <w:tcPr>
            <w:tcW w:w="6960" w:type="dxa"/>
            <w:vAlign w:val="bottom"/>
          </w:tcPr>
          <w:p>
            <w:pPr>
              <w:ind w:left="380"/>
              <w:spacing w:after="0"/>
              <w:rPr>
                <w:sz w:val="20"/>
                <w:szCs w:val="20"/>
                <w:color w:val="auto"/>
              </w:rPr>
            </w:pPr>
            <w:r>
              <w:rPr>
                <w:rFonts w:ascii="Arial" w:cs="Arial" w:eastAsia="Arial" w:hAnsi="Arial"/>
                <w:sz w:val="14"/>
                <w:szCs w:val="14"/>
                <w:color w:val="auto"/>
              </w:rPr>
              <w:t>Business acquisitions, net of cash and cash equivalents acquired</w:t>
            </w:r>
          </w:p>
        </w:tc>
        <w:tc>
          <w:tcPr>
            <w:tcW w:w="3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(402,160)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(1,338,459)</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investing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(531,280)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(780,480)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(1,502,894)</w:t>
            </w:r>
          </w:p>
        </w:tc>
        <w:tc>
          <w:tcPr>
            <w:tcW w:w="0" w:type="dxa"/>
            <w:vAlign w:val="bottom"/>
          </w:tcPr>
          <w:p>
            <w:pPr>
              <w:spacing w:after="0"/>
              <w:rPr>
                <w:sz w:val="1"/>
                <w:szCs w:val="1"/>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960" w:type="dxa"/>
            <w:vAlign w:val="bottom"/>
          </w:tcPr>
          <w:p>
            <w:pPr>
              <w:ind w:left="380"/>
              <w:spacing w:after="0"/>
              <w:rPr>
                <w:sz w:val="20"/>
                <w:szCs w:val="20"/>
                <w:color w:val="auto"/>
              </w:rPr>
            </w:pPr>
            <w:r>
              <w:rPr>
                <w:rFonts w:ascii="Arial" w:cs="Arial" w:eastAsia="Arial" w:hAnsi="Arial"/>
                <w:sz w:val="14"/>
                <w:szCs w:val="14"/>
                <w:color w:val="auto"/>
              </w:rPr>
              <w:t>Net increase (decrease) in short-term debt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41,759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(1,168,205)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645,805</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borrowings, net of debt issuance costs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989,876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989,618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1,199,845</w:t>
            </w:r>
          </w:p>
        </w:tc>
        <w:tc>
          <w:tcPr>
            <w:tcW w:w="0" w:type="dxa"/>
            <w:vAlign w:val="bottom"/>
          </w:tcPr>
          <w:p>
            <w:pPr>
              <w:spacing w:after="0"/>
              <w:rPr>
                <w:sz w:val="1"/>
                <w:szCs w:val="1"/>
                <w:color w:val="auto"/>
              </w:rPr>
            </w:pPr>
          </w:p>
        </w:tc>
      </w:tr>
      <w:tr>
        <w:trPr>
          <w:trHeight w:val="184"/>
        </w:trPr>
        <w:tc>
          <w:tcPr>
            <w:tcW w:w="6960" w:type="dxa"/>
            <w:vAlign w:val="bottom"/>
          </w:tcPr>
          <w:p>
            <w:pPr>
              <w:ind w:left="380"/>
              <w:spacing w:after="0"/>
              <w:rPr>
                <w:sz w:val="20"/>
                <w:szCs w:val="20"/>
                <w:color w:val="auto"/>
              </w:rPr>
            </w:pPr>
            <w:r>
              <w:rPr>
                <w:rFonts w:ascii="Arial" w:cs="Arial" w:eastAsia="Arial" w:hAnsi="Arial"/>
                <w:sz w:val="14"/>
                <w:szCs w:val="14"/>
                <w:color w:val="auto"/>
              </w:rPr>
              <w:t>Repayment of long-term debt and finance leases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(704,467)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(910,844)</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tax receivable obligation</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(72,000)</w:t>
            </w:r>
          </w:p>
        </w:tc>
        <w:tc>
          <w:tcPr>
            <w:tcW w:w="0" w:type="dxa"/>
            <w:vAlign w:val="bottom"/>
          </w:tcPr>
          <w:p>
            <w:pPr>
              <w:spacing w:after="0"/>
              <w:rPr>
                <w:sz w:val="1"/>
                <w:szCs w:val="1"/>
                <w:color w:val="auto"/>
              </w:rPr>
            </w:pPr>
          </w:p>
        </w:tc>
      </w:tr>
      <w:tr>
        <w:trPr>
          <w:trHeight w:val="184"/>
        </w:trPr>
        <w:tc>
          <w:tcPr>
            <w:tcW w:w="6960" w:type="dxa"/>
            <w:vAlign w:val="bottom"/>
          </w:tcPr>
          <w:p>
            <w:pPr>
              <w:ind w:left="380"/>
              <w:spacing w:after="0"/>
              <w:rPr>
                <w:sz w:val="20"/>
                <w:szCs w:val="20"/>
                <w:color w:val="auto"/>
              </w:rPr>
            </w:pPr>
            <w:r>
              <w:rPr>
                <w:rFonts w:ascii="Arial" w:cs="Arial" w:eastAsia="Arial" w:hAnsi="Arial"/>
                <w:sz w:val="14"/>
                <w:szCs w:val="14"/>
                <w:color w:val="auto"/>
              </w:rPr>
              <w:t>Cash dividends paid</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(640,732)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(610,312)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(562,521)</w:t>
            </w:r>
          </w:p>
        </w:tc>
        <w:tc>
          <w:tcPr>
            <w:tcW w:w="0" w:type="dxa"/>
            <w:vAlign w:val="bottom"/>
          </w:tcPr>
          <w:p>
            <w:pPr>
              <w:spacing w:after="0"/>
              <w:rPr>
                <w:sz w:val="1"/>
                <w:szCs w:val="1"/>
                <w:color w:val="auto"/>
              </w:rPr>
            </w:pPr>
          </w:p>
        </w:tc>
      </w:tr>
      <w:tr>
        <w:trPr>
          <w:trHeight w:val="190"/>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(211,196)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(527,211)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(247,500)</w:t>
            </w:r>
          </w:p>
        </w:tc>
        <w:tc>
          <w:tcPr>
            <w:tcW w:w="0" w:type="dxa"/>
            <w:vAlign w:val="bottom"/>
          </w:tcPr>
          <w:p>
            <w:pPr>
              <w:spacing w:after="0"/>
              <w:rPr>
                <w:sz w:val="1"/>
                <w:szCs w:val="1"/>
                <w:color w:val="auto"/>
              </w:rPr>
            </w:pPr>
          </w:p>
        </w:tc>
      </w:tr>
      <w:tr>
        <w:trPr>
          <w:trHeight w:val="184"/>
        </w:trPr>
        <w:tc>
          <w:tcPr>
            <w:tcW w:w="69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Exercise of stock options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25,532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240,806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63,323</w:t>
            </w: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(499,228)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(1,081,455)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116,108</w:t>
            </w:r>
          </w:p>
        </w:tc>
        <w:tc>
          <w:tcPr>
            <w:tcW w:w="0" w:type="dxa"/>
            <w:vAlign w:val="bottom"/>
          </w:tcPr>
          <w:p>
            <w:pPr>
              <w:spacing w:after="0"/>
              <w:rPr>
                <w:sz w:val="1"/>
                <w:szCs w:val="1"/>
                <w:color w:val="auto"/>
              </w:rPr>
            </w:pPr>
          </w:p>
        </w:tc>
      </w:tr>
      <w:tr>
        <w:trPr>
          <w:trHeight w:val="17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(5,388)</w:t>
            </w: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(decrease) in cash and cash equivalents, including cash classified as held for sale</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662,159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207,819</w:t>
            </w:r>
          </w:p>
        </w:tc>
        <w:tc>
          <w:tcPr>
            <w:tcW w:w="0" w:type="dxa"/>
            <w:vAlign w:val="bottom"/>
          </w:tcPr>
          <w:p>
            <w:pPr>
              <w:spacing w:after="0"/>
              <w:rPr>
                <w:sz w:val="1"/>
                <w:szCs w:val="1"/>
                <w:color w:val="auto"/>
              </w:rPr>
            </w:pPr>
          </w:p>
        </w:tc>
      </w:tr>
      <w:tr>
        <w:trPr>
          <w:trHeight w:val="184"/>
        </w:trPr>
        <w:tc>
          <w:tcPr>
            <w:tcW w:w="6960" w:type="dxa"/>
            <w:vAlign w:val="bottom"/>
          </w:tcPr>
          <w:p>
            <w:pPr>
              <w:ind w:left="20"/>
              <w:spacing w:after="0"/>
              <w:rPr>
                <w:rFonts w:ascii="Arial" w:cs="Arial" w:eastAsia="Arial" w:hAnsi="Arial"/>
                <w:sz w:val="14"/>
                <w:szCs w:val="14"/>
                <w:color w:val="auto"/>
              </w:rPr>
            </w:pPr>
            <w:r>
              <w:rPr>
                <w:rFonts w:ascii="Arial" w:cs="Arial" w:eastAsia="Arial" w:hAnsi="Arial"/>
                <w:sz w:val="14"/>
                <w:szCs w:val="14"/>
                <w:color w:val="auto"/>
              </w:rPr>
              <w:t xml:space="preserve">Less: Increase in cash and cash equivalents classified as held for sale (see </w:t>
            </w:r>
            <w:hyperlink w:anchor="page76">
              <w:r>
                <w:rPr>
                  <w:rFonts w:ascii="Arial" w:cs="Arial" w:eastAsia="Arial" w:hAnsi="Arial"/>
                  <w:sz w:val="14"/>
                  <w:szCs w:val="14"/>
                  <w:u w:val="single" w:color="auto"/>
                  <w:color w:val="0000FF"/>
                </w:rPr>
                <w:t>Note 8</w:t>
              </w:r>
            </w:hyperlink>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(11,434)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96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Borders>
              <w:top w:val="single" w:sz="8" w:color="auto"/>
            </w:tcBorders>
            <w:shd w:val="clear" w:color="auto" w:fill="BFE4FF"/>
          </w:tcPr>
          <w:p>
            <w:pPr>
              <w:spacing w:after="0"/>
              <w:rPr>
                <w:sz w:val="15"/>
                <w:szCs w:val="15"/>
                <w:color w:val="auto"/>
              </w:rPr>
            </w:pPr>
          </w:p>
        </w:tc>
        <w:tc>
          <w:tcPr>
            <w:tcW w:w="10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650,725</w:t>
            </w:r>
          </w:p>
        </w:tc>
        <w:tc>
          <w:tcPr>
            <w:tcW w:w="120" w:type="dxa"/>
            <w:vAlign w:val="bottom"/>
            <w:tcBorders>
              <w:top w:val="single" w:sz="8" w:color="BFE4FF"/>
            </w:tcBorders>
            <w:shd w:val="clear" w:color="auto" w:fill="BFE4FF"/>
          </w:tcPr>
          <w:p>
            <w:pPr>
              <w:spacing w:after="0"/>
              <w:rPr>
                <w:sz w:val="15"/>
                <w:szCs w:val="15"/>
                <w:color w:val="auto"/>
              </w:rPr>
            </w:pPr>
          </w:p>
        </w:tc>
        <w:tc>
          <w:tcPr>
            <w:tcW w:w="300" w:type="dxa"/>
            <w:vAlign w:val="bottom"/>
            <w:tcBorders>
              <w:top w:val="single" w:sz="8" w:color="auto"/>
            </w:tcBorders>
            <w:shd w:val="clear" w:color="auto" w:fill="BFE4FF"/>
          </w:tcPr>
          <w:p>
            <w:pPr>
              <w:spacing w:after="0"/>
              <w:rPr>
                <w:sz w:val="15"/>
                <w:szCs w:val="15"/>
                <w:color w:val="auto"/>
              </w:rPr>
            </w:pPr>
          </w:p>
        </w:tc>
        <w:tc>
          <w:tcPr>
            <w:tcW w:w="10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(94,736)</w:t>
            </w:r>
          </w:p>
        </w:tc>
        <w:tc>
          <w:tcPr>
            <w:tcW w:w="100" w:type="dxa"/>
            <w:vAlign w:val="bottom"/>
            <w:tcBorders>
              <w:top w:val="single" w:sz="8" w:color="BFE4FF"/>
            </w:tcBorders>
            <w:shd w:val="clear" w:color="auto" w:fill="BFE4FF"/>
          </w:tcPr>
          <w:p>
            <w:pPr>
              <w:spacing w:after="0"/>
              <w:rPr>
                <w:sz w:val="15"/>
                <w:szCs w:val="15"/>
                <w:color w:val="auto"/>
              </w:rPr>
            </w:pPr>
          </w:p>
        </w:tc>
        <w:tc>
          <w:tcPr>
            <w:tcW w:w="320" w:type="dxa"/>
            <w:vAlign w:val="bottom"/>
            <w:tcBorders>
              <w:top w:val="single" w:sz="8" w:color="auto"/>
            </w:tcBorders>
            <w:shd w:val="clear" w:color="auto" w:fill="BFE4FF"/>
          </w:tcPr>
          <w:p>
            <w:pPr>
              <w:spacing w:after="0"/>
              <w:rPr>
                <w:sz w:val="15"/>
                <w:szCs w:val="15"/>
                <w:color w:val="auto"/>
              </w:rPr>
            </w:pPr>
          </w:p>
        </w:tc>
        <w:tc>
          <w:tcPr>
            <w:tcW w:w="10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207,819</w:t>
            </w:r>
          </w:p>
        </w:tc>
        <w:tc>
          <w:tcPr>
            <w:tcW w:w="0" w:type="dxa"/>
            <w:vAlign w:val="bottom"/>
          </w:tcPr>
          <w:p>
            <w:pPr>
              <w:spacing w:after="0"/>
              <w:rPr>
                <w:sz w:val="1"/>
                <w:szCs w:val="1"/>
                <w:color w:val="auto"/>
              </w:rPr>
            </w:pPr>
          </w:p>
        </w:tc>
      </w:tr>
      <w:tr>
        <w:trPr>
          <w:trHeight w:val="184"/>
        </w:trPr>
        <w:tc>
          <w:tcPr>
            <w:tcW w:w="6960" w:type="dxa"/>
            <w:vAlign w:val="bottom"/>
            <w:tcBorders>
              <w:bottom w:val="single" w:sz="8" w:color="BFE4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493,262</w:t>
            </w:r>
          </w:p>
        </w:tc>
        <w:tc>
          <w:tcPr>
            <w:tcW w:w="120" w:type="dxa"/>
            <w:vAlign w:val="bottom"/>
            <w:tcBorders>
              <w:bottom w:val="single" w:sz="8" w:color="BFE4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587,998</w:t>
            </w:r>
          </w:p>
        </w:tc>
        <w:tc>
          <w:tcPr>
            <w:tcW w:w="10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380,179</w:t>
            </w:r>
          </w:p>
        </w:tc>
        <w:tc>
          <w:tcPr>
            <w:tcW w:w="0" w:type="dxa"/>
            <w:vAlign w:val="bottom"/>
          </w:tcPr>
          <w:p>
            <w:pPr>
              <w:spacing w:after="0"/>
              <w:rPr>
                <w:sz w:val="1"/>
                <w:szCs w:val="1"/>
                <w:color w:val="auto"/>
              </w:rPr>
            </w:pPr>
          </w:p>
        </w:tc>
      </w:tr>
      <w:tr>
        <w:trPr>
          <w:trHeight w:val="208"/>
        </w:trPr>
        <w:tc>
          <w:tcPr>
            <w:tcW w:w="6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00" w:type="dxa"/>
            <w:vAlign w:val="bottom"/>
            <w:tcBorders>
              <w:bottom w:val="single" w:sz="8" w:color="auto"/>
            </w:tcBorders>
            <w:shd w:val="clear" w:color="auto" w:fill="BFE4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1,143,987</w:t>
            </w:r>
          </w:p>
        </w:tc>
        <w:tc>
          <w:tcPr>
            <w:tcW w:w="120" w:type="dxa"/>
            <w:vAlign w:val="bottom"/>
            <w:tcBorders>
              <w:bottom w:val="single" w:sz="8" w:color="BFE4FF"/>
            </w:tcBorders>
            <w:shd w:val="clear" w:color="auto" w:fill="BFE4FF"/>
          </w:tcPr>
          <w:p>
            <w:pPr>
              <w:spacing w:after="0"/>
              <w:rPr>
                <w:sz w:val="17"/>
                <w:szCs w:val="17"/>
                <w:color w:val="auto"/>
              </w:rPr>
            </w:pPr>
          </w:p>
        </w:tc>
        <w:tc>
          <w:tcPr>
            <w:tcW w:w="300" w:type="dxa"/>
            <w:vAlign w:val="bottom"/>
            <w:tcBorders>
              <w:bottom w:val="single" w:sz="8" w:color="auto"/>
            </w:tcBorders>
            <w:shd w:val="clear" w:color="auto" w:fill="BFE4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493,262</w:t>
            </w:r>
          </w:p>
        </w:tc>
        <w:tc>
          <w:tcPr>
            <w:tcW w:w="100" w:type="dxa"/>
            <w:vAlign w:val="bottom"/>
            <w:tcBorders>
              <w:bottom w:val="single" w:sz="8" w:color="BFE4FF"/>
            </w:tcBorders>
            <w:shd w:val="clear" w:color="auto" w:fill="BFE4FF"/>
          </w:tcPr>
          <w:p>
            <w:pPr>
              <w:spacing w:after="0"/>
              <w:rPr>
                <w:sz w:val="17"/>
                <w:szCs w:val="17"/>
                <w:color w:val="auto"/>
              </w:rPr>
            </w:pPr>
          </w:p>
        </w:tc>
        <w:tc>
          <w:tcPr>
            <w:tcW w:w="320" w:type="dxa"/>
            <w:vAlign w:val="bottom"/>
            <w:tcBorders>
              <w:bottom w:val="single" w:sz="8" w:color="auto"/>
            </w:tcBorders>
            <w:shd w:val="clear" w:color="auto" w:fill="BFE4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587,998</w:t>
            </w:r>
          </w:p>
        </w:tc>
        <w:tc>
          <w:tcPr>
            <w:tcW w:w="0" w:type="dxa"/>
            <w:vAlign w:val="bottom"/>
          </w:tcPr>
          <w:p>
            <w:pPr>
              <w:spacing w:after="0"/>
              <w:rPr>
                <w:sz w:val="1"/>
                <w:szCs w:val="1"/>
                <w:color w:val="auto"/>
              </w:rPr>
            </w:pPr>
          </w:p>
        </w:tc>
      </w:tr>
      <w:tr>
        <w:trPr>
          <w:trHeight w:val="20"/>
        </w:trPr>
        <w:tc>
          <w:tcPr>
            <w:tcW w:w="696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w:t>
            </w: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9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960" w:type="dxa"/>
            <w:vAlign w:val="bottom"/>
            <w:shd w:val="clear" w:color="auto" w:fill="BFE4FF"/>
          </w:tcPr>
          <w:p>
            <w:pPr>
              <w:ind w:left="20"/>
              <w:spacing w:after="0"/>
              <w:rPr>
                <w:sz w:val="20"/>
                <w:szCs w:val="20"/>
                <w:color w:val="auto"/>
              </w:rPr>
            </w:pPr>
            <w:r>
              <w:rPr>
                <w:rFonts w:ascii="Arial" w:cs="Arial" w:eastAsia="Arial" w:hAnsi="Arial"/>
                <w:sz w:val="14"/>
                <w:szCs w:val="14"/>
                <w:color w:val="auto"/>
              </w:rPr>
              <w:t>Interest paid</w:t>
            </w:r>
          </w:p>
        </w:tc>
        <w:tc>
          <w:tcPr>
            <w:tcW w:w="300" w:type="dxa"/>
            <w:vAlign w:val="bottom"/>
            <w:shd w:val="clear" w:color="auto" w:fill="BFE4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150,930</w:t>
            </w:r>
          </w:p>
        </w:tc>
        <w:tc>
          <w:tcPr>
            <w:tcW w:w="120" w:type="dxa"/>
            <w:vAlign w:val="bottom"/>
            <w:shd w:val="clear" w:color="auto" w:fill="BFE4FF"/>
          </w:tcPr>
          <w:p>
            <w:pPr>
              <w:spacing w:after="0"/>
              <w:rPr>
                <w:sz w:val="16"/>
                <w:szCs w:val="16"/>
                <w:color w:val="auto"/>
              </w:rPr>
            </w:pPr>
          </w:p>
        </w:tc>
        <w:tc>
          <w:tcPr>
            <w:tcW w:w="300" w:type="dxa"/>
            <w:vAlign w:val="bottom"/>
            <w:shd w:val="clear" w:color="auto" w:fill="BFE4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139,504</w:t>
            </w:r>
          </w:p>
        </w:tc>
        <w:tc>
          <w:tcPr>
            <w:tcW w:w="100" w:type="dxa"/>
            <w:vAlign w:val="bottom"/>
            <w:shd w:val="clear" w:color="auto" w:fill="BFE4FF"/>
          </w:tcPr>
          <w:p>
            <w:pPr>
              <w:spacing w:after="0"/>
              <w:rPr>
                <w:sz w:val="16"/>
                <w:szCs w:val="16"/>
                <w:color w:val="auto"/>
              </w:rPr>
            </w:pPr>
          </w:p>
        </w:tc>
        <w:tc>
          <w:tcPr>
            <w:tcW w:w="320" w:type="dxa"/>
            <w:vAlign w:val="bottom"/>
            <w:shd w:val="clear" w:color="auto" w:fill="BFE4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132,486</w:t>
            </w:r>
          </w:p>
        </w:tc>
        <w:tc>
          <w:tcPr>
            <w:tcW w:w="0" w:type="dxa"/>
            <w:vAlign w:val="bottom"/>
          </w:tcPr>
          <w:p>
            <w:pPr>
              <w:spacing w:after="0"/>
              <w:rPr>
                <w:sz w:val="1"/>
                <w:szCs w:val="1"/>
                <w:color w:val="auto"/>
              </w:rPr>
            </w:pPr>
          </w:p>
        </w:tc>
      </w:tr>
      <w:tr>
        <w:trPr>
          <w:trHeight w:val="181"/>
        </w:trPr>
        <w:tc>
          <w:tcPr>
            <w:tcW w:w="696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215,491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238,067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118,842</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447040</wp:posOffset>
            </wp:positionV>
            <wp:extent cx="194945" cy="169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THE HERSHEY COMPANY</w:t>
      </w:r>
    </w:p>
    <w:p>
      <w:pPr>
        <w:jc w:val="center"/>
        <w:ind w:right="-119"/>
        <w:spacing w:after="0" w:line="200" w:lineRule="auto"/>
        <w:rPr>
          <w:sz w:val="20"/>
          <w:szCs w:val="20"/>
          <w:color w:val="auto"/>
        </w:rPr>
      </w:pPr>
      <w:r>
        <w:rPr>
          <w:rFonts w:ascii="Arial" w:cs="Arial" w:eastAsia="Arial" w:hAnsi="Arial"/>
          <w:sz w:val="18"/>
          <w:szCs w:val="18"/>
          <w:b w:val="1"/>
          <w:bCs w:val="1"/>
          <w:color w:val="auto"/>
        </w:rPr>
        <w:t>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Class B</w:t>
            </w: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4"/>
              </w:rPr>
              <w:t>Noncontrolling</w:t>
            </w:r>
          </w:p>
        </w:tc>
        <w:tc>
          <w:tcPr>
            <w:tcW w:w="180" w:type="dxa"/>
            <w:vAlign w:val="bottom"/>
          </w:tcPr>
          <w:p>
            <w:pPr>
              <w:spacing w:after="0"/>
              <w:rPr>
                <w:sz w:val="14"/>
                <w:szCs w:val="14"/>
                <w:color w:val="auto"/>
              </w:rPr>
            </w:pPr>
          </w:p>
        </w:tc>
        <w:tc>
          <w:tcPr>
            <w:tcW w:w="72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720" w:type="dxa"/>
            <w:vAlign w:val="bottom"/>
            <w:gridSpan w:val="3"/>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3"/>
          </w:tcPr>
          <w:p>
            <w:pPr>
              <w:jc w:val="right"/>
              <w:ind w:right="140"/>
              <w:spacing w:after="0" w:line="133"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1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Interests in</w:t>
            </w:r>
          </w:p>
        </w:tc>
        <w:tc>
          <w:tcPr>
            <w:tcW w:w="90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720" w:type="dxa"/>
            <w:vAlign w:val="bottom"/>
          </w:tcPr>
          <w:p>
            <w:pPr>
              <w:jc w:val="right"/>
              <w:ind w:right="16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1"/>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2018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$ 299,281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60,620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924,978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9"/>
              </w:rPr>
              <w:t>6,371,082</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(6,426,877)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(313,746)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931,565</w:t>
            </w: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w w:val="99"/>
              </w:rPr>
              <w:t>1,177,562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1,171,051</w:t>
            </w: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Common Stock, $2.756 per share</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(412,491)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(412,491)</w:t>
            </w:r>
          </w:p>
        </w:tc>
        <w:tc>
          <w:tcPr>
            <w:tcW w:w="0" w:type="dxa"/>
            <w:vAlign w:val="bottom"/>
          </w:tcPr>
          <w:p>
            <w:pPr>
              <w:spacing w:after="0"/>
              <w:rPr>
                <w:sz w:val="1"/>
                <w:szCs w:val="1"/>
                <w:color w:val="auto"/>
              </w:rPr>
            </w:pPr>
          </w:p>
        </w:tc>
      </w:tr>
      <w:tr>
        <w:trPr>
          <w:trHeight w:val="184"/>
        </w:trPr>
        <w:tc>
          <w:tcPr>
            <w:tcW w:w="3040" w:type="dxa"/>
            <w:vAlign w:val="bottom"/>
            <w:gridSpan w:val="2"/>
          </w:tcPr>
          <w:p>
            <w:pPr>
              <w:ind w:left="220"/>
              <w:spacing w:after="0"/>
              <w:rPr>
                <w:sz w:val="20"/>
                <w:szCs w:val="20"/>
                <w:color w:val="auto"/>
              </w:rPr>
            </w:pPr>
            <w:r>
              <w:rPr>
                <w:rFonts w:ascii="Arial" w:cs="Arial" w:eastAsia="Arial" w:hAnsi="Arial"/>
                <w:sz w:val="14"/>
                <w:szCs w:val="14"/>
                <w:color w:val="auto"/>
              </w:rPr>
              <w:t>Class B Common Stock, $2.504 per share</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(151,789)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(151,789)</w:t>
            </w:r>
          </w:p>
        </w:tc>
        <w:tc>
          <w:tcPr>
            <w:tcW w:w="0" w:type="dxa"/>
            <w:vAlign w:val="bottom"/>
          </w:tcPr>
          <w:p>
            <w:pPr>
              <w:spacing w:after="0"/>
              <w:rPr>
                <w:sz w:val="1"/>
                <w:szCs w:val="1"/>
                <w:color w:val="auto"/>
              </w:rPr>
            </w:pPr>
          </w:p>
        </w:tc>
      </w:tr>
      <w:tr>
        <w:trPr>
          <w:trHeight w:val="136"/>
        </w:trPr>
        <w:tc>
          <w:tcPr>
            <w:tcW w:w="3040" w:type="dxa"/>
            <w:vAlign w:val="bottom"/>
            <w:gridSpan w:val="2"/>
            <w:shd w:val="clear" w:color="auto" w:fill="BFE4FF"/>
          </w:tcPr>
          <w:p>
            <w:pPr>
              <w:ind w:left="20"/>
              <w:spacing w:after="0" w:line="137" w:lineRule="exact"/>
              <w:rPr>
                <w:sz w:val="20"/>
                <w:szCs w:val="20"/>
                <w:color w:val="auto"/>
              </w:rPr>
            </w:pPr>
            <w:r>
              <w:rPr>
                <w:rFonts w:ascii="Arial" w:cs="Arial" w:eastAsia="Arial" w:hAnsi="Arial"/>
                <w:sz w:val="14"/>
                <w:szCs w:val="14"/>
                <w:color w:val="auto"/>
              </w:rPr>
              <w:t>Conversion  of  Class  B  Common  Stock  into</w:t>
            </w:r>
          </w:p>
        </w:tc>
        <w:tc>
          <w:tcPr>
            <w:tcW w:w="120" w:type="dxa"/>
            <w:vAlign w:val="bottom"/>
            <w:shd w:val="clear" w:color="auto" w:fill="BFE4FF"/>
          </w:tcPr>
          <w:p>
            <w:pPr>
              <w:spacing w:after="0"/>
              <w:rPr>
                <w:sz w:val="11"/>
                <w:szCs w:val="11"/>
                <w:color w:val="auto"/>
              </w:rPr>
            </w:pPr>
          </w:p>
        </w:tc>
        <w:tc>
          <w:tcPr>
            <w:tcW w:w="5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66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52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BFE4FF"/>
          </w:tcPr>
          <w:p>
            <w:pPr>
              <w:spacing w:after="0"/>
              <w:rPr>
                <w:sz w:val="11"/>
                <w:szCs w:val="11"/>
                <w:color w:val="auto"/>
              </w:rPr>
            </w:pPr>
          </w:p>
        </w:tc>
        <w:tc>
          <w:tcPr>
            <w:tcW w:w="140" w:type="dxa"/>
            <w:vAlign w:val="bottom"/>
            <w:shd w:val="clear" w:color="auto" w:fill="BFE4FF"/>
          </w:tcPr>
          <w:p>
            <w:pPr>
              <w:spacing w:after="0"/>
              <w:rPr>
                <w:sz w:val="11"/>
                <w:szCs w:val="11"/>
                <w:color w:val="auto"/>
              </w:rPr>
            </w:pPr>
          </w:p>
        </w:tc>
        <w:tc>
          <w:tcPr>
            <w:tcW w:w="6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20" w:type="dxa"/>
            <w:vAlign w:val="bottom"/>
            <w:shd w:val="clear" w:color="auto" w:fill="BFE4FF"/>
          </w:tcPr>
          <w:p>
            <w:pPr>
              <w:spacing w:after="0"/>
              <w:rPr>
                <w:sz w:val="11"/>
                <w:szCs w:val="11"/>
                <w:color w:val="auto"/>
              </w:rPr>
            </w:pPr>
          </w:p>
        </w:tc>
        <w:tc>
          <w:tcPr>
            <w:tcW w:w="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2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10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8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80" w:type="dxa"/>
            <w:vAlign w:val="bottom"/>
            <w:shd w:val="clear" w:color="auto" w:fill="BFE4FF"/>
          </w:tcPr>
          <w:p>
            <w:pPr>
              <w:spacing w:after="0"/>
              <w:rPr>
                <w:sz w:val="11"/>
                <w:szCs w:val="11"/>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04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Common Stock</w:t>
            </w:r>
          </w:p>
        </w:tc>
        <w:tc>
          <w:tcPr>
            <w:tcW w:w="120" w:type="dxa"/>
            <w:vAlign w:val="bottom"/>
            <w:shd w:val="clear" w:color="auto" w:fill="BFE4FF"/>
          </w:tcPr>
          <w:p>
            <w:pPr>
              <w:spacing w:after="0"/>
              <w:rPr>
                <w:sz w:val="16"/>
                <w:szCs w:val="16"/>
                <w:color w:val="auto"/>
              </w:rPr>
            </w:pPr>
          </w:p>
        </w:tc>
        <w:tc>
          <w:tcPr>
            <w:tcW w:w="5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66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52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68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0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720" w:type="dxa"/>
            <w:vAlign w:val="bottom"/>
            <w:vMerge w:val="continue"/>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49,656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49,656</w:t>
            </w:r>
          </w:p>
        </w:tc>
        <w:tc>
          <w:tcPr>
            <w:tcW w:w="0" w:type="dxa"/>
            <w:vAlign w:val="bottom"/>
          </w:tcPr>
          <w:p>
            <w:pPr>
              <w:spacing w:after="0"/>
              <w:rPr>
                <w:sz w:val="1"/>
                <w:szCs w:val="1"/>
                <w:color w:val="auto"/>
              </w:rPr>
            </w:pPr>
          </w:p>
        </w:tc>
      </w:tr>
      <w:tr>
        <w:trPr>
          <w:trHeight w:val="136"/>
        </w:trPr>
        <w:tc>
          <w:tcPr>
            <w:tcW w:w="3040" w:type="dxa"/>
            <w:vAlign w:val="bottom"/>
            <w:gridSpan w:val="2"/>
            <w:shd w:val="clear" w:color="auto" w:fill="BFE4FF"/>
          </w:tcPr>
          <w:p>
            <w:pPr>
              <w:ind w:left="20"/>
              <w:spacing w:after="0" w:line="137" w:lineRule="exact"/>
              <w:rPr>
                <w:sz w:val="20"/>
                <w:szCs w:val="20"/>
                <w:color w:val="auto"/>
              </w:rPr>
            </w:pPr>
            <w:r>
              <w:rPr>
                <w:rFonts w:ascii="Arial" w:cs="Arial" w:eastAsia="Arial" w:hAnsi="Arial"/>
                <w:sz w:val="14"/>
                <w:szCs w:val="14"/>
                <w:color w:val="auto"/>
              </w:rPr>
              <w:t>Exercise of stock options and incentive-based</w:t>
            </w:r>
          </w:p>
        </w:tc>
        <w:tc>
          <w:tcPr>
            <w:tcW w:w="120" w:type="dxa"/>
            <w:vAlign w:val="bottom"/>
            <w:shd w:val="clear" w:color="auto" w:fill="BFE4FF"/>
          </w:tcPr>
          <w:p>
            <w:pPr>
              <w:spacing w:after="0"/>
              <w:rPr>
                <w:sz w:val="11"/>
                <w:szCs w:val="11"/>
                <w:color w:val="auto"/>
              </w:rPr>
            </w:pPr>
          </w:p>
        </w:tc>
        <w:tc>
          <w:tcPr>
            <w:tcW w:w="5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6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52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40" w:type="dxa"/>
            <w:vAlign w:val="bottom"/>
            <w:shd w:val="clear" w:color="auto" w:fill="BFE4FF"/>
          </w:tcPr>
          <w:p>
            <w:pPr>
              <w:spacing w:after="0"/>
              <w:rPr>
                <w:sz w:val="11"/>
                <w:szCs w:val="11"/>
                <w:color w:val="auto"/>
              </w:rPr>
            </w:pPr>
          </w:p>
        </w:tc>
        <w:tc>
          <w:tcPr>
            <w:tcW w:w="6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7,571</w:t>
            </w:r>
          </w:p>
        </w:tc>
        <w:tc>
          <w:tcPr>
            <w:tcW w:w="8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20" w:type="dxa"/>
            <w:vAlign w:val="bottom"/>
            <w:shd w:val="clear" w:color="auto" w:fill="BFE4FF"/>
          </w:tcPr>
          <w:p>
            <w:pPr>
              <w:spacing w:after="0"/>
              <w:rPr>
                <w:sz w:val="11"/>
                <w:szCs w:val="11"/>
                <w:color w:val="auto"/>
              </w:rPr>
            </w:pPr>
          </w:p>
        </w:tc>
        <w:tc>
          <w:tcPr>
            <w:tcW w:w="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55,752</w:t>
            </w: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10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8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80" w:type="dxa"/>
            <w:vAlign w:val="bottom"/>
            <w:shd w:val="clear" w:color="auto" w:fill="BFE4FF"/>
          </w:tcPr>
          <w:p>
            <w:pPr>
              <w:spacing w:after="0"/>
              <w:rPr>
                <w:sz w:val="11"/>
                <w:szCs w:val="11"/>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63,323</w:t>
            </w:r>
          </w:p>
        </w:tc>
        <w:tc>
          <w:tcPr>
            <w:tcW w:w="0" w:type="dxa"/>
            <w:vAlign w:val="bottom"/>
          </w:tcPr>
          <w:p>
            <w:pPr>
              <w:spacing w:after="0"/>
              <w:rPr>
                <w:sz w:val="1"/>
                <w:szCs w:val="1"/>
                <w:color w:val="auto"/>
              </w:rPr>
            </w:pPr>
          </w:p>
        </w:tc>
      </w:tr>
      <w:tr>
        <w:trPr>
          <w:trHeight w:val="187"/>
        </w:trPr>
        <w:tc>
          <w:tcPr>
            <w:tcW w:w="304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BFE4FF"/>
          </w:tcPr>
          <w:p>
            <w:pPr>
              <w:spacing w:after="0"/>
              <w:rPr>
                <w:sz w:val="16"/>
                <w:szCs w:val="16"/>
                <w:color w:val="auto"/>
              </w:rPr>
            </w:pPr>
          </w:p>
        </w:tc>
        <w:tc>
          <w:tcPr>
            <w:tcW w:w="5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5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68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0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720" w:type="dxa"/>
            <w:vAlign w:val="bottom"/>
            <w:vMerge w:val="continue"/>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(247,500)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(247,500)</w:t>
            </w:r>
          </w:p>
        </w:tc>
        <w:tc>
          <w:tcPr>
            <w:tcW w:w="0" w:type="dxa"/>
            <w:vAlign w:val="bottom"/>
          </w:tcPr>
          <w:p>
            <w:pPr>
              <w:spacing w:after="0"/>
              <w:rPr>
                <w:sz w:val="1"/>
                <w:szCs w:val="1"/>
                <w:color w:val="auto"/>
              </w:rPr>
            </w:pPr>
          </w:p>
        </w:tc>
      </w:tr>
      <w:tr>
        <w:trPr>
          <w:trHeight w:val="136"/>
        </w:trPr>
        <w:tc>
          <w:tcPr>
            <w:tcW w:w="3040" w:type="dxa"/>
            <w:vAlign w:val="bottom"/>
            <w:gridSpan w:val="2"/>
            <w:shd w:val="clear" w:color="auto" w:fill="BFE4FF"/>
          </w:tcPr>
          <w:p>
            <w:pPr>
              <w:ind w:left="20"/>
              <w:spacing w:after="0" w:line="137" w:lineRule="exact"/>
              <w:rPr>
                <w:sz w:val="20"/>
                <w:szCs w:val="20"/>
                <w:color w:val="auto"/>
              </w:rPr>
            </w:pPr>
            <w:r>
              <w:rPr>
                <w:rFonts w:ascii="Arial" w:cs="Arial" w:eastAsia="Arial" w:hAnsi="Arial"/>
                <w:sz w:val="14"/>
                <w:szCs w:val="14"/>
                <w:color w:val="auto"/>
              </w:rPr>
              <w:t>Reclassification of tax effects relating to U.S. tax</w:t>
            </w:r>
          </w:p>
        </w:tc>
        <w:tc>
          <w:tcPr>
            <w:tcW w:w="120" w:type="dxa"/>
            <w:vAlign w:val="bottom"/>
            <w:shd w:val="clear" w:color="auto" w:fill="BFE4FF"/>
          </w:tcPr>
          <w:p>
            <w:pPr>
              <w:spacing w:after="0"/>
              <w:rPr>
                <w:sz w:val="11"/>
                <w:szCs w:val="11"/>
                <w:color w:val="auto"/>
              </w:rPr>
            </w:pPr>
          </w:p>
        </w:tc>
        <w:tc>
          <w:tcPr>
            <w:tcW w:w="5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6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52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40" w:type="dxa"/>
            <w:vAlign w:val="bottom"/>
            <w:shd w:val="clear" w:color="auto" w:fill="BFE4FF"/>
          </w:tcPr>
          <w:p>
            <w:pPr>
              <w:spacing w:after="0"/>
              <w:rPr>
                <w:sz w:val="11"/>
                <w:szCs w:val="11"/>
                <w:color w:val="auto"/>
              </w:rPr>
            </w:pPr>
          </w:p>
        </w:tc>
        <w:tc>
          <w:tcPr>
            <w:tcW w:w="6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20" w:type="dxa"/>
            <w:vAlign w:val="bottom"/>
            <w:vMerge w:val="restart"/>
            <w:shd w:val="clear" w:color="auto" w:fill="BFE4FF"/>
          </w:tcPr>
          <w:p>
            <w:pPr>
              <w:jc w:val="right"/>
              <w:ind w:right="9"/>
              <w:spacing w:after="0"/>
              <w:rPr>
                <w:sz w:val="20"/>
                <w:szCs w:val="20"/>
                <w:color w:val="auto"/>
              </w:rPr>
            </w:pPr>
            <w:r>
              <w:rPr>
                <w:rFonts w:ascii="Arial" w:cs="Arial" w:eastAsia="Arial" w:hAnsi="Arial"/>
                <w:sz w:val="14"/>
                <w:szCs w:val="14"/>
                <w:color w:val="auto"/>
              </w:rPr>
              <w:t>47,656</w:t>
            </w:r>
          </w:p>
        </w:tc>
        <w:tc>
          <w:tcPr>
            <w:tcW w:w="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2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1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(47,656)</w:t>
            </w: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8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80" w:type="dxa"/>
            <w:vAlign w:val="bottom"/>
            <w:shd w:val="clear" w:color="auto" w:fill="BFE4FF"/>
          </w:tcPr>
          <w:p>
            <w:pPr>
              <w:spacing w:after="0"/>
              <w:rPr>
                <w:sz w:val="11"/>
                <w:szCs w:val="11"/>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04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reform</w:t>
            </w:r>
          </w:p>
        </w:tc>
        <w:tc>
          <w:tcPr>
            <w:tcW w:w="120" w:type="dxa"/>
            <w:vAlign w:val="bottom"/>
            <w:tcBorders>
              <w:bottom w:val="single" w:sz="8" w:color="auto"/>
            </w:tcBorders>
            <w:shd w:val="clear" w:color="auto" w:fill="BFE4FF"/>
          </w:tcPr>
          <w:p>
            <w:pPr>
              <w:spacing w:after="0"/>
              <w:rPr>
                <w:sz w:val="16"/>
                <w:szCs w:val="16"/>
                <w:color w:val="auto"/>
              </w:rPr>
            </w:pPr>
          </w:p>
        </w:tc>
        <w:tc>
          <w:tcPr>
            <w:tcW w:w="560" w:type="dxa"/>
            <w:vAlign w:val="bottom"/>
            <w:tcBorders>
              <w:bottom w:val="single" w:sz="8" w:color="auto"/>
            </w:tcBorders>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660" w:type="dxa"/>
            <w:vAlign w:val="bottom"/>
            <w:tcBorders>
              <w:bottom w:val="single" w:sz="8" w:color="auto"/>
            </w:tcBorders>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tcBorders>
              <w:bottom w:val="single" w:sz="8" w:color="auto"/>
            </w:tcBorders>
            <w:shd w:val="clear" w:color="auto" w:fill="BFE4FF"/>
          </w:tcPr>
          <w:p>
            <w:pPr>
              <w:spacing w:after="0"/>
              <w:rPr>
                <w:sz w:val="16"/>
                <w:szCs w:val="16"/>
                <w:color w:val="auto"/>
              </w:rPr>
            </w:pPr>
          </w:p>
        </w:tc>
        <w:tc>
          <w:tcPr>
            <w:tcW w:w="520" w:type="dxa"/>
            <w:vAlign w:val="bottom"/>
            <w:tcBorders>
              <w:bottom w:val="single" w:sz="8" w:color="auto"/>
            </w:tcBorders>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tcBorders>
              <w:bottom w:val="single" w:sz="8" w:color="auto"/>
            </w:tcBorders>
            <w:shd w:val="clear" w:color="auto" w:fill="BFE4FF"/>
          </w:tcPr>
          <w:p>
            <w:pPr>
              <w:spacing w:after="0"/>
              <w:rPr>
                <w:sz w:val="16"/>
                <w:szCs w:val="16"/>
                <w:color w:val="auto"/>
              </w:rPr>
            </w:pPr>
          </w:p>
        </w:tc>
        <w:tc>
          <w:tcPr>
            <w:tcW w:w="680" w:type="dxa"/>
            <w:vAlign w:val="bottom"/>
            <w:tcBorders>
              <w:bottom w:val="single" w:sz="8" w:color="auto"/>
            </w:tcBorders>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00" w:type="dxa"/>
            <w:vAlign w:val="bottom"/>
            <w:tcBorders>
              <w:bottom w:val="single" w:sz="8" w:color="auto"/>
            </w:tcBorders>
            <w:shd w:val="clear" w:color="auto" w:fill="BFE4FF"/>
          </w:tcPr>
          <w:p>
            <w:pPr>
              <w:spacing w:after="0"/>
              <w:rPr>
                <w:sz w:val="16"/>
                <w:szCs w:val="16"/>
                <w:color w:val="auto"/>
              </w:rPr>
            </w:pPr>
          </w:p>
        </w:tc>
        <w:tc>
          <w:tcPr>
            <w:tcW w:w="720" w:type="dxa"/>
            <w:vAlign w:val="bottom"/>
            <w:tcBorders>
              <w:bottom w:val="single" w:sz="8" w:color="auto"/>
            </w:tcBorders>
            <w:vMerge w:val="continue"/>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100" w:type="dxa"/>
            <w:vAlign w:val="bottom"/>
            <w:tcBorders>
              <w:bottom w:val="single" w:sz="8" w:color="auto"/>
            </w:tcBorders>
            <w:shd w:val="clear" w:color="auto" w:fill="BFE4FF"/>
          </w:tcPr>
          <w:p>
            <w:pPr>
              <w:spacing w:after="0"/>
              <w:rPr>
                <w:sz w:val="16"/>
                <w:szCs w:val="16"/>
                <w:color w:val="auto"/>
              </w:rPr>
            </w:pPr>
          </w:p>
        </w:tc>
        <w:tc>
          <w:tcPr>
            <w:tcW w:w="720" w:type="dxa"/>
            <w:vAlign w:val="bottom"/>
            <w:tcBorders>
              <w:bottom w:val="single" w:sz="8" w:color="auto"/>
            </w:tcBorders>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tcBorders>
              <w:bottom w:val="single" w:sz="8" w:color="auto"/>
            </w:tcBorders>
            <w:shd w:val="clear" w:color="auto" w:fill="BFE4FF"/>
          </w:tcPr>
          <w:p>
            <w:pPr>
              <w:spacing w:after="0"/>
              <w:rPr>
                <w:sz w:val="16"/>
                <w:szCs w:val="16"/>
                <w:color w:val="auto"/>
              </w:rPr>
            </w:pPr>
          </w:p>
        </w:tc>
        <w:tc>
          <w:tcPr>
            <w:tcW w:w="1100" w:type="dxa"/>
            <w:vAlign w:val="bottom"/>
            <w:tcBorders>
              <w:bottom w:val="single" w:sz="8" w:color="auto"/>
            </w:tcBorders>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tcBorders>
              <w:bottom w:val="single" w:sz="8" w:color="auto"/>
            </w:tcBorders>
            <w:shd w:val="clear" w:color="auto" w:fill="BFE4FF"/>
          </w:tcPr>
          <w:p>
            <w:pPr>
              <w:spacing w:after="0"/>
              <w:rPr>
                <w:sz w:val="16"/>
                <w:szCs w:val="16"/>
                <w:color w:val="auto"/>
              </w:rPr>
            </w:pPr>
          </w:p>
        </w:tc>
        <w:tc>
          <w:tcPr>
            <w:tcW w:w="860" w:type="dxa"/>
            <w:vAlign w:val="bottom"/>
            <w:tcBorders>
              <w:bottom w:val="single" w:sz="8" w:color="auto"/>
            </w:tcBorders>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80" w:type="dxa"/>
            <w:vAlign w:val="bottom"/>
            <w:tcBorders>
              <w:bottom w:val="single" w:sz="8" w:color="auto"/>
            </w:tcBorders>
            <w:shd w:val="clear" w:color="auto" w:fill="BFE4FF"/>
          </w:tcPr>
          <w:p>
            <w:pPr>
              <w:spacing w:after="0"/>
              <w:rPr>
                <w:sz w:val="16"/>
                <w:szCs w:val="16"/>
                <w:color w:val="auto"/>
              </w:rPr>
            </w:pPr>
          </w:p>
        </w:tc>
        <w:tc>
          <w:tcPr>
            <w:tcW w:w="720" w:type="dxa"/>
            <w:vAlign w:val="bottom"/>
            <w:tcBorders>
              <w:bottom w:val="single" w:sz="8" w:color="auto"/>
            </w:tcBorders>
            <w:vMerge w:val="continue"/>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12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299,287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60,614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982,205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w w:val="99"/>
              </w:rPr>
              <w:t>7,032,020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(6,618,625)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(356,780)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1,407,266</w:t>
            </w: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BFE4FF"/>
          </w:tcPr>
          <w:p>
            <w:pPr>
              <w:spacing w:after="0"/>
              <w:rPr>
                <w:sz w:val="16"/>
                <w:szCs w:val="16"/>
                <w:color w:val="auto"/>
              </w:rPr>
            </w:pPr>
          </w:p>
        </w:tc>
        <w:tc>
          <w:tcPr>
            <w:tcW w:w="5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5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68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w w:val="99"/>
              </w:rPr>
              <w:t>1,149,692</w:t>
            </w:r>
          </w:p>
        </w:tc>
        <w:tc>
          <w:tcPr>
            <w:tcW w:w="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0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(2,940)</w:t>
            </w:r>
          </w:p>
        </w:tc>
        <w:tc>
          <w:tcPr>
            <w:tcW w:w="80" w:type="dxa"/>
            <w:vAlign w:val="bottom"/>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1,146,752</w:t>
            </w: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32,814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32,981</w:t>
            </w: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120" w:type="dxa"/>
            <w:vAlign w:val="bottom"/>
            <w:shd w:val="clear" w:color="auto" w:fill="BFE4FF"/>
          </w:tcPr>
          <w:p>
            <w:pPr>
              <w:spacing w:after="0"/>
              <w:rPr>
                <w:sz w:val="16"/>
                <w:szCs w:val="16"/>
                <w:color w:val="auto"/>
              </w:rPr>
            </w:pPr>
          </w:p>
        </w:tc>
        <w:tc>
          <w:tcPr>
            <w:tcW w:w="5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5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68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0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72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40" w:type="dxa"/>
            <w:vAlign w:val="bottom"/>
            <w:gridSpan w:val="2"/>
          </w:tcPr>
          <w:p>
            <w:pPr>
              <w:ind w:left="220"/>
              <w:spacing w:after="0"/>
              <w:rPr>
                <w:sz w:val="20"/>
                <w:szCs w:val="20"/>
                <w:color w:val="auto"/>
              </w:rPr>
            </w:pPr>
            <w:r>
              <w:rPr>
                <w:rFonts w:ascii="Arial" w:cs="Arial" w:eastAsia="Arial" w:hAnsi="Arial"/>
                <w:sz w:val="14"/>
                <w:szCs w:val="14"/>
                <w:color w:val="auto"/>
              </w:rPr>
              <w:t>Common Stock, $2.990 per share</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(445,618)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(445,618)</w:t>
            </w: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BFE4FF"/>
          </w:tcPr>
          <w:p>
            <w:pPr>
              <w:ind w:left="220"/>
              <w:spacing w:after="0"/>
              <w:rPr>
                <w:sz w:val="20"/>
                <w:szCs w:val="20"/>
                <w:color w:val="auto"/>
              </w:rPr>
            </w:pPr>
            <w:r>
              <w:rPr>
                <w:rFonts w:ascii="Arial" w:cs="Arial" w:eastAsia="Arial" w:hAnsi="Arial"/>
                <w:sz w:val="14"/>
                <w:szCs w:val="14"/>
                <w:color w:val="auto"/>
              </w:rPr>
              <w:t>Class B Common Stock, $2.716 per share</w:t>
            </w:r>
          </w:p>
        </w:tc>
        <w:tc>
          <w:tcPr>
            <w:tcW w:w="120" w:type="dxa"/>
            <w:vAlign w:val="bottom"/>
            <w:shd w:val="clear" w:color="auto" w:fill="BFE4FF"/>
          </w:tcPr>
          <w:p>
            <w:pPr>
              <w:spacing w:after="0"/>
              <w:rPr>
                <w:sz w:val="16"/>
                <w:szCs w:val="16"/>
                <w:color w:val="auto"/>
              </w:rPr>
            </w:pPr>
          </w:p>
        </w:tc>
        <w:tc>
          <w:tcPr>
            <w:tcW w:w="5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5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68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(164,627)</w:t>
            </w:r>
          </w:p>
        </w:tc>
        <w:tc>
          <w:tcPr>
            <w:tcW w:w="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0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(164,627)</w:t>
            </w: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50,732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50,732</w:t>
            </w:r>
          </w:p>
        </w:tc>
        <w:tc>
          <w:tcPr>
            <w:tcW w:w="0" w:type="dxa"/>
            <w:vAlign w:val="bottom"/>
          </w:tcPr>
          <w:p>
            <w:pPr>
              <w:spacing w:after="0"/>
              <w:rPr>
                <w:sz w:val="1"/>
                <w:szCs w:val="1"/>
                <w:color w:val="auto"/>
              </w:rPr>
            </w:pPr>
          </w:p>
        </w:tc>
      </w:tr>
      <w:tr>
        <w:trPr>
          <w:trHeight w:val="136"/>
        </w:trPr>
        <w:tc>
          <w:tcPr>
            <w:tcW w:w="3040" w:type="dxa"/>
            <w:vAlign w:val="bottom"/>
            <w:gridSpan w:val="2"/>
            <w:shd w:val="clear" w:color="auto" w:fill="BFE4FF"/>
          </w:tcPr>
          <w:p>
            <w:pPr>
              <w:ind w:left="20"/>
              <w:spacing w:after="0" w:line="137" w:lineRule="exact"/>
              <w:rPr>
                <w:sz w:val="20"/>
                <w:szCs w:val="20"/>
                <w:color w:val="auto"/>
              </w:rPr>
            </w:pPr>
            <w:r>
              <w:rPr>
                <w:rFonts w:ascii="Arial" w:cs="Arial" w:eastAsia="Arial" w:hAnsi="Arial"/>
                <w:sz w:val="14"/>
                <w:szCs w:val="14"/>
                <w:color w:val="auto"/>
                <w:w w:val="98"/>
              </w:rPr>
              <w:t>Exercise  of  stock  options  and  incentive-based</w:t>
            </w:r>
          </w:p>
        </w:tc>
        <w:tc>
          <w:tcPr>
            <w:tcW w:w="120" w:type="dxa"/>
            <w:vAlign w:val="bottom"/>
            <w:shd w:val="clear" w:color="auto" w:fill="BFE4FF"/>
          </w:tcPr>
          <w:p>
            <w:pPr>
              <w:spacing w:after="0"/>
              <w:rPr>
                <w:sz w:val="11"/>
                <w:szCs w:val="11"/>
                <w:color w:val="auto"/>
              </w:rPr>
            </w:pPr>
          </w:p>
        </w:tc>
        <w:tc>
          <w:tcPr>
            <w:tcW w:w="5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6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52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40" w:type="dxa"/>
            <w:vAlign w:val="bottom"/>
            <w:shd w:val="clear" w:color="auto" w:fill="BFE4FF"/>
          </w:tcPr>
          <w:p>
            <w:pPr>
              <w:spacing w:after="0"/>
              <w:rPr>
                <w:sz w:val="11"/>
                <w:szCs w:val="11"/>
                <w:color w:val="auto"/>
              </w:rPr>
            </w:pPr>
          </w:p>
        </w:tc>
        <w:tc>
          <w:tcPr>
            <w:tcW w:w="6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109,273</w:t>
            </w:r>
          </w:p>
        </w:tc>
        <w:tc>
          <w:tcPr>
            <w:tcW w:w="8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20" w:type="dxa"/>
            <w:vAlign w:val="bottom"/>
            <w:shd w:val="clear" w:color="auto" w:fill="BFE4FF"/>
          </w:tcPr>
          <w:p>
            <w:pPr>
              <w:spacing w:after="0"/>
              <w:rPr>
                <w:sz w:val="11"/>
                <w:szCs w:val="11"/>
                <w:color w:val="auto"/>
              </w:rPr>
            </w:pPr>
          </w:p>
        </w:tc>
        <w:tc>
          <w:tcPr>
            <w:tcW w:w="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131,533</w:t>
            </w: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10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8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80" w:type="dxa"/>
            <w:vAlign w:val="bottom"/>
            <w:shd w:val="clear" w:color="auto" w:fill="BFE4FF"/>
          </w:tcPr>
          <w:p>
            <w:pPr>
              <w:spacing w:after="0"/>
              <w:rPr>
                <w:sz w:val="11"/>
                <w:szCs w:val="11"/>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240,806</w:t>
            </w:r>
          </w:p>
        </w:tc>
        <w:tc>
          <w:tcPr>
            <w:tcW w:w="0" w:type="dxa"/>
            <w:vAlign w:val="bottom"/>
          </w:tcPr>
          <w:p>
            <w:pPr>
              <w:spacing w:after="0"/>
              <w:rPr>
                <w:sz w:val="1"/>
                <w:szCs w:val="1"/>
                <w:color w:val="auto"/>
              </w:rPr>
            </w:pPr>
          </w:p>
        </w:tc>
      </w:tr>
      <w:tr>
        <w:trPr>
          <w:trHeight w:val="187"/>
        </w:trPr>
        <w:tc>
          <w:tcPr>
            <w:tcW w:w="304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BFE4FF"/>
          </w:tcPr>
          <w:p>
            <w:pPr>
              <w:spacing w:after="0"/>
              <w:rPr>
                <w:sz w:val="16"/>
                <w:szCs w:val="16"/>
                <w:color w:val="auto"/>
              </w:rPr>
            </w:pPr>
          </w:p>
        </w:tc>
        <w:tc>
          <w:tcPr>
            <w:tcW w:w="5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5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68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0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720" w:type="dxa"/>
            <w:vAlign w:val="bottom"/>
            <w:vMerge w:val="continue"/>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(527,211)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(527,211)</w:t>
            </w: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Retirement of treasury common stock</w:t>
            </w:r>
          </w:p>
        </w:tc>
        <w:tc>
          <w:tcPr>
            <w:tcW w:w="120" w:type="dxa"/>
            <w:vAlign w:val="bottom"/>
            <w:shd w:val="clear" w:color="auto" w:fill="BFE4FF"/>
          </w:tcPr>
          <w:p>
            <w:pPr>
              <w:spacing w:after="0"/>
              <w:rPr>
                <w:sz w:val="16"/>
                <w:szCs w:val="16"/>
                <w:color w:val="auto"/>
              </w:rPr>
            </w:pPr>
          </w:p>
        </w:tc>
        <w:tc>
          <w:tcPr>
            <w:tcW w:w="5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(138,348)</w:t>
            </w: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5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68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4"/>
                <w:szCs w:val="14"/>
                <w:color w:val="auto"/>
                <w:w w:val="92"/>
              </w:rPr>
              <w:t>(6,284,919)</w:t>
            </w:r>
          </w:p>
        </w:tc>
        <w:tc>
          <w:tcPr>
            <w:tcW w:w="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6,423,267</w:t>
            </w: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0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040" w:type="dxa"/>
            <w:vAlign w:val="bottom"/>
            <w:tcBorders>
              <w:bottom w:val="single" w:sz="8" w:color="BFE4FF"/>
            </w:tcBorders>
            <w:gridSpan w:val="2"/>
          </w:tcPr>
          <w:p>
            <w:pPr>
              <w:ind w:left="20"/>
              <w:spacing w:after="0"/>
              <w:rPr>
                <w:sz w:val="20"/>
                <w:szCs w:val="20"/>
                <w:color w:val="auto"/>
              </w:rPr>
            </w:pPr>
            <w:r>
              <w:rPr>
                <w:rFonts w:ascii="Arial" w:cs="Arial" w:eastAsia="Arial" w:hAnsi="Arial"/>
                <w:sz w:val="14"/>
                <w:szCs w:val="14"/>
                <w:color w:val="auto"/>
              </w:rPr>
              <w:t>Impact of ASU 2016-02 related to leases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BFE4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BFE4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3,913</w:t>
            </w:r>
          </w:p>
        </w:tc>
        <w:tc>
          <w:tcPr>
            <w:tcW w:w="6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BFE4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183"/>
        </w:trPr>
        <w:tc>
          <w:tcPr>
            <w:tcW w:w="3040" w:type="dxa"/>
            <w:vAlign w:val="bottom"/>
            <w:gridSpan w:val="2"/>
            <w:shd w:val="clear" w:color="auto" w:fill="BFE4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shd w:val="clear" w:color="auto" w:fill="BFE4FF"/>
          </w:tcPr>
          <w:p>
            <w:pPr>
              <w:spacing w:after="0"/>
              <w:rPr>
                <w:sz w:val="15"/>
                <w:szCs w:val="15"/>
                <w:color w:val="auto"/>
              </w:rPr>
            </w:pPr>
          </w:p>
        </w:tc>
        <w:tc>
          <w:tcPr>
            <w:tcW w:w="560" w:type="dxa"/>
            <w:vAlign w:val="bottom"/>
            <w:shd w:val="clear" w:color="auto" w:fill="BFE4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BFE4FF"/>
          </w:tcPr>
          <w:p>
            <w:pPr>
              <w:spacing w:after="0"/>
              <w:rPr>
                <w:sz w:val="15"/>
                <w:szCs w:val="15"/>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160,939</w:t>
            </w:r>
          </w:p>
        </w:tc>
        <w:tc>
          <w:tcPr>
            <w:tcW w:w="8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60,614</w:t>
            </w:r>
          </w:p>
        </w:tc>
        <w:tc>
          <w:tcPr>
            <w:tcW w:w="8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4"/>
                <w:szCs w:val="14"/>
                <w:color w:val="auto"/>
                <w:w w:val="96"/>
              </w:rPr>
              <w:t>1,142,210</w:t>
            </w:r>
          </w:p>
        </w:tc>
        <w:tc>
          <w:tcPr>
            <w:tcW w:w="8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2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w w:val="99"/>
              </w:rPr>
              <w:t>1,290,461</w:t>
            </w:r>
          </w:p>
        </w:tc>
        <w:tc>
          <w:tcPr>
            <w:tcW w:w="6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(591,036)</w:t>
            </w:r>
          </w:p>
        </w:tc>
        <w:tc>
          <w:tcPr>
            <w:tcW w:w="8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(323,966)</w:t>
            </w:r>
          </w:p>
        </w:tc>
        <w:tc>
          <w:tcPr>
            <w:tcW w:w="8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5,772</w:t>
            </w:r>
          </w:p>
        </w:tc>
        <w:tc>
          <w:tcPr>
            <w:tcW w:w="80" w:type="dxa"/>
            <w:vAlign w:val="bottom"/>
            <w:shd w:val="clear" w:color="auto" w:fill="BFE4FF"/>
          </w:tcPr>
          <w:p>
            <w:pPr>
              <w:spacing w:after="0"/>
              <w:rPr>
                <w:sz w:val="15"/>
                <w:szCs w:val="15"/>
                <w:color w:val="auto"/>
              </w:rPr>
            </w:pPr>
          </w:p>
        </w:tc>
        <w:tc>
          <w:tcPr>
            <w:tcW w:w="180" w:type="dxa"/>
            <w:vAlign w:val="bottom"/>
            <w:shd w:val="clear" w:color="auto" w:fill="BFE4FF"/>
          </w:tcPr>
          <w:p>
            <w:pPr>
              <w:spacing w:after="0"/>
              <w:rPr>
                <w:sz w:val="15"/>
                <w:szCs w:val="15"/>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1,744,994</w:t>
            </w: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w w:val="99"/>
              </w:rPr>
              <w:t>1,278,708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1,275,413</w:t>
            </w: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Other comprehensive (loss) income</w:t>
            </w:r>
          </w:p>
        </w:tc>
        <w:tc>
          <w:tcPr>
            <w:tcW w:w="120" w:type="dxa"/>
            <w:vAlign w:val="bottom"/>
            <w:shd w:val="clear" w:color="auto" w:fill="BFE4FF"/>
          </w:tcPr>
          <w:p>
            <w:pPr>
              <w:spacing w:after="0"/>
              <w:rPr>
                <w:sz w:val="16"/>
                <w:szCs w:val="16"/>
                <w:color w:val="auto"/>
              </w:rPr>
            </w:pPr>
          </w:p>
        </w:tc>
        <w:tc>
          <w:tcPr>
            <w:tcW w:w="5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5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68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(14,116)</w:t>
            </w: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1,054</w:t>
            </w:r>
          </w:p>
        </w:tc>
        <w:tc>
          <w:tcPr>
            <w:tcW w:w="80" w:type="dxa"/>
            <w:vAlign w:val="bottom"/>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(13,062)</w:t>
            </w: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BFE4FF"/>
          </w:tcPr>
          <w:p>
            <w:pPr>
              <w:ind w:left="220"/>
              <w:spacing w:after="0"/>
              <w:rPr>
                <w:sz w:val="20"/>
                <w:szCs w:val="20"/>
                <w:color w:val="auto"/>
              </w:rPr>
            </w:pPr>
            <w:r>
              <w:rPr>
                <w:rFonts w:ascii="Arial" w:cs="Arial" w:eastAsia="Arial" w:hAnsi="Arial"/>
                <w:sz w:val="14"/>
                <w:szCs w:val="14"/>
                <w:color w:val="auto"/>
              </w:rPr>
              <w:t>Common Stock, $3.154 per share</w:t>
            </w:r>
          </w:p>
        </w:tc>
        <w:tc>
          <w:tcPr>
            <w:tcW w:w="120" w:type="dxa"/>
            <w:vAlign w:val="bottom"/>
            <w:shd w:val="clear" w:color="auto" w:fill="BFE4FF"/>
          </w:tcPr>
          <w:p>
            <w:pPr>
              <w:spacing w:after="0"/>
              <w:rPr>
                <w:sz w:val="16"/>
                <w:szCs w:val="16"/>
                <w:color w:val="auto"/>
              </w:rPr>
            </w:pPr>
          </w:p>
        </w:tc>
        <w:tc>
          <w:tcPr>
            <w:tcW w:w="5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5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68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(466,777)</w:t>
            </w:r>
          </w:p>
        </w:tc>
        <w:tc>
          <w:tcPr>
            <w:tcW w:w="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0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(466,777)</w:t>
            </w:r>
          </w:p>
        </w:tc>
        <w:tc>
          <w:tcPr>
            <w:tcW w:w="0" w:type="dxa"/>
            <w:vAlign w:val="bottom"/>
          </w:tcPr>
          <w:p>
            <w:pPr>
              <w:spacing w:after="0"/>
              <w:rPr>
                <w:sz w:val="1"/>
                <w:szCs w:val="1"/>
                <w:color w:val="auto"/>
              </w:rPr>
            </w:pPr>
          </w:p>
        </w:tc>
      </w:tr>
      <w:tr>
        <w:trPr>
          <w:trHeight w:val="184"/>
        </w:trPr>
        <w:tc>
          <w:tcPr>
            <w:tcW w:w="3040" w:type="dxa"/>
            <w:vAlign w:val="bottom"/>
            <w:gridSpan w:val="2"/>
          </w:tcPr>
          <w:p>
            <w:pPr>
              <w:ind w:left="220"/>
              <w:spacing w:after="0"/>
              <w:rPr>
                <w:sz w:val="20"/>
                <w:szCs w:val="20"/>
                <w:color w:val="auto"/>
              </w:rPr>
            </w:pPr>
            <w:r>
              <w:rPr>
                <w:rFonts w:ascii="Arial" w:cs="Arial" w:eastAsia="Arial" w:hAnsi="Arial"/>
                <w:sz w:val="14"/>
                <w:szCs w:val="14"/>
                <w:color w:val="auto"/>
              </w:rPr>
              <w:t>Class B Common Stock, $2.866 per share</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(173,719)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(173,719)</w:t>
            </w: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56,698</w:t>
            </w:r>
          </w:p>
        </w:tc>
        <w:tc>
          <w:tcPr>
            <w:tcW w:w="0" w:type="dxa"/>
            <w:vAlign w:val="bottom"/>
          </w:tcPr>
          <w:p>
            <w:pPr>
              <w:spacing w:after="0"/>
              <w:rPr>
                <w:sz w:val="1"/>
                <w:szCs w:val="1"/>
                <w:color w:val="auto"/>
              </w:rPr>
            </w:pPr>
          </w:p>
        </w:tc>
      </w:tr>
      <w:tr>
        <w:trPr>
          <w:trHeight w:val="133"/>
        </w:trPr>
        <w:tc>
          <w:tcPr>
            <w:tcW w:w="304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8"/>
              </w:rPr>
              <w:t>Exercise  of  stock  options  and  incentive-based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(7,708)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33,240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25,532</w:t>
            </w: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(211,196)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(211,196)</w:t>
            </w:r>
          </w:p>
        </w:tc>
        <w:tc>
          <w:tcPr>
            <w:tcW w:w="0" w:type="dxa"/>
            <w:vAlign w:val="bottom"/>
          </w:tcPr>
          <w:p>
            <w:pPr>
              <w:spacing w:after="0"/>
              <w:rPr>
                <w:sz w:val="1"/>
                <w:szCs w:val="1"/>
                <w:color w:val="auto"/>
              </w:rPr>
            </w:pPr>
          </w:p>
        </w:tc>
      </w:tr>
      <w:tr>
        <w:trPr>
          <w:trHeight w:val="180"/>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$ 160,939</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60,614</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1,191,200</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9"/>
              </w:rPr>
              <w:t>1,928,673</w:t>
            </w:r>
          </w:p>
        </w:tc>
        <w:tc>
          <w:tcPr>
            <w:tcW w:w="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(768,992)</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(338,082)</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3,531</w:t>
            </w:r>
          </w:p>
        </w:tc>
        <w:tc>
          <w:tcPr>
            <w:tcW w:w="8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2,237,883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7980" w:type="dxa"/>
            <w:vAlign w:val="bottom"/>
          </w:tcPr>
          <w:p>
            <w:pPr>
              <w:jc w:val="center"/>
              <w:ind w:right="3176"/>
              <w:spacing w:after="0"/>
              <w:rPr>
                <w:sz w:val="20"/>
                <w:szCs w:val="20"/>
                <w:color w:val="auto"/>
              </w:rPr>
            </w:pPr>
            <w:r>
              <w:rPr>
                <w:rFonts w:ascii="Arial" w:cs="Arial" w:eastAsia="Arial" w:hAnsi="Arial"/>
                <w:sz w:val="18"/>
                <w:szCs w:val="18"/>
                <w:b w:val="1"/>
                <w:bCs w:val="1"/>
                <w:color w:val="auto"/>
                <w:w w:val="87"/>
              </w:rPr>
              <w:t>See Notes to Consolidated Financial Statements.</w:t>
            </w:r>
          </w:p>
        </w:tc>
      </w:tr>
      <w:tr>
        <w:trPr>
          <w:trHeight w:val="356"/>
        </w:trPr>
        <w:tc>
          <w:tcPr>
            <w:tcW w:w="3260" w:type="dxa"/>
            <w:vAlign w:val="bottom"/>
          </w:tcPr>
          <w:p>
            <w:pPr>
              <w:ind w:left="160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7980" w:type="dxa"/>
            <w:vAlign w:val="bottom"/>
          </w:tcPr>
          <w:p>
            <w:pPr>
              <w:jc w:val="center"/>
              <w:ind w:right="3176"/>
              <w:spacing w:after="0"/>
              <w:rPr>
                <w:sz w:val="20"/>
                <w:szCs w:val="20"/>
                <w:color w:val="auto"/>
              </w:rPr>
            </w:pPr>
            <w:r>
              <w:rPr>
                <w:rFonts w:ascii="Arial" w:cs="Arial" w:eastAsia="Arial" w:hAnsi="Arial"/>
                <w:sz w:val="16"/>
                <w:szCs w:val="16"/>
                <w:color w:val="auto"/>
                <w:w w:val="89"/>
              </w:rPr>
              <w:t>The Hershey Company | 2020 Form 10-K | Page 54</w:t>
            </w:r>
          </w:p>
        </w:tc>
      </w:tr>
      <w:tr>
        <w:trPr>
          <w:trHeight w:val="292"/>
        </w:trPr>
        <w:tc>
          <w:tcPr>
            <w:tcW w:w="326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-371475</wp:posOffset>
            </wp:positionV>
            <wp:extent cx="194945" cy="169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6" w:name="page57"/>
    <w:bookmarkEnd w:id="56"/>
    <w:p>
      <w:pPr>
        <w:jc w:val="center"/>
        <w:ind w:right="-7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NOTES TO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Description of Business</w:t>
      </w:r>
    </w:p>
    <w:p>
      <w:pPr>
        <w:spacing w:after="0" w:line="106" w:lineRule="exact"/>
        <w:rPr>
          <w:sz w:val="20"/>
          <w:szCs w:val="20"/>
          <w:color w:val="auto"/>
        </w:rPr>
      </w:pPr>
    </w:p>
    <w:p>
      <w:pPr>
        <w:ind w:left="40" w:right="20"/>
        <w:spacing w:after="0" w:line="250" w:lineRule="auto"/>
        <w:rPr>
          <w:rFonts w:ascii="Arial" w:cs="Arial" w:eastAsia="Arial" w:hAnsi="Arial"/>
          <w:sz w:val="18"/>
          <w:szCs w:val="18"/>
          <w:color w:val="0000FF"/>
        </w:rPr>
      </w:pPr>
      <w:r>
        <w:rPr>
          <w:rFonts w:ascii="Arial" w:cs="Arial" w:eastAsia="Arial" w:hAnsi="Arial"/>
          <w:sz w:val="18"/>
          <w:szCs w:val="18"/>
          <w:color w:val="auto"/>
        </w:rPr>
        <w:t xml:space="preserve">The Hershey Company together with its wholly-owned subsidiaries and entities in which it has a controlling interest, (the “Company,” “Hershey,” “we” or “us”) is a global confectionery leader known for its branded portfolio of chocolate, sweets, mints and other great-tasting snacks. The Company has more than 90 brands worldwide including such iconic brand names as </w:t>
      </w:r>
      <w:r>
        <w:rPr>
          <w:rFonts w:ascii="Arial" w:cs="Arial" w:eastAsia="Arial" w:hAnsi="Arial"/>
          <w:sz w:val="18"/>
          <w:szCs w:val="18"/>
          <w:i w:val="1"/>
          <w:iCs w:val="1"/>
          <w:color w:val="auto"/>
        </w:rPr>
        <w:t>Hershey’s, Reese’s, Kisses, Jolly Rancher</w:t>
      </w:r>
      <w:r>
        <w:rPr>
          <w:rFonts w:ascii="Arial" w:cs="Arial" w:eastAsia="Arial" w:hAnsi="Arial"/>
          <w:sz w:val="18"/>
          <w:szCs w:val="18"/>
          <w:color w:val="auto"/>
        </w:rPr>
        <w:t xml:space="preserve"> and </w:t>
      </w:r>
      <w:r>
        <w:rPr>
          <w:rFonts w:ascii="Arial" w:cs="Arial" w:eastAsia="Arial" w:hAnsi="Arial"/>
          <w:sz w:val="18"/>
          <w:szCs w:val="18"/>
          <w:i w:val="1"/>
          <w:iCs w:val="1"/>
          <w:color w:val="auto"/>
        </w:rPr>
        <w:t>Ice Breakers,</w:t>
      </w:r>
      <w:r>
        <w:rPr>
          <w:rFonts w:ascii="Arial" w:cs="Arial" w:eastAsia="Arial" w:hAnsi="Arial"/>
          <w:sz w:val="18"/>
          <w:szCs w:val="18"/>
          <w:color w:val="auto"/>
        </w:rPr>
        <w:t xml:space="preserve"> which are marketed, sold and distributed in approximately 85 countries worldwide. Hershey's structure is designed to ensure continued focus on North America, coupled with an emphasis on profitable growth in our focus international markets. The Company currently operates through two reportable segments that are aligned with its management structure and the key markets it serves: North America and International and Other. For additional information on our segment presentation, see </w:t>
      </w:r>
      <w:hyperlink w:anchor="page91">
        <w:r>
          <w:rPr>
            <w:rFonts w:ascii="Arial" w:cs="Arial" w:eastAsia="Arial" w:hAnsi="Arial"/>
            <w:sz w:val="18"/>
            <w:szCs w:val="18"/>
            <w:u w:val="single" w:color="auto"/>
            <w:color w:val="0000FF"/>
          </w:rPr>
          <w:t>Note 13</w:t>
        </w:r>
      </w:hyperlink>
      <w:r>
        <w:rPr>
          <w:rFonts w:ascii="Arial" w:cs="Arial" w:eastAsia="Arial" w:hAnsi="Arial"/>
          <w:sz w:val="18"/>
          <w:szCs w:val="18"/>
          <w:color w:val="000000"/>
        </w:rPr>
        <w:t>.</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92" w:lineRule="exact"/>
        <w:rPr>
          <w:sz w:val="20"/>
          <w:szCs w:val="20"/>
          <w:color w:val="auto"/>
        </w:rPr>
      </w:pPr>
    </w:p>
    <w:p>
      <w:pPr>
        <w:ind w:left="4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Our consolidated financial statements include the accounts of The Hershey Company and its majority-owned or controlled subsidiaries. Intercompany transactions and balances have been eliminated.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See </w:t>
      </w:r>
      <w:hyperlink w:anchor="page93">
        <w:r>
          <w:rPr>
            <w:rFonts w:ascii="Arial" w:cs="Arial" w:eastAsia="Arial" w:hAnsi="Arial"/>
            <w:sz w:val="16"/>
            <w:szCs w:val="16"/>
            <w:u w:val="single" w:color="auto"/>
            <w:color w:val="0000FF"/>
          </w:rPr>
          <w:t>Note 14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information on our noncontrolling interest. In addition, we use the equity method of accounting for our investments in partnership entities which make equity investments in projects eligible to receive federal historic and energy tax credits. See </w:t>
      </w:r>
      <w:hyperlink w:anchor="page78">
        <w:r>
          <w:rPr>
            <w:rFonts w:ascii="Arial" w:cs="Arial" w:eastAsia="Arial" w:hAnsi="Arial"/>
            <w:sz w:val="16"/>
            <w:szCs w:val="16"/>
            <w:u w:val="single" w:color="auto"/>
            <w:color w:val="0000FF"/>
          </w:rPr>
          <w:t>Note 10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 on our equity investments in partnership entities qualifying for tax credits.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106" w:lineRule="exact"/>
        <w:rPr>
          <w:sz w:val="20"/>
          <w:szCs w:val="20"/>
          <w:color w:val="auto"/>
        </w:rPr>
      </w:pPr>
    </w:p>
    <w:p>
      <w:pPr>
        <w:ind w:left="40" w:right="40"/>
        <w:spacing w:after="0" w:line="252" w:lineRule="auto"/>
        <w:rPr>
          <w:sz w:val="20"/>
          <w:szCs w:val="20"/>
          <w:color w:val="auto"/>
        </w:rPr>
      </w:pPr>
      <w:r>
        <w:rPr>
          <w:rFonts w:ascii="Arial" w:cs="Arial" w:eastAsia="Arial" w:hAnsi="Arial"/>
          <w:sz w:val="18"/>
          <w:szCs w:val="18"/>
          <w:color w:val="auto"/>
        </w:rPr>
        <w:t>On March 11, 2020, the World Health Organization designated coronavirus disease 2019 ("COVID-19") as a global pandemic. We continue to actively monitor COVID-19 and its potential impact on our operations and financial results. Employee health and safety remains our first priority while we continue our efforts to support community food supplies. To date, there has been minimal disruption to our supply chain network, and all our manufacturing plants are currently open. We are also working closely with our business units, contract manufacturers, distributors, contractors and other external business partners to minimize the potential impact on our business.</w:t>
      </w:r>
    </w:p>
    <w:p>
      <w:pPr>
        <w:spacing w:after="0" w:line="59" w:lineRule="exact"/>
        <w:rPr>
          <w:sz w:val="20"/>
          <w:szCs w:val="20"/>
          <w:color w:val="auto"/>
        </w:rPr>
      </w:pPr>
    </w:p>
    <w:p>
      <w:pPr>
        <w:ind w:left="40" w:right="120"/>
        <w:spacing w:after="0" w:line="295" w:lineRule="auto"/>
        <w:rPr>
          <w:sz w:val="20"/>
          <w:szCs w:val="20"/>
          <w:color w:val="auto"/>
        </w:rPr>
      </w:pPr>
      <w:r>
        <w:rPr>
          <w:rFonts w:ascii="Arial" w:cs="Arial" w:eastAsia="Arial" w:hAnsi="Arial"/>
          <w:sz w:val="16"/>
          <w:szCs w:val="16"/>
          <w:color w:val="auto"/>
        </w:rPr>
        <w:t>In late May and early June, many state governments began a phased reopening of their economies. These phased approaches promoted limited food service offerings, outdoor dining, increased travel and the reopening of retailing establishments while adhering to new guidelines and enhanced safety measures, including social distancing and face mask protocols. As a result, we experienced an increase in our net sales and earnings per share during 2020. We believe the financial impacts from COVID-19 are temporary in nature and do not significantly affect our business model and growth strategy.</w:t>
      </w:r>
    </w:p>
    <w:p>
      <w:pPr>
        <w:spacing w:after="0" w:line="42" w:lineRule="exact"/>
        <w:rPr>
          <w:sz w:val="20"/>
          <w:szCs w:val="20"/>
          <w:color w:val="auto"/>
        </w:rPr>
      </w:pPr>
    </w:p>
    <w:p>
      <w:pPr>
        <w:jc w:val="both"/>
        <w:ind w:left="40" w:right="220"/>
        <w:spacing w:after="0" w:line="297" w:lineRule="auto"/>
        <w:rPr>
          <w:sz w:val="20"/>
          <w:szCs w:val="20"/>
          <w:color w:val="auto"/>
        </w:rPr>
      </w:pPr>
      <w:r>
        <w:rPr>
          <w:rFonts w:ascii="Arial" w:cs="Arial" w:eastAsia="Arial" w:hAnsi="Arial"/>
          <w:sz w:val="17"/>
          <w:szCs w:val="17"/>
          <w:color w:val="auto"/>
        </w:rPr>
        <w:t>While recent reopening approaches have made a short-term positive impact on local and state economies and the United States unemployment rate, certain states have modified reopening plans as new cases of COVID-19 have led to new trends in outbreaks and hotspots.</w:t>
      </w:r>
    </w:p>
    <w:p>
      <w:pPr>
        <w:spacing w:after="0" w:line="36" w:lineRule="exact"/>
        <w:rPr>
          <w:sz w:val="20"/>
          <w:szCs w:val="20"/>
          <w:color w:val="auto"/>
        </w:rPr>
      </w:pPr>
    </w:p>
    <w:p>
      <w:pPr>
        <w:jc w:val="both"/>
        <w:ind w:left="40" w:right="240"/>
        <w:spacing w:after="0" w:line="304" w:lineRule="auto"/>
        <w:rPr>
          <w:sz w:val="20"/>
          <w:szCs w:val="20"/>
          <w:color w:val="auto"/>
        </w:rPr>
      </w:pPr>
      <w:r>
        <w:rPr>
          <w:rFonts w:ascii="Arial" w:cs="Arial" w:eastAsia="Arial" w:hAnsi="Arial"/>
          <w:sz w:val="16"/>
          <w:szCs w:val="16"/>
          <w:color w:val="auto"/>
        </w:rPr>
        <w:t>The ultimate impact that COVID-19 will have on our consolidated financial statements remains uncertain and ultimately will be dictated by the length and severity of the pandemic, as well as the economic recovery and federal, state and local government actions taken in response, including the distribution of vaccinations. We will continue to evaluate the nature and extent of these potential impacts to our business and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6960870</wp:posOffset>
            </wp:positionH>
            <wp:positionV relativeFrom="paragraph">
              <wp:posOffset>706120</wp:posOffset>
            </wp:positionV>
            <wp:extent cx="194945" cy="169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40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185420</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280" w:top="118" w:right="359" w:bottom="1440" w:gutter="0" w:footer="0" w:header="0"/>
        </w:sectPr>
      </w:pPr>
    </w:p>
    <w:bookmarkStart w:id="57" w:name="page58"/>
    <w:bookmarkEnd w:id="57"/>
    <w:p>
      <w:pPr>
        <w:jc w:val="center"/>
        <w:ind w:right="-15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2" w:lineRule="exact"/>
        <w:rPr>
          <w:sz w:val="20"/>
          <w:szCs w:val="20"/>
          <w:color w:val="auto"/>
        </w:rPr>
      </w:pPr>
    </w:p>
    <w:p>
      <w:pPr>
        <w:ind w:right="40"/>
        <w:spacing w:after="0" w:line="333"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of America (“GAAP”) requires management to make estimates and assumptions that affect the amounts reported in the consolidated financial statements and accompanying disclosures. Our significant estimates and assumptions include, among others, pension and other post-retirement benefit plan assumptions, valuation assumptions of goodwill and other intangible assets, useful lives of long-lived assets, marketing and trade promotion accruals and income taxes. These estimates and assumptions are based on management’s best judgment. Management evaluates its estimates and assumptions on an ongoing basis using historical experience and other factors, including the current economic environment, and the effects of any revisions are reflected in the consolidated financial statements in the period that they are determined. As future events and their effects cannot be determined with precision, actual results could differ significantly from these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majority of our revenue contracts represent a single performance obligation related to the fulfillment of customer orders for the purchase of our products, including chocolate, sweets, mints and other grocery and snack offerings. Net sales reflect the transaction prices for these contracts based on our selling list price which is then reduced by estimated costs for trade promotional programs, consumer incentives, and allowances and discounts associated with aged or potentially unsaleable products. We recognize revenue at the point in time that control of the ordered product(s) is transferred to the customer, which is typically upon delivery to the customer or other customer-designated delivery point. Amounts billed and due from our customers are classified as accounts receivables on the balance sheet and require payment on a short-term basis.</w:t>
      </w:r>
    </w:p>
    <w:p>
      <w:pPr>
        <w:spacing w:after="0" w:line="5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Our trade promotional programs and consumer incentives are used to promote our products and include, but are not limited to, discounts, coupons, rebates, in-store display incentives, and volume-based incentives. The estimated costs associated with these programs and incentives are based upon our analysis of the programs offered, expectations regarding customer and consumer participation, historical sales and payment trends, and our experience with payment patterns associated with similar programs offered in the past. The estimated costs of these programs are reasonably likely to change in future periods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During 2020, 2019 and 2018, actual promotional costs have not deviated from the estimated amount by more than 2%. The Company’s unsettled portion remaining in accrued liabilities at year-end for these activities was $195,563 and $180,959 at December 31, 2020 and 2019, respectively.</w:t>
      </w:r>
    </w:p>
    <w:p>
      <w:pPr>
        <w:spacing w:after="0" w:line="6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also recognize a minor amount of royalty income (less than 1% of our consolidated net sales) from sales-based licensing arrangements, pursuant to which revenue is recognized as the third-party licensee sales occur. Shipping and handling costs incurred to deliver product to the customer are recorded within cost of sales. Sales, value add and other taxes we collect concurrent with revenue producing activities are excluded from revenue.</w:t>
      </w:r>
    </w:p>
    <w:p>
      <w:pPr>
        <w:spacing w:after="0" w:line="34" w:lineRule="exact"/>
        <w:rPr>
          <w:sz w:val="20"/>
          <w:szCs w:val="20"/>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majority of our products are confectionery or confectionery-based and, therefore, exhibit similar economic characteristics, as they are based on similar ingredients and are marketed and sold through the same channels to the same customers. In connection with our recent acquisitions, we have expanded our portfolio of snacking products, which also exhibit similar economic characteristics to our confectionery products and are sold through the same channels to the same customers. See </w:t>
      </w:r>
      <w:hyperlink w:anchor="page91">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revenues reported by geographic segment, which is consistent with how we organize and manage our operations, as well as product line net sales information.</w:t>
      </w:r>
    </w:p>
    <w:p>
      <w:pPr>
        <w:spacing w:after="0" w:line="5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2020, 2019 and 2018, approximately 31%, 30% and 28%, respectively, of our consolidated net sales were made to McLane Company, Inc., one of the largest wholesale distributors in the United States to convenience stores, drug stores, wholesale clubs and mass merchandisers and the primary distributor of our products to Wal-Mart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728345</wp:posOffset>
            </wp:positionV>
            <wp:extent cx="194945" cy="169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Cost of sales represents costs directly related to the manufacture and distribution of our products. Primary costs include raw materials, packaging, direct labor, overhead, shipping and handling, warehousing and the depreciation of manufacturing, warehousing and distribution facilities. Manufacturing overhead and related expenses include salaries, wages, employee benefits, utilities, maintenance and property taxes.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Administrative Expense</w:t>
      </w:r>
    </w:p>
    <w:p>
      <w:pPr>
        <w:spacing w:after="0" w:line="10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Selling, marketing and administrative expense (“SM&amp;A”) represents costs incurred in generating revenues and in managing our business. Such costs include advertising and other marketing expenses, selling expenses, research and development costs, administrative and other indirect overhead costs, amortization of capitalized software and intangible assets and depreciation of administrative facilities. Research and development costs, charged to expense as incurred, totaled $37,577 in 2020, $37,146 in 2019 and $38,521 in 2018. Advertising expense is also charged to expense as incurred and totaled $516,936 in 2020, $513,302 in 2019 and $479,908 in 2018. Prepaid advertising expense was $705 and $242 as of December 31, 2020 and 2019,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06"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Cash equivalents consist of highly liquid debt instruments, time deposits and money market funds with original maturities of three months or less. The fair value of cash and cash equivalents approximates the carrying amount.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Receivable—Trade</w:t>
      </w:r>
    </w:p>
    <w:p>
      <w:pPr>
        <w:spacing w:after="0" w:line="9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the normal course of business, we extend credit to customers that satisfy pre-defined credit criteria, based upon the results of our recurring financial account reviews and our evaluation of current and projected economic conditions. Our primary concentration of credit risk is associated with McLane Company, Inc., one customer served principally by our North America segment. As of December 31, 2020, McLane Company, Inc. accounted for approximately 24% of our total accounts receivable. No other customer accounted for more than 10% of our year-end accounts receivable. We believe that we have little concentration of credit risk associated with the remainder of our customer base. Accounts receivable-trade in the Consolidated Balance Sheets is presented net of allowances for bad debts and anticipated discounts of $24,975 and $24,966 at December 31, 2020 and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06" w:lineRule="exact"/>
        <w:rPr>
          <w:sz w:val="20"/>
          <w:szCs w:val="20"/>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Inventories are valued at the lower of cost or market value, adjusted for the value of inventory that is estimated to be excess, obsolete or otherwise unsaleable. As of December 31, 2020, approximately 63% of our inventories, representing the majority of our United States ("U.S.") inventories, were valued under the last-in, first-out (“LIFO”) method. The remainder of our inventories in the U.S. and inventories for our international businesses were valued at the lower of first-in, first-out (“FIFO”) cost or net realizable value. LIFO cost of inventories valued using the LIFO method was $606,282 as of December 31, 2020 and $501,459 as of December 31, 2019. The adjustment to LIFO, as shown in </w:t>
      </w:r>
      <w:hyperlink w:anchor="page98">
        <w:r>
          <w:rPr>
            <w:rFonts w:ascii="Arial" w:cs="Arial" w:eastAsia="Arial" w:hAnsi="Arial"/>
            <w:sz w:val="17"/>
            <w:szCs w:val="17"/>
            <w:u w:val="single" w:color="auto"/>
            <w:color w:val="0000FF"/>
          </w:rPr>
          <w:t>Note 18</w:t>
        </w:r>
      </w:hyperlink>
      <w:r>
        <w:rPr>
          <w:rFonts w:ascii="Arial" w:cs="Arial" w:eastAsia="Arial" w:hAnsi="Arial"/>
          <w:sz w:val="17"/>
          <w:szCs w:val="17"/>
          <w:color w:val="auto"/>
        </w:rPr>
        <w:t>, approximates the excess of replacement cost over the stated LIFO inventory value. The net impact of LIFO acquisitions and liquidations was not material to 2020, 2019 or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0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Property, plant and equipment is stated at cost and depreciated on a straight-line basis over the estimated useful lives of the assets, as follows: 3 to 15 years for machinery and equipment; and 25 to 40 years for buildings and related improvements. At December 31, 2020 and December 31, 2019, property, plant and equipment included assets under finance lease arrangements with net book values totaling $88,065 and $93,917, respectively. Total depreciation expense for the years ended December 31, 2020, 2019 and 2018 was $219,021, $218,096 and $231,012, respectively, and included depreciation on assets recorded under finance lease arrangements. Maintenance and repairs are expensed as incurred. We capitalize applicable interest charges incurred during the construction of new facilities and production lines and amortize these costs over the assets’ estimated useful lives.</w:t>
      </w:r>
    </w:p>
    <w:p>
      <w:pPr>
        <w:spacing w:after="0" w:line="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the carrying amount of such assets may not be recoverable. We measure the recoverability of assets to be held and used by a comparison of the carrying amount of long-lived assets to future undiscounted net cash flows expected to be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415290</wp:posOffset>
            </wp:positionV>
            <wp:extent cx="194945" cy="169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39"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If these assets are considered to be impaired, we measure impairment as the amount by which the carrying amount of the assets exceeds the fair value of the assets. We report assets held for sale or disposal at the lower of the carrying amount or fair value less cost to sell.</w:t>
      </w:r>
    </w:p>
    <w:p>
      <w:pPr>
        <w:spacing w:after="0" w:line="46"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We assess asset retirement obligations on a periodic basis and recognize the fair value of a liability for an asset retirement obligation in the period in which it is incurred if a reasonable estimate of fair value can be made. We capitalize associated asset retirement costs as part of the carrying amount of the long-lived asset.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Software</w:t>
      </w:r>
    </w:p>
    <w:p>
      <w:pPr>
        <w:spacing w:after="0" w:line="1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capitalize costs associated with software developed or obtained for internal use when both the preliminary project stage is completed and it is probable the software being developed will be completed and placed in service. Capitalized costs include only (i) external direct costs of materials and services consumed in developing or obtaining internal-use software, (ii) payroll and other related costs for employees who are directly associated with and who devote time to the internal-use software project and (iii) interest costs incurred, when material, while developing internal-use software. We cease capitalization of such costs no later than the point at which the project is substantially complete and ready for its intended purpose.</w:t>
      </w:r>
    </w:p>
    <w:p>
      <w:pPr>
        <w:spacing w:after="0" w:line="47"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unamortized amount of capitalized software totaled $187,673 and $153,842 at December 31, 2020 and 2019, respectively. We amortize software costs using the straight-line method over the expected life of the software, generally 3 to 7 years. Accumulated amortization of capitalized software was $360,579 and $338,449 as of 2020 and 2019, respectively. Such amounts are recorded within other assets in the Consolidated Balance Sheets.</w:t>
      </w:r>
    </w:p>
    <w:p>
      <w:pPr>
        <w:spacing w:after="0" w:line="34"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color w:val="auto"/>
        </w:rPr>
        <w:t>We review the carrying value of software and development costs for impairment in accordance with our policy pertaining to the impairment of long-lived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2"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Goodwill and indefinite-lived intangible assets are not amortized, but are evaluated for impairment annually or more often if indicators of a potential impairment are present. Our annual impairment tests are conducted at the beginning of the fourth quarter. 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6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cost of intangible assets with finite useful lives is amortized on a straight-line basis. Our finite-lived intangible assets consist primarily of certain trademarks, customer-related intangible assets and patents obtained through business acquisitions. The weighted-average amortization period for our finite-lived intangible assets is approximately 32 years, which is primarily driven by recently acquired trademarks. If certain events or changes in operating conditions indicate that the carrying value of these assets, or related asset groups, may not be recoverable, we perform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407670</wp:posOffset>
            </wp:positionV>
            <wp:extent cx="194945" cy="169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39"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impairment assessment and may adjust the remaining useful lives. See </w:t>
      </w:r>
      <w:hyperlink w:anchor="page65">
        <w:r>
          <w:rPr>
            <w:rFonts w:ascii="Arial" w:cs="Arial" w:eastAsia="Arial" w:hAnsi="Arial"/>
            <w:sz w:val="17"/>
            <w:szCs w:val="17"/>
            <w:u w:val="single" w:color="auto"/>
            <w:color w:val="0000FF"/>
          </w:rPr>
          <w:t>Note 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information regarding the results of impairment tests.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106" w:lineRule="exact"/>
        <w:rPr>
          <w:sz w:val="20"/>
          <w:szCs w:val="20"/>
          <w:color w:val="auto"/>
        </w:rPr>
      </w:pPr>
    </w:p>
    <w:p>
      <w:pPr>
        <w:jc w:val="both"/>
        <w:ind w:right="580"/>
        <w:spacing w:after="0" w:line="365" w:lineRule="auto"/>
        <w:rPr>
          <w:sz w:val="20"/>
          <w:szCs w:val="20"/>
          <w:color w:val="auto"/>
        </w:rPr>
      </w:pPr>
      <w:r>
        <w:rPr>
          <w:rFonts w:ascii="Arial" w:cs="Arial" w:eastAsia="Arial" w:hAnsi="Arial"/>
          <w:sz w:val="14"/>
          <w:szCs w:val="14"/>
          <w:color w:val="auto"/>
        </w:rPr>
        <w:t>The financial statements of our foreign entities with functional currencies other than the U.S. dollar are translated into U.S. dollars, with the resulting translation adjustments recorded as a component of other comprehensive income (loss). Assets and liabilities are translated into U.S. dollars using the exchange rates in effect at the balance sheet date, while income and expense items are translated using the average exchange rates during the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2" w:lineRule="exact"/>
        <w:rPr>
          <w:sz w:val="20"/>
          <w:szCs w:val="20"/>
          <w:color w:val="auto"/>
        </w:rPr>
      </w:pPr>
    </w:p>
    <w:p>
      <w:pPr>
        <w:ind w:right="140"/>
        <w:spacing w:after="0" w:line="297" w:lineRule="auto"/>
        <w:rPr>
          <w:rFonts w:ascii="Arial" w:cs="Arial" w:eastAsia="Arial" w:hAnsi="Arial"/>
          <w:sz w:val="17"/>
          <w:szCs w:val="17"/>
          <w:color w:val="auto"/>
        </w:rPr>
      </w:pPr>
      <w:r>
        <w:rPr>
          <w:rFonts w:ascii="Arial" w:cs="Arial" w:eastAsia="Arial" w:hAnsi="Arial"/>
          <w:sz w:val="17"/>
          <w:szCs w:val="17"/>
          <w:color w:val="auto"/>
        </w:rPr>
        <w:t xml:space="preserve">We use derivative instruments principally to offset exposure to market risks arising from changes in commodity prices, foreign currency exchange rates and interest rates. See </w:t>
      </w:r>
      <w:hyperlink w:anchor="page69">
        <w:r>
          <w:rPr>
            <w:rFonts w:ascii="Arial" w:cs="Arial" w:eastAsia="Arial" w:hAnsi="Arial"/>
            <w:sz w:val="17"/>
            <w:szCs w:val="17"/>
            <w:u w:val="single" w:color="auto"/>
            <w:color w:val="0000FF"/>
          </w:rPr>
          <w:t>Note 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information on our risk management strategy and the types of instruments we use.</w:t>
      </w:r>
    </w:p>
    <w:p>
      <w:pPr>
        <w:spacing w:after="0" w:line="36"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Derivative instruments are recognized on the Consolidated Balance Sheets at their fair values. When we become party to a derivative instrument and intend to apply hedge accounting, we designate the instrument for financial reporting purposes as a cash flow or fair value hedge. The accounting for changes in fair value (gains or losses) of a derivative instrument depends on whether we have designated it and it qualified as part of a hedging relationship, as noted below:</w:t>
      </w:r>
    </w:p>
    <w:p>
      <w:pPr>
        <w:spacing w:after="0" w:line="47" w:lineRule="exact"/>
        <w:rPr>
          <w:sz w:val="20"/>
          <w:szCs w:val="20"/>
          <w:color w:val="auto"/>
        </w:rPr>
      </w:pPr>
    </w:p>
    <w:p>
      <w:pPr>
        <w:jc w:val="both"/>
        <w:ind w:left="640" w:right="40" w:hanging="314"/>
        <w:spacing w:after="0" w:line="257"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 cash flow hedge are recorded in accumulated other comprehensive income (“AOCI”) to the extent effective and reclassified into earnings in the same period or periods during which the transaction hedged by that derivative also affects earnings.</w:t>
      </w:r>
    </w:p>
    <w:p>
      <w:pPr>
        <w:spacing w:after="0" w:line="81" w:lineRule="exact"/>
        <w:rPr>
          <w:rFonts w:ascii="Arial" w:cs="Arial" w:eastAsia="Arial" w:hAnsi="Arial"/>
          <w:sz w:val="18"/>
          <w:szCs w:val="18"/>
          <w:color w:val="auto"/>
        </w:rPr>
      </w:pPr>
    </w:p>
    <w:p>
      <w:pPr>
        <w:jc w:val="both"/>
        <w:ind w:left="640" w:right="40" w:hanging="314"/>
        <w:spacing w:after="0" w:line="257"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 fair value hedge, along with the offsetting loss or gain on the hedged asset or liability that is attributable to the risk being hedged, are recorded in earnings, thereby reflecting in earnings the net extent to which the hedge is not effective in achieving offsetting changes in fair value.</w:t>
      </w:r>
    </w:p>
    <w:p>
      <w:pPr>
        <w:spacing w:after="0" w:line="81" w:lineRule="exact"/>
        <w:rPr>
          <w:rFonts w:ascii="Arial" w:cs="Arial" w:eastAsia="Arial" w:hAnsi="Arial"/>
          <w:sz w:val="18"/>
          <w:szCs w:val="18"/>
          <w:color w:val="auto"/>
        </w:rPr>
      </w:pPr>
    </w:p>
    <w:p>
      <w:pPr>
        <w:ind w:left="640" w:hanging="314"/>
        <w:spacing w:after="0" w:line="267"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fair value of a derivative not designated as a hedging instrument are recognized in earnings in cost of sales or SM&amp;A, consistent with the related exposure.</w:t>
      </w:r>
    </w:p>
    <w:p>
      <w:pPr>
        <w:spacing w:after="0" w:line="5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For derivatives designated as hedges, we assess, both at the hedge's inception and on an ongoing basis, whether they are highly effective in offsetting changes in fair values or cash flows of hedged items. The ineffective portion, if any, is recorded directly in earnings. In addition, if we determine that a derivative is not highly effective as a hedge or that it has ceased to be a highly effective hedge, we discontinue hedge accounting prospectively.</w:t>
      </w:r>
    </w:p>
    <w:p>
      <w:pPr>
        <w:spacing w:after="0" w:line="21" w:lineRule="exact"/>
        <w:rPr>
          <w:sz w:val="20"/>
          <w:szCs w:val="20"/>
          <w:color w:val="auto"/>
        </w:rPr>
      </w:pPr>
    </w:p>
    <w:p>
      <w:pPr>
        <w:ind w:right="600"/>
        <w:spacing w:after="0" w:line="267" w:lineRule="auto"/>
        <w:rPr>
          <w:sz w:val="20"/>
          <w:szCs w:val="20"/>
          <w:color w:val="auto"/>
        </w:rPr>
      </w:pPr>
      <w:r>
        <w:rPr>
          <w:rFonts w:ascii="Arial" w:cs="Arial" w:eastAsia="Arial" w:hAnsi="Arial"/>
          <w:sz w:val="18"/>
          <w:szCs w:val="18"/>
          <w:color w:val="auto"/>
        </w:rPr>
        <w:t>We do not hold or issue derivative instruments for trading or speculative purposes and are not a party to any instruments with leverage or prepayment features.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Cash flows related to the derivative instruments we use to manage interest, commodity or other currency exposures are classified as operating activities.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No. 2018-14,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Retirement Benefits—Defined Benefit Plans—General (Topic 715-20): Disclosure Framework—Changes to the Disclosure Requirements for Defined Benefit Plans</w:t>
      </w:r>
      <w:r>
        <w:rPr>
          <w:rFonts w:ascii="Arial" w:cs="Arial" w:eastAsia="Arial" w:hAnsi="Arial"/>
          <w:sz w:val="17"/>
          <w:szCs w:val="17"/>
          <w:color w:val="auto"/>
        </w:rPr>
        <w:t>, which modifies the disclosure requirements for defined benefit pension plans and other post-retirement plans. ASU 2018-14 is effective for annual</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beginning after December 15, 2020, with early adoption permitted. The amendments in this ASU should be applied on a retrospective basis to all periods presented. We elected to early adopt the provisions of this ASU in the fourth quarter of 2019. Adoption of the new standard did not have a material impact on our consolidated financial statements.</w:t>
      </w:r>
    </w:p>
    <w:p>
      <w:pPr>
        <w:spacing w:after="0" w:line="13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This ASU modifies the measurement of expected credit losses of certain financial instruments. ASU 2016-13 is effective for annual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2019 and interim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415290</wp:posOffset>
            </wp:positionV>
            <wp:extent cx="194945" cy="169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jc w:val="center"/>
        <w:ind w:right="-15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330" w:lineRule="auto"/>
        <w:rPr>
          <w:sz w:val="20"/>
          <w:szCs w:val="20"/>
          <w:color w:val="auto"/>
        </w:rPr>
      </w:pPr>
      <w:r>
        <w:rPr>
          <w:rFonts w:ascii="Arial" w:cs="Arial" w:eastAsia="Arial" w:hAnsi="Arial"/>
          <w:sz w:val="16"/>
          <w:szCs w:val="16"/>
          <w:color w:val="auto"/>
        </w:rPr>
        <w:t>periods within those annual periods. The amendments in this ASU should be applied on a modified retrospective basis to all periods presented. We adopted the provisions of this ASU in the first quarter of 2020. Adoption of the new standard did not have a material impact on our consolidated financial statements.</w:t>
      </w:r>
    </w:p>
    <w:p>
      <w:pPr>
        <w:spacing w:after="0" w:line="8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for Fair Value Measurement</w:t>
      </w:r>
      <w:r>
        <w:rPr>
          <w:rFonts w:ascii="Arial" w:cs="Arial" w:eastAsia="Arial" w:hAnsi="Arial"/>
          <w:sz w:val="17"/>
          <w:szCs w:val="17"/>
          <w:color w:val="auto"/>
        </w:rPr>
        <w:t>. This ASU modifies the disclosure requirements for fair value measurements by removing, modifying or adding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adopted the provisions of this ASU in the first quarter of 2020. Adoption of the new standard did not have a material impact on our consolidated financial statements.</w:t>
      </w:r>
    </w:p>
    <w:p>
      <w:pPr>
        <w:spacing w:after="0" w:line="13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Implementation Costs Incurred in a Cloud Computing Arrangement that is a Service Contract</w:t>
      </w:r>
      <w:r>
        <w:rPr>
          <w:rFonts w:ascii="Arial" w:cs="Arial" w:eastAsia="Arial" w:hAnsi="Arial"/>
          <w:sz w:val="16"/>
          <w:szCs w:val="16"/>
          <w:color w:val="auto"/>
        </w:rPr>
        <w:t>. This ASU aligns the requirements for capitalizing</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ASU 2018-15 is effective for annual periods beginning after December 15, 2019 and interim periods within those annual periods, with early adoption permitted. The amendments in this ASU should be applied either retrospectively or prospectively to all implementation costs incurred after the date of adoption. We adopted the provisions of this ASU in the first quarter of 2020 on a prospective basis. Adoption of the new standard did not have a material impact on our consolidated financial statements.</w:t>
      </w:r>
    </w:p>
    <w:p>
      <w:pPr>
        <w:spacing w:after="0" w:line="11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This ASU is intended to simplify various aspects related to accounting for income taxes by removing 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We adopted the provisions of this ASU in the fourth quarter of 2020. Adoption of the new standard did not have a material impact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6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The ASU is intended to provide temporary optional expedients and exceptions to the GAAP guidance on contract modifications and hedge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to ease the financial reporting burdens related to the expected market transition from the London Interbank Offered Rate (LIBOR) and other interbank offered rates to alternative reference rates. Entities may apply this ASU upon issuance through December 31, 2022 on a prospective basis. We are currently evaluating the impact of the new standard on our consolidated financial statements and related disclosures.</w:t>
      </w:r>
    </w:p>
    <w:p>
      <w:pPr>
        <w:spacing w:after="0" w:line="111"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409575</wp:posOffset>
            </wp:positionV>
            <wp:extent cx="194945" cy="169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 AND DIVESTITURES</w:t>
      </w:r>
    </w:p>
    <w:p>
      <w:pPr>
        <w:spacing w:after="0" w:line="17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Acquisitions of businesses are accounted for as purchases and, accordingly, the results of operations of the businesses acquired have been included in the consolidated financial statements since the respective dates of the acquisitions. The purchase price for each acquisition is allocated to the assets acquired and liabilities assumed.</w:t>
      </w:r>
    </w:p>
    <w:p>
      <w:pPr>
        <w:spacing w:after="0" w:line="1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conjunction with acquisitions noted below, we used various valuation techniques to determine fair value of the assets acquired, with the primary techniques being discounted cash flow analysis, relief-from-royalty, a form of the multi-period excess earnings and the with-and-without valuation approaches, which use significant unobservable inputs, or Level 3 inputs, as defined by the fair value hierarchy. Inputs to these valuation approaches require significant judgment including: (i) forecasted sales, growth rates and customer attrition rates, (ii) forecasted operating margins, (iii) royalty rates and discount rates used to present value future cash flows, (iv) the amount of synergies expected from the acquisition, (v) the economic useful life of assets and, (vi) the evaluation of historical tax positions. In certain acquisitions, historical data is limited, therefore, we base our estimates and assumptions on budgets, business plans, economic projections, anticipated future cash flows and marketplace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Activity</w:t>
      </w:r>
    </w:p>
    <w:p>
      <w:pPr>
        <w:spacing w:after="0" w:line="172"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 xml:space="preserve">During the second quarter of 2020, we completed the divestitures of KRAVE Pure Foods, Inc. ("Krave") and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all of which were previously included within the North America segment results in our consolidated financial statements. Total proceeds from the divestitures and the impact on our Consolidated Statements of Income, both individually and on an aggregate basis, were immaterial.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Activity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ONE Brands, LLC</w:t>
      </w:r>
    </w:p>
    <w:p>
      <w:pPr>
        <w:spacing w:after="0" w:line="10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On September 23, 2019, we completed the acquisition of ONE Brands, LLC ("ONE Brands"), previously a privately held company that sells a line of low-sugar, high-protein nutrition bars to retailers and distributors in the United States, with the </w:t>
      </w:r>
      <w:r>
        <w:rPr>
          <w:rFonts w:ascii="Arial" w:cs="Arial" w:eastAsia="Arial" w:hAnsi="Arial"/>
          <w:sz w:val="18"/>
          <w:szCs w:val="18"/>
          <w:i w:val="1"/>
          <w:iCs w:val="1"/>
          <w:color w:val="auto"/>
        </w:rPr>
        <w:t>ONE Bar</w:t>
      </w:r>
      <w:r>
        <w:rPr>
          <w:rFonts w:ascii="Arial" w:cs="Arial" w:eastAsia="Arial" w:hAnsi="Arial"/>
          <w:sz w:val="18"/>
          <w:szCs w:val="18"/>
          <w:color w:val="auto"/>
        </w:rPr>
        <w:t xml:space="preserve"> as its primary product. The purchase consideration for ONE Brands totaled $402,160 and consisted of cash on hand and short-term borrowings. Acquisition-related costs for the ONE Brands acquisition were immaterial.</w:t>
      </w:r>
    </w:p>
    <w:p>
      <w:pPr>
        <w:spacing w:after="0" w:line="220"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The acquisition has been accounted for as a purchase and, accordingly, ONE Brands' results of operations have been included within the North America segment results in our consolidated financial statements since the date of acquisition. The purchase consideration was allocated to assets acquired and liabilities assumed based on their respective fair values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180,065</w:t>
            </w:r>
          </w:p>
        </w:tc>
      </w:tr>
      <w:tr>
        <w:trPr>
          <w:trHeight w:val="226"/>
        </w:trPr>
        <w:tc>
          <w:tcPr>
            <w:tcW w:w="89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206,800</w:t>
            </w:r>
          </w:p>
        </w:tc>
      </w:t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acquired, primarily current assets</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25,435</w:t>
            </w:r>
          </w:p>
        </w:tc>
      </w:tr>
      <w:tr>
        <w:trPr>
          <w:trHeight w:val="226"/>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 assumed, primarily current liabilities</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w:t>
            </w:r>
          </w:p>
        </w:tc>
      </w:tr>
      <w:tr>
        <w:trPr>
          <w:trHeight w:val="246"/>
        </w:trPr>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assets acquired</w:t>
            </w:r>
          </w:p>
        </w:tc>
        <w:tc>
          <w:tcPr>
            <w:tcW w:w="86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402,160</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purchase price allocation presented above has been finalized as of the first quarter of 2020 and includes an immaterial amount of measurement period adjustments. The measurement period adjustments to the initial allocation were based on more detailed information obtained about the specific assets acquired and liabilities assumed.</w:t>
      </w:r>
    </w:p>
    <w:p>
      <w:pPr>
        <w:spacing w:after="0" w:line="215"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supply chain capabilities and retail relationships to accelerate growth and access to the portfolio of ONE Brands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708660</wp:posOffset>
            </wp:positionV>
            <wp:extent cx="194945" cy="169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Other intangible assets include trademarks valued at $144,900, customer relationships valued at $58,800 and covenants not to compete valued at $3,100. Trademarks were assigned an estimated useful life of 33 years, customer relationships were assigned estimated useful lives ranging from 17 to 19 years and covenants not to compete were assigned an estimated useful life of 4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Activity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Pirate Brands</w:t>
      </w:r>
    </w:p>
    <w:p>
      <w:pPr>
        <w:spacing w:after="0" w:line="8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On October 17, 2018, we completed the acquisition of Pirate Brands, which includes the </w:t>
      </w:r>
      <w:r>
        <w:rPr>
          <w:rFonts w:ascii="Arial" w:cs="Arial" w:eastAsia="Arial" w:hAnsi="Arial"/>
          <w:sz w:val="18"/>
          <w:szCs w:val="18"/>
          <w:i w:val="1"/>
          <w:iCs w:val="1"/>
          <w:color w:val="auto"/>
        </w:rPr>
        <w:t>Pirate's Booty</w:t>
      </w:r>
      <w:r>
        <w:rPr>
          <w:rFonts w:ascii="Arial" w:cs="Arial" w:eastAsia="Arial" w:hAnsi="Arial"/>
          <w:sz w:val="18"/>
          <w:szCs w:val="18"/>
          <w:color w:val="auto"/>
        </w:rPr>
        <w:t xml:space="preserve">, </w:t>
      </w:r>
      <w:r>
        <w:rPr>
          <w:rFonts w:ascii="Arial" w:cs="Arial" w:eastAsia="Arial" w:hAnsi="Arial"/>
          <w:sz w:val="18"/>
          <w:szCs w:val="18"/>
          <w:i w:val="1"/>
          <w:iCs w:val="1"/>
          <w:color w:val="auto"/>
        </w:rPr>
        <w:t>Smart Puffs</w:t>
      </w:r>
      <w:r>
        <w:rPr>
          <w:rFonts w:ascii="Arial" w:cs="Arial" w:eastAsia="Arial" w:hAnsi="Arial"/>
          <w:sz w:val="18"/>
          <w:szCs w:val="18"/>
          <w:color w:val="auto"/>
        </w:rPr>
        <w:t xml:space="preserve"> and </w:t>
      </w:r>
      <w:r>
        <w:rPr>
          <w:rFonts w:ascii="Arial" w:cs="Arial" w:eastAsia="Arial" w:hAnsi="Arial"/>
          <w:sz w:val="18"/>
          <w:szCs w:val="18"/>
          <w:i w:val="1"/>
          <w:iCs w:val="1"/>
          <w:color w:val="auto"/>
        </w:rPr>
        <w:t>Original Tings</w:t>
      </w:r>
      <w:r>
        <w:rPr>
          <w:rFonts w:ascii="Arial" w:cs="Arial" w:eastAsia="Arial" w:hAnsi="Arial"/>
          <w:sz w:val="18"/>
          <w:szCs w:val="18"/>
          <w:color w:val="auto"/>
        </w:rPr>
        <w:t xml:space="preserve"> brands, from B&amp;G Foods, Inc. Pirate Brands offers baked, trans fat free and gluten free snacks and is available in a wide range of food distribution channels in the United States. The purchase consideration for Pirate Brands totaled $423,002 and consisted of short-term borrowings and cash on hand. Acquisition-related costs for the Pirate Brands acquisition were immaterial.</w:t>
      </w:r>
    </w:p>
    <w:p>
      <w:pPr>
        <w:spacing w:after="0" w:line="2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acquisition has been accounted for as a purchase and, accordingly, Pirate Brands' results of operations have been included within the North America segment results in our consolidated financial statements since the date of acquisition. The purchase price allocation presented below has been finalized as of the end of the fourth quarter of 2018. The purchase consideration was allocated to assets acquired and liabilities assumed based on their respective fair values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86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r>
      <w:tr>
        <w:trPr>
          <w:trHeight w:val="226"/>
        </w:trPr>
        <w:tc>
          <w:tcPr>
            <w:tcW w:w="89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129,991</w:t>
            </w:r>
          </w:p>
        </w:tc>
      </w:tr>
      <w:tr>
        <w:trPr>
          <w:trHeight w:val="226"/>
        </w:trPr>
        <w:tc>
          <w:tcPr>
            <w:tcW w:w="89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289,300</w:t>
            </w:r>
          </w:p>
        </w:tc>
      </w:t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1"/>
        </w:trPr>
        <w:tc>
          <w:tcPr>
            <w:tcW w:w="8980" w:type="dxa"/>
            <w:vAlign w:val="bottom"/>
          </w:tcPr>
          <w:p>
            <w:pPr>
              <w:ind w:left="340"/>
              <w:spacing w:after="0"/>
              <w:rPr>
                <w:sz w:val="20"/>
                <w:szCs w:val="20"/>
                <w:color w:val="auto"/>
              </w:rPr>
            </w:pPr>
            <w:r>
              <w:rPr>
                <w:rFonts w:ascii="Arial" w:cs="Arial" w:eastAsia="Arial" w:hAnsi="Arial"/>
                <w:sz w:val="18"/>
                <w:szCs w:val="18"/>
                <w:color w:val="auto"/>
              </w:rPr>
              <w:t>Net assets acquired</w:t>
            </w:r>
          </w:p>
        </w:tc>
        <w:tc>
          <w:tcPr>
            <w:tcW w:w="86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423,002</w:t>
            </w:r>
          </w:p>
        </w:tc>
      </w:tr>
      <w:tr>
        <w:trPr>
          <w:trHeight w:val="20"/>
        </w:trPr>
        <w:tc>
          <w:tcPr>
            <w:tcW w:w="8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the Company's resources to expand the distribution locations and customer base for the Pirate Brands' products.</w:t>
      </w:r>
    </w:p>
    <w:p>
      <w:pPr>
        <w:spacing w:after="0" w:line="215"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Other intangible assets includes trademarks valued at $272,000 and customer relationships valued at $17,300. Trademarks were assigned estimated useful lives of 45 years and customer relationships were assigned estimated useful lives ranging from 16 to 18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561975</wp:posOffset>
            </wp:positionV>
            <wp:extent cx="194945" cy="169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Amplify Snack Brands, Inc.</w:t>
      </w:r>
    </w:p>
    <w:p>
      <w:pPr>
        <w:spacing w:after="0" w:line="246"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 xml:space="preserve">On January 31, 2018, we completed the acquisition of all of the outstanding shares of Amplify Snack Brands, Inc. (“Amplify”), previously a publicly traded company based in Austin, Texas that owns several popular better-for-you snack brands such as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w:t>
      </w:r>
      <w:r>
        <w:rPr>
          <w:rFonts w:ascii="Arial" w:cs="Arial" w:eastAsia="Arial" w:hAnsi="Arial"/>
          <w:sz w:val="17"/>
          <w:szCs w:val="17"/>
          <w:i w:val="1"/>
          <w:iCs w:val="1"/>
          <w:color w:val="auto"/>
        </w:rPr>
        <w:t>Oatmega</w:t>
      </w:r>
      <w:r>
        <w:rPr>
          <w:rFonts w:ascii="Arial" w:cs="Arial" w:eastAsia="Arial" w:hAnsi="Arial"/>
          <w:sz w:val="17"/>
          <w:szCs w:val="17"/>
          <w:color w:val="auto"/>
        </w:rPr>
        <w:t xml:space="preserve"> and </w:t>
      </w:r>
      <w:r>
        <w:rPr>
          <w:rFonts w:ascii="Arial" w:cs="Arial" w:eastAsia="Arial" w:hAnsi="Arial"/>
          <w:sz w:val="17"/>
          <w:szCs w:val="17"/>
          <w:i w:val="1"/>
          <w:iCs w:val="1"/>
          <w:color w:val="auto"/>
        </w:rPr>
        <w:t>Paqui</w:t>
      </w:r>
      <w:r>
        <w:rPr>
          <w:rFonts w:ascii="Arial" w:cs="Arial" w:eastAsia="Arial" w:hAnsi="Arial"/>
          <w:sz w:val="17"/>
          <w:szCs w:val="17"/>
          <w:color w:val="auto"/>
        </w:rPr>
        <w:t xml:space="preserve">. Amplify's anchor brand, </w:t>
      </w:r>
      <w:r>
        <w:rPr>
          <w:rFonts w:ascii="Arial" w:cs="Arial" w:eastAsia="Arial" w:hAnsi="Arial"/>
          <w:sz w:val="17"/>
          <w:szCs w:val="17"/>
          <w:i w:val="1"/>
          <w:iCs w:val="1"/>
          <w:color w:val="auto"/>
        </w:rPr>
        <w:t>SkinnyPop</w:t>
      </w:r>
      <w:r>
        <w:rPr>
          <w:rFonts w:ascii="Arial" w:cs="Arial" w:eastAsia="Arial" w:hAnsi="Arial"/>
          <w:sz w:val="17"/>
          <w:szCs w:val="17"/>
          <w:color w:val="auto"/>
        </w:rPr>
        <w:t>, is a market-leading ready-to-eat popcorn brand and is available in a wide range of food distribution channels in the United States.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$968,781 included payment of $12.00 per share for Amplify's outstanding common stock (for a total of $907,766), as well as payment of Amplify's transaction-related expenses, including accelerated equity compensation, consultant fees and other deal costs. The business enables us to capture more consumer snacking occasions by contributing a new portfolio of brands.</w:t>
      </w:r>
    </w:p>
    <w:p>
      <w:pPr>
        <w:spacing w:after="0" w:line="2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acquisition has been accounted for as a purchase and, accordingly, Amplify's results of operations have been included within the North America segment results in our consolidated financial statements since the date of acquisition. The purchase price allocation presented below has been finalized as of the end of the fourth quarter of 2018. The purchase consideration, net of cash acquired totaling $53,324, was allocated to assets acquired and liabilities assumed based on their respective fair values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40,763</w:t>
            </w:r>
          </w:p>
        </w:tc>
      </w:tr>
      <w:tr>
        <w:trPr>
          <w:trHeight w:val="226"/>
        </w:trPr>
        <w:tc>
          <w:tcPr>
            <w:tcW w:w="89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34,593</w:t>
            </w:r>
          </w:p>
        </w:tc>
      </w:t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67,989</w:t>
            </w:r>
          </w:p>
        </w:tc>
      </w:tr>
      <w:tr>
        <w:trPr>
          <w:trHeight w:val="226"/>
        </w:trPr>
        <w:tc>
          <w:tcPr>
            <w:tcW w:w="8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966,389</w:t>
            </w:r>
          </w:p>
        </w:tc>
      </w:t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682,000</w:t>
            </w:r>
          </w:p>
        </w:tc>
      </w:tr>
      <w:tr>
        <w:trPr>
          <w:trHeight w:val="226"/>
        </w:trPr>
        <w:tc>
          <w:tcPr>
            <w:tcW w:w="89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(32,394)</w:t>
            </w:r>
          </w:p>
        </w:tc>
      </w:tr>
      <w:tr>
        <w:trPr>
          <w:trHeight w:val="226"/>
        </w:trPr>
        <w:tc>
          <w:tcPr>
            <w:tcW w:w="89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(132,519)</w:t>
            </w:r>
          </w:p>
        </w:tc>
      </w:t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debt</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(610,844)</w:t>
            </w:r>
          </w:p>
        </w:tc>
      </w:tr>
      <w:tr>
        <w:trPr>
          <w:trHeight w:val="226"/>
        </w:trPr>
        <w:tc>
          <w:tcPr>
            <w:tcW w:w="89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deferred income taxes</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(93,489)</w:t>
            </w:r>
          </w:p>
        </w:tc>
      </w:tr>
      <w:tr>
        <w:trPr>
          <w:trHeight w:val="226"/>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w:t>
            </w:r>
          </w:p>
        </w:tc>
      </w:tr>
      <w:tr>
        <w:trPr>
          <w:trHeight w:val="246"/>
        </w:trPr>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915,457</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In connection with the acquisition, the Company agreed to pay in full all outstanding debt owed by Amplify under its existing credit agreement as of January 31, 2018, as well as the amount due under Amplify's existing tax receivable obligation. The Company funded the acquisition and repayment of the acquired debt utilizing proceeds from the issuance of commercial paper.</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and is not expected to be deductible for tax purposes. The goodwill that resulted from the acquisition is attributable primarily to cost-reduction synergies as Amplify leverages Hershey's resources, expertise and capability-building.</w:t>
      </w:r>
    </w:p>
    <w:p>
      <w:pPr>
        <w:spacing w:after="0" w:line="215" w:lineRule="exact"/>
        <w:rPr>
          <w:sz w:val="20"/>
          <w:szCs w:val="20"/>
          <w:color w:val="auto"/>
        </w:rPr>
      </w:pPr>
    </w:p>
    <w:p>
      <w:pPr>
        <w:ind w:right="300"/>
        <w:spacing w:after="0" w:line="297" w:lineRule="auto"/>
        <w:rPr>
          <w:sz w:val="20"/>
          <w:szCs w:val="20"/>
          <w:color w:val="auto"/>
        </w:rPr>
      </w:pPr>
      <w:r>
        <w:rPr>
          <w:rFonts w:ascii="Arial" w:cs="Arial" w:eastAsia="Arial" w:hAnsi="Arial"/>
          <w:sz w:val="17"/>
          <w:szCs w:val="17"/>
          <w:color w:val="auto"/>
        </w:rPr>
        <w:t>Other intangible assets includes trademarks valued at $648,000 and customer relationships valued at $34,000. Trademarks were assigned estimated useful lives ranging from 28 to 38 years and customer relationships were assigned estimated useful lives ranging from 14 to 18 years.</w:t>
      </w:r>
    </w:p>
    <w:p>
      <w:pPr>
        <w:spacing w:after="0" w:line="1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incurred acquisition-related costs of $20,577 related to the acquisition of Amplify, the majority of which were incurred during the first quarter of 2018. Acquisition-related costs consisted primarily of legal fees, consultant fees, valuation fees and other deal costs and are recorded in the selling, marketing and administrative expense caption within the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575945</wp:posOffset>
            </wp:positionV>
            <wp:extent cx="194945" cy="169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b w:val="1"/>
                <w:bCs w:val="1"/>
                <w:color w:val="auto"/>
              </w:rPr>
              <w:t>3. GOODWILL AND INTANGIBLE ASSETS</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820" w:type="dxa"/>
            <w:vAlign w:val="bottom"/>
            <w:gridSpan w:val="8"/>
          </w:tcPr>
          <w:p>
            <w:pPr>
              <w:spacing w:after="0"/>
              <w:rPr>
                <w:sz w:val="20"/>
                <w:szCs w:val="20"/>
                <w:color w:val="auto"/>
              </w:rPr>
            </w:pPr>
            <w:r>
              <w:rPr>
                <w:rFonts w:ascii="Arial" w:cs="Arial" w:eastAsia="Arial" w:hAnsi="Arial"/>
                <w:sz w:val="18"/>
                <w:szCs w:val="18"/>
                <w:color w:val="auto"/>
                <w:w w:val="91"/>
              </w:rPr>
              <w:t>The changes in the carrying value of goodwill by reportable segment for the years ended December 31, 2020 and 2019 are as follows: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North America</w:t>
            </w:r>
          </w:p>
        </w:tc>
        <w:tc>
          <w:tcPr>
            <w:tcW w:w="200" w:type="dxa"/>
            <w:vAlign w:val="bottom"/>
          </w:tcPr>
          <w:p>
            <w:pPr>
              <w:spacing w:after="0"/>
              <w:rPr>
                <w:sz w:val="24"/>
                <w:szCs w:val="24"/>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International and</w:t>
            </w:r>
          </w:p>
        </w:tc>
        <w:tc>
          <w:tcPr>
            <w:tcW w:w="480" w:type="dxa"/>
            <w:vAlign w:val="bottom"/>
          </w:tcPr>
          <w:p>
            <w:pPr>
              <w:spacing w:after="0"/>
              <w:rPr>
                <w:sz w:val="24"/>
                <w:szCs w:val="24"/>
                <w:color w:val="auto"/>
              </w:rPr>
            </w:pPr>
          </w:p>
        </w:tc>
        <w:tc>
          <w:tcPr>
            <w:tcW w:w="1420" w:type="dxa"/>
            <w:vAlign w:val="bottom"/>
            <w:vMerge w:val="restart"/>
          </w:tcPr>
          <w:p>
            <w:pPr>
              <w:jc w:val="right"/>
              <w:ind w:right="67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7"/>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48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1,787,818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375,633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2,163,451</w:t>
            </w:r>
          </w:p>
        </w:tc>
        <w:tc>
          <w:tcPr>
            <w:tcW w:w="0" w:type="dxa"/>
            <w:vAlign w:val="bottom"/>
          </w:tcPr>
          <w:p>
            <w:pPr>
              <w:spacing w:after="0"/>
              <w:rPr>
                <w:sz w:val="1"/>
                <w:szCs w:val="1"/>
                <w:color w:val="auto"/>
              </w:rPr>
            </w:pPr>
          </w:p>
        </w:tc>
      </w:tr>
      <w:tr>
        <w:trPr>
          <w:trHeight w:val="226"/>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loss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(357,375)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(362,348)</w:t>
            </w:r>
          </w:p>
        </w:tc>
        <w:tc>
          <w:tcPr>
            <w:tcW w:w="0" w:type="dxa"/>
            <w:vAlign w:val="bottom"/>
          </w:tcPr>
          <w:p>
            <w:pPr>
              <w:spacing w:after="0"/>
              <w:rPr>
                <w:sz w:val="1"/>
                <w:szCs w:val="1"/>
                <w:color w:val="auto"/>
              </w:rPr>
            </w:pPr>
          </w:p>
        </w:tc>
      </w:tr>
      <w:tr>
        <w:trPr>
          <w:trHeight w:val="221"/>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1,801,103</w:t>
            </w:r>
          </w:p>
        </w:tc>
        <w:tc>
          <w:tcPr>
            <w:tcW w:w="0" w:type="dxa"/>
            <w:vAlign w:val="bottom"/>
          </w:tcPr>
          <w:p>
            <w:pPr>
              <w:spacing w:after="0"/>
              <w:rPr>
                <w:sz w:val="1"/>
                <w:szCs w:val="1"/>
                <w:color w:val="auto"/>
              </w:rPr>
            </w:pPr>
          </w:p>
        </w:tc>
      </w:tr>
      <w:tr>
        <w:trPr>
          <w:trHeight w:val="226"/>
        </w:trPr>
        <w:tc>
          <w:tcPr>
            <w:tcW w:w="5360" w:type="dxa"/>
            <w:vAlign w:val="bottom"/>
          </w:tcPr>
          <w:p>
            <w:pPr>
              <w:ind w:left="20"/>
              <w:spacing w:after="0"/>
              <w:rPr>
                <w:sz w:val="20"/>
                <w:szCs w:val="20"/>
                <w:color w:val="auto"/>
              </w:rPr>
            </w:pPr>
            <w:r>
              <w:rPr>
                <w:rFonts w:ascii="Arial" w:cs="Arial" w:eastAsia="Arial" w:hAnsi="Arial"/>
                <w:sz w:val="18"/>
                <w:szCs w:val="18"/>
                <w:color w:val="auto"/>
              </w:rPr>
              <w:t>Acquired during the period</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178,179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178,179</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6"/>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21"/>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1,967,466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1,985,955</w:t>
            </w:r>
          </w:p>
        </w:tc>
        <w:tc>
          <w:tcPr>
            <w:tcW w:w="0" w:type="dxa"/>
            <w:vAlign w:val="bottom"/>
          </w:tcPr>
          <w:p>
            <w:pPr>
              <w:spacing w:after="0"/>
              <w:rPr>
                <w:sz w:val="1"/>
                <w:szCs w:val="1"/>
                <w:color w:val="auto"/>
              </w:rPr>
            </w:pPr>
          </w:p>
        </w:tc>
      </w:tr>
      <w:tr>
        <w:trPr>
          <w:trHeight w:val="226"/>
        </w:trPr>
        <w:tc>
          <w:tcPr>
            <w:tcW w:w="5360" w:type="dxa"/>
            <w:vAlign w:val="bottom"/>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Measurement period adjustments (see </w:t>
            </w:r>
            <w:hyperlink w:anchor="page62">
              <w:r>
                <w:rPr>
                  <w:rFonts w:ascii="Arial" w:cs="Arial" w:eastAsia="Arial" w:hAnsi="Arial"/>
                  <w:sz w:val="18"/>
                  <w:szCs w:val="18"/>
                  <w:u w:val="single" w:color="auto"/>
                  <w:color w:val="0000FF"/>
                </w:rPr>
                <w:t>Note 2</w:t>
              </w:r>
            </w:hyperlink>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1"/>
        </w:trPr>
        <w:tc>
          <w:tcPr>
            <w:tcW w:w="53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1,970,445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1,988,215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We had no goodwill impairment charges in 2020, 2019 or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0"/>
                <w:szCs w:val="20"/>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1320" w:type="dxa"/>
            <w:vAlign w:val="bottom"/>
          </w:tcPr>
          <w:p>
            <w:pPr>
              <w:spacing w:after="0"/>
              <w:rPr>
                <w:sz w:val="20"/>
                <w:szCs w:val="20"/>
                <w:color w:val="auto"/>
              </w:rPr>
            </w:pPr>
          </w:p>
        </w:tc>
      </w:tr>
      <w:tr>
        <w:trPr>
          <w:trHeight w:val="167"/>
        </w:trPr>
        <w:tc>
          <w:tcPr>
            <w:tcW w:w="4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71"/>
              <w:spacing w:after="0" w:line="167" w:lineRule="exact"/>
              <w:rPr>
                <w:sz w:val="20"/>
                <w:szCs w:val="20"/>
                <w:color w:val="auto"/>
              </w:rPr>
            </w:pPr>
            <w:r>
              <w:rPr>
                <w:rFonts w:ascii="Arial" w:cs="Arial" w:eastAsia="Arial" w:hAnsi="Arial"/>
                <w:sz w:val="18"/>
                <w:szCs w:val="18"/>
                <w:b w:val="1"/>
                <w:bCs w:val="1"/>
                <w:color w:val="auto"/>
                <w:w w:val="91"/>
              </w:rPr>
              <w:t>Gross Carrying</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51"/>
              <w:spacing w:after="0" w:line="167" w:lineRule="exact"/>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71"/>
              <w:spacing w:after="0" w:line="167" w:lineRule="exact"/>
              <w:rPr>
                <w:sz w:val="20"/>
                <w:szCs w:val="20"/>
                <w:color w:val="auto"/>
              </w:rPr>
            </w:pPr>
            <w:r>
              <w:rPr>
                <w:rFonts w:ascii="Arial" w:cs="Arial" w:eastAsia="Arial" w:hAnsi="Arial"/>
                <w:sz w:val="18"/>
                <w:szCs w:val="18"/>
                <w:b w:val="1"/>
                <w:bCs w:val="1"/>
                <w:color w:val="auto"/>
                <w:w w:val="91"/>
              </w:rPr>
              <w:t>Gross Carrying</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51"/>
              <w:spacing w:after="0" w:line="167" w:lineRule="exact"/>
              <w:rPr>
                <w:sz w:val="20"/>
                <w:szCs w:val="20"/>
                <w:color w:val="auto"/>
              </w:rPr>
            </w:pPr>
            <w:r>
              <w:rPr>
                <w:rFonts w:ascii="Arial" w:cs="Arial" w:eastAsia="Arial" w:hAnsi="Arial"/>
                <w:sz w:val="18"/>
                <w:szCs w:val="18"/>
                <w:b w:val="1"/>
                <w:bCs w:val="1"/>
                <w:color w:val="auto"/>
                <w:w w:val="93"/>
              </w:rPr>
              <w:t>Accumulated</w:t>
            </w:r>
          </w:p>
        </w:tc>
      </w:tr>
      <w:tr>
        <w:trPr>
          <w:trHeight w:val="227"/>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351"/>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19"/>
                <w:szCs w:val="19"/>
                <w:color w:val="auto"/>
              </w:rPr>
            </w:pPr>
          </w:p>
        </w:tc>
        <w:tc>
          <w:tcPr>
            <w:tcW w:w="1380" w:type="dxa"/>
            <w:vAlign w:val="bottom"/>
          </w:tcPr>
          <w:p>
            <w:pPr>
              <w:jc w:val="right"/>
              <w:ind w:right="351"/>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b w:val="1"/>
                <w:bCs w:val="1"/>
                <w:color w:val="auto"/>
                <w:w w:val="96"/>
              </w:rPr>
              <w:t>Amortization</w:t>
            </w:r>
          </w:p>
        </w:tc>
      </w:tr>
      <w:tr>
        <w:trPr>
          <w:trHeight w:val="207"/>
        </w:trPr>
        <w:tc>
          <w:tcPr>
            <w:tcW w:w="4860" w:type="dxa"/>
            <w:vAlign w:val="bottom"/>
            <w:tcBorders>
              <w:top w:val="single" w:sz="8" w:color="CCEEFF"/>
            </w:tcBorders>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Intangible assets subject to amortization:</w:t>
            </w: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26"/>
        </w:trPr>
        <w:tc>
          <w:tcPr>
            <w:tcW w:w="4860" w:type="dxa"/>
            <w:vAlign w:val="bottom"/>
            <w:gridSpan w:val="2"/>
          </w:tcPr>
          <w:p>
            <w:pPr>
              <w:ind w:left="340"/>
              <w:spacing w:after="0"/>
              <w:rPr>
                <w:sz w:val="20"/>
                <w:szCs w:val="20"/>
                <w:color w:val="auto"/>
              </w:rPr>
            </w:pPr>
            <w:r>
              <w:rPr>
                <w:rFonts w:ascii="Arial" w:cs="Arial" w:eastAsia="Arial" w:hAnsi="Arial"/>
                <w:sz w:val="18"/>
                <w:szCs w:val="18"/>
                <w:color w:val="auto"/>
              </w:rPr>
              <w:t>Trademarks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1,211,086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(104,939)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1,212,172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(73,262)</w:t>
            </w:r>
          </w:p>
        </w:tc>
      </w:tr>
      <w:tr>
        <w:trPr>
          <w:trHeight w:val="227"/>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Customer-related</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(40,544)</w:t>
            </w:r>
          </w:p>
        </w:tc>
      </w:tr>
      <w:tr>
        <w:trPr>
          <w:trHeight w:val="226"/>
        </w:trPr>
        <w:tc>
          <w:tcPr>
            <w:tcW w:w="4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Patents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(16,525)</w:t>
            </w:r>
          </w:p>
        </w:tc>
      </w:tr>
      <w:tr>
        <w:trPr>
          <w:trHeight w:val="221"/>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(130,331)</w:t>
            </w:r>
          </w:p>
        </w:tc>
      </w:tr>
      <w:tr>
        <w:trPr>
          <w:trHeight w:val="267"/>
        </w:trPr>
        <w:tc>
          <w:tcPr>
            <w:tcW w:w="4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6"/>
        </w:trPr>
        <w:tc>
          <w:tcPr>
            <w:tcW w:w="4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Trademarks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r>
      <w:tr>
        <w:trPr>
          <w:trHeight w:val="246"/>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1,295,214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1,341,166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0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2019, sales and operating performance associated with our Krave business were below expectations. In the fourth quarter of 2019, as part of a strategic review initiated by our leadership team, we updated our strategic forecast which projected under performance related to the Krave business primarily due to mainstream brands driving category volume and an increase in the overall competitive landscape. We deemed this to be a triggering event requiring us to test our Krave long-lived asset group for impairment. Based on our assessment, we determined that the carrying value was not recoverable and calculated an impairment loss as the excess of the asset group's carrying value over its fair value. Therefore, as a result of this testing, during the fourth quarter of 2019, we recorded an impairment charge totaling $100,131 to write down the long-lived asset group, which predominantly consisted of customer relationship and trademark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581025</wp:posOffset>
            </wp:positionV>
            <wp:extent cx="194945" cy="169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center"/>
        <w:ind w:right="-17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the years ended December 31, 2020, 2019 and 2018 was $46,472, $46,690 and $38,555,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next five years, based on current intangible asset balances, is estimated to be as follows:</w:t>
      </w:r>
    </w:p>
    <w:p>
      <w:pPr>
        <w:spacing w:after="0" w:line="120"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2025</w:t>
            </w:r>
          </w:p>
        </w:tc>
      </w:tr>
      <w:tr>
        <w:trPr>
          <w:trHeight w:val="221"/>
        </w:trPr>
        <w:tc>
          <w:tcPr>
            <w:tcW w:w="3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Amortization expense</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45,540</w:t>
            </w: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06"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$1.5 billion unsecured revolving credit facility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unsecured committed revolving credit agreement contains a financial covenant whereby the ratio of (a) pre-tax income from operations from the most recent four fiscal quarters to (b) consolidated interest expense for the most recent four fiscal quarters may not be less than 2.0 to 1.0 at the end of each fiscal quarter. The credit agreement also contains customary representations, warranties and events of default. Payment of outstanding advances may be accelerated, at the option of the lenders, should we default in our obligation under the credit agreement. As of December 31, 2020, we are in compliance with all affirmative and negative covenants and the financial covenant pertaining to our credit agreement. There were no significant compensating balance agreements that legally restricted these funds.</w:t>
      </w:r>
    </w:p>
    <w:p>
      <w:pPr>
        <w:spacing w:after="0" w:line="141"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In addition to the revolving credit facility, we maintain lines of credit with domestic and international commercial banks. Our credit limit in various currencies was $266,935 at December 31, 2020 and $390,299 at December 31, 2019. These lines permit us to borrow at the respective banks’ prime commercial interest rates, or lower. We had short-term foreign bank loans against these lines of credit for $74,041 at December 31, 2020 and $32,282 at December 31, 2019. Commitment fees relating to our revolving credit facility and lines of credit are not material.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and 2019, we had no outstanding commercial paper.</w:t>
      </w:r>
    </w:p>
    <w:p>
      <w:pPr>
        <w:spacing w:after="0" w:line="166" w:lineRule="exact"/>
        <w:rPr>
          <w:sz w:val="20"/>
          <w:szCs w:val="20"/>
          <w:color w:val="auto"/>
        </w:rPr>
      </w:pPr>
    </w:p>
    <w:p>
      <w:pPr>
        <w:ind w:right="480"/>
        <w:spacing w:after="0" w:line="297" w:lineRule="auto"/>
        <w:rPr>
          <w:sz w:val="20"/>
          <w:szCs w:val="20"/>
          <w:color w:val="auto"/>
        </w:rPr>
      </w:pPr>
      <w:r>
        <w:rPr>
          <w:rFonts w:ascii="Arial" w:cs="Arial" w:eastAsia="Arial" w:hAnsi="Arial"/>
          <w:sz w:val="17"/>
          <w:szCs w:val="17"/>
          <w:color w:val="auto"/>
        </w:rPr>
        <w:t>The maximum amount of short-term borrowings outstanding during 2020 and 2019 was $944,944 and $1,275,430, respectively. The weighted-average interest rate on short-term borrowings outstanding was 1.2% as of December 31, 2020 and 2.4%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394335</wp:posOffset>
            </wp:positionV>
            <wp:extent cx="194945" cy="169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7" w:name="page68"/>
    <w:bookmarkEnd w:id="67"/>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6"/>
          </w:tcPr>
          <w:p>
            <w:pPr>
              <w:ind w:left="20"/>
              <w:spacing w:after="0"/>
              <w:rPr>
                <w:sz w:val="20"/>
                <w:szCs w:val="20"/>
                <w:color w:val="auto"/>
              </w:rPr>
            </w:pPr>
            <w:r>
              <w:rPr>
                <w:rFonts w:ascii="Arial" w:cs="Arial" w:eastAsia="Arial" w:hAnsi="Arial"/>
                <w:sz w:val="18"/>
                <w:szCs w:val="18"/>
                <w:b w:val="1"/>
                <w:bCs w:val="1"/>
                <w:color w:val="auto"/>
              </w:rPr>
              <w:t>Long-term Debt</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680" w:type="dxa"/>
            <w:vAlign w:val="bottom"/>
            <w:gridSpan w:val="6"/>
          </w:tcPr>
          <w:p>
            <w:pPr>
              <w:ind w:left="20"/>
              <w:spacing w:after="0"/>
              <w:rPr>
                <w:sz w:val="20"/>
                <w:szCs w:val="20"/>
                <w:color w:val="auto"/>
              </w:rPr>
            </w:pPr>
            <w:r>
              <w:rPr>
                <w:rFonts w:ascii="Arial" w:cs="Arial" w:eastAsia="Arial" w:hAnsi="Arial"/>
                <w:sz w:val="18"/>
                <w:szCs w:val="18"/>
                <w:color w:val="auto"/>
              </w:rPr>
              <w:t>Long-term debt consisted of the following:</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680" w:type="dxa"/>
            <w:vAlign w:val="bottom"/>
            <w:gridSpan w:val="6"/>
          </w:tcPr>
          <w:p>
            <w:pPr>
              <w:spacing w:after="0"/>
              <w:rPr>
                <w:sz w:val="20"/>
                <w:szCs w:val="20"/>
                <w:color w:val="auto"/>
              </w:rPr>
            </w:pPr>
            <w:r>
              <w:rPr>
                <w:rFonts w:ascii="Arial" w:cs="Arial" w:eastAsia="Arial" w:hAnsi="Arial"/>
                <w:sz w:val="18"/>
                <w:szCs w:val="18"/>
                <w:b w:val="1"/>
                <w:bCs w:val="1"/>
                <w:color w:val="auto"/>
              </w:rPr>
              <w:t>December 31,</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Maturity Date</w:t>
            </w:r>
          </w:p>
        </w:tc>
        <w:tc>
          <w:tcPr>
            <w:tcW w:w="420" w:type="dxa"/>
            <w:vAlign w:val="bottom"/>
          </w:tcPr>
          <w:p>
            <w:pPr>
              <w:spacing w:after="0"/>
              <w:rPr>
                <w:sz w:val="23"/>
                <w:szCs w:val="23"/>
                <w:color w:val="auto"/>
              </w:rPr>
            </w:pPr>
          </w:p>
        </w:tc>
        <w:tc>
          <w:tcPr>
            <w:tcW w:w="1360" w:type="dxa"/>
            <w:vAlign w:val="bottom"/>
          </w:tcPr>
          <w:p>
            <w:pPr>
              <w:jc w:val="right"/>
              <w:ind w:right="6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61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2.900%</w:t>
            </w:r>
          </w:p>
        </w:tc>
        <w:tc>
          <w:tcPr>
            <w:tcW w:w="39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 (1)</w:t>
            </w:r>
          </w:p>
        </w:tc>
        <w:tc>
          <w:tcPr>
            <w:tcW w:w="10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May 15, 2020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26"/>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4.125%</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 (1)</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December 1, 2020</w:t>
            </w:r>
          </w:p>
        </w:tc>
        <w:tc>
          <w:tcPr>
            <w:tcW w:w="4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8.800%</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 15, 2021</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84,715</w:t>
            </w:r>
          </w:p>
        </w:tc>
        <w:tc>
          <w:tcPr>
            <w:tcW w:w="0" w:type="dxa"/>
            <w:vAlign w:val="bottom"/>
          </w:tcPr>
          <w:p>
            <w:pPr>
              <w:spacing w:after="0"/>
              <w:rPr>
                <w:sz w:val="1"/>
                <w:szCs w:val="1"/>
                <w:color w:val="auto"/>
              </w:rPr>
            </w:pPr>
          </w:p>
        </w:tc>
      </w:tr>
      <w:tr>
        <w:trPr>
          <w:trHeight w:val="226"/>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3.100%</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May 15, 2021</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2.625%</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May 1, 2023</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6"/>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3.375%</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May 15, 2023</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2.050%</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 (3)</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November 15, 2024</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6"/>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0.900%</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 (2)</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June 1, 2025</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3.200%</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August 21, 2025</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6"/>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2.300%</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15, 2026</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7.200%</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August 15, 2027</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26"/>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2.450%</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 (3)</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November 15, 2029</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1.700%</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 (2)</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June 1, 2030</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3.375%</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15, 2046</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3.125%</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 (3)</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November 15, 2049</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6"/>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2.650%</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 (2)</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June 1, 2050</w:t>
            </w:r>
          </w:p>
        </w:tc>
        <w:tc>
          <w:tcPr>
            <w:tcW w:w="42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gridSpan w:val="5"/>
            <w:shd w:val="clear" w:color="auto" w:fill="CCEEFF"/>
          </w:tcPr>
          <w:p>
            <w:pPr>
              <w:ind w:left="20"/>
              <w:spacing w:after="0" w:line="188" w:lineRule="exact"/>
              <w:rPr>
                <w:rFonts w:ascii="Arial" w:cs="Arial" w:eastAsia="Arial" w:hAnsi="Arial"/>
                <w:sz w:val="18"/>
                <w:szCs w:val="18"/>
                <w:color w:val="auto"/>
              </w:rPr>
            </w:pPr>
            <w:r>
              <w:rPr>
                <w:rFonts w:ascii="Arial" w:cs="Arial" w:eastAsia="Arial" w:hAnsi="Arial"/>
                <w:sz w:val="18"/>
                <w:szCs w:val="18"/>
                <w:color w:val="auto"/>
              </w:rPr>
              <w:t xml:space="preserve">Finance lease obligations (see </w:t>
            </w:r>
            <w:hyperlink w:anchor="page74">
              <w:r>
                <w:rPr>
                  <w:rFonts w:ascii="Arial" w:cs="Arial" w:eastAsia="Arial" w:hAnsi="Arial"/>
                  <w:sz w:val="18"/>
                  <w:szCs w:val="18"/>
                  <w:color w:val="0000FF"/>
                </w:rPr>
                <w:t>Note 7</w:t>
              </w:r>
            </w:hyperlink>
            <w:r>
              <w:rPr>
                <w:rFonts w:ascii="Arial" w:cs="Arial" w:eastAsia="Arial" w:hAnsi="Arial"/>
                <w:sz w:val="18"/>
                <w:szCs w:val="18"/>
                <w:color w:val="auto"/>
              </w:rPr>
              <w:t>)</w:t>
            </w:r>
          </w:p>
        </w:tc>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1"/>
              <w:spacing w:after="0" w:line="188" w:lineRule="exact"/>
              <w:rPr>
                <w:sz w:val="20"/>
                <w:szCs w:val="20"/>
                <w:color w:val="auto"/>
              </w:rPr>
            </w:pPr>
            <w:r>
              <w:rPr>
                <w:rFonts w:ascii="Arial" w:cs="Arial" w:eastAsia="Arial" w:hAnsi="Arial"/>
                <w:sz w:val="18"/>
                <w:szCs w:val="18"/>
                <w:color w:val="auto"/>
              </w:rPr>
              <w:t>80,755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1"/>
              <w:spacing w:after="0" w:line="188" w:lineRule="exact"/>
              <w:rPr>
                <w:sz w:val="20"/>
                <w:szCs w:val="20"/>
                <w:color w:val="auto"/>
              </w:rPr>
            </w:pPr>
            <w:r>
              <w:rPr>
                <w:rFonts w:ascii="Arial" w:cs="Arial" w:eastAsia="Arial" w:hAnsi="Arial"/>
                <w:sz w:val="18"/>
                <w:szCs w:val="18"/>
                <w:color w:val="auto"/>
              </w:rPr>
              <w:t>79,643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gridSpan w:val="5"/>
          </w:tcPr>
          <w:p>
            <w:pPr>
              <w:ind w:left="20"/>
              <w:spacing w:after="0" w:line="175" w:lineRule="exact"/>
              <w:rPr>
                <w:sz w:val="20"/>
                <w:szCs w:val="20"/>
                <w:color w:val="auto"/>
              </w:rPr>
            </w:pPr>
            <w:r>
              <w:rPr>
                <w:rFonts w:ascii="Arial" w:cs="Arial" w:eastAsia="Arial" w:hAnsi="Arial"/>
                <w:sz w:val="18"/>
                <w:szCs w:val="18"/>
                <w:color w:val="auto"/>
                <w:w w:val="99"/>
              </w:rPr>
              <w:t>Net impact of interest rate swaps, debt issuance costs and</w:t>
            </w: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vMerge w:val="restart"/>
          </w:tcPr>
          <w:p>
            <w:pPr>
              <w:jc w:val="right"/>
              <w:ind w:right="11"/>
              <w:spacing w:after="0"/>
              <w:rPr>
                <w:sz w:val="20"/>
                <w:szCs w:val="20"/>
                <w:color w:val="auto"/>
              </w:rPr>
            </w:pPr>
            <w:r>
              <w:rPr>
                <w:rFonts w:ascii="Arial" w:cs="Arial" w:eastAsia="Arial" w:hAnsi="Arial"/>
                <w:sz w:val="18"/>
                <w:szCs w:val="18"/>
                <w:color w:val="auto"/>
              </w:rPr>
              <w:t>(30,525)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vMerge w:val="restart"/>
          </w:tcPr>
          <w:p>
            <w:pPr>
              <w:jc w:val="right"/>
              <w:ind w:right="11"/>
              <w:spacing w:after="0"/>
              <w:rPr>
                <w:sz w:val="20"/>
                <w:szCs w:val="20"/>
                <w:color w:val="auto"/>
              </w:rPr>
            </w:pPr>
            <w:r>
              <w:rPr>
                <w:rFonts w:ascii="Arial" w:cs="Arial" w:eastAsia="Arial" w:hAnsi="Arial"/>
                <w:sz w:val="18"/>
                <w:szCs w:val="18"/>
                <w:color w:val="auto"/>
              </w:rPr>
              <w:t>(23,794)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6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unamortized debt discounts</w:t>
            </w:r>
          </w:p>
        </w:tc>
        <w:tc>
          <w:tcPr>
            <w:tcW w:w="2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4,528,584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4,234,203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6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Less—current portion</w:t>
            </w:r>
          </w:p>
        </w:tc>
        <w:tc>
          <w:tcPr>
            <w:tcW w:w="2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438,829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703,390</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0"/>
                <w:szCs w:val="20"/>
                <w:color w:val="auto"/>
              </w:rPr>
            </w:pPr>
          </w:p>
        </w:tc>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4,089,755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340" w:hanging="313"/>
        <w:spacing w:after="0" w:line="267"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May 2020, we repaid $350,000 of 2.900% Notes due upon their maturity. In December 2020, we repaid $350,000 of 4.125% Notes due upon their maturity.</w:t>
      </w:r>
    </w:p>
    <w:p>
      <w:pPr>
        <w:spacing w:after="0" w:line="19" w:lineRule="exact"/>
        <w:rPr>
          <w:rFonts w:ascii="Arial" w:cs="Arial" w:eastAsia="Arial" w:hAnsi="Arial"/>
          <w:sz w:val="18"/>
          <w:szCs w:val="18"/>
          <w:color w:val="auto"/>
        </w:rPr>
      </w:pPr>
    </w:p>
    <w:p>
      <w:pPr>
        <w:ind w:left="340" w:right="180" w:hanging="313"/>
        <w:spacing w:after="0" w:line="301" w:lineRule="auto"/>
        <w:tabs>
          <w:tab w:leader="none" w:pos="334"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the second quarter of 2020, we issued $300,000 of 0.900% Notes due in 2025, $350,000 of 1.700% Notes due in 2030 and $350,000 of 2.650% Notes due in 2050 (the "2020 Notes"). Proceeds from the issuance of the 2020 Notes, net of discounts and issuance costs, totaled $989,876. The 2020 Notes were issued under a shelf registration statement on Form S-3 filed in May 2018 that registered an indeterminate amount of debt securities.</w:t>
      </w:r>
    </w:p>
    <w:p>
      <w:pPr>
        <w:jc w:val="both"/>
        <w:ind w:left="340" w:right="300" w:hanging="313"/>
        <w:spacing w:after="0" w:line="304" w:lineRule="auto"/>
        <w:tabs>
          <w:tab w:leader="none" w:pos="334"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October 2019, we issued $300,000 of 2.05% Notes due in 2024, $300,000 of 2.45% Notes due in 2029 and $400,000 of 3.125% Notes due in 2049 (the "2019 Notes"). Proceeds from the issuance of the 2019 Notes, net of discounts and issuance costs, totaled $990,337. The 2019 Notes were issued under a shelf registration statement on Form S-3 filed in May 2018 that registered an indeterminate amount of debt securities.</w:t>
      </w:r>
    </w:p>
    <w:p>
      <w:pPr>
        <w:spacing w:after="0" w:line="100" w:lineRule="exact"/>
        <w:rPr>
          <w:sz w:val="20"/>
          <w:szCs w:val="20"/>
          <w:color w:val="auto"/>
        </w:rPr>
      </w:pPr>
    </w:p>
    <w:p>
      <w:pPr>
        <w:ind w:left="20" w:right="560"/>
        <w:spacing w:after="0" w:line="267" w:lineRule="auto"/>
        <w:rPr>
          <w:sz w:val="20"/>
          <w:szCs w:val="20"/>
          <w:color w:val="auto"/>
        </w:rPr>
      </w:pPr>
      <w:r>
        <w:rPr>
          <w:rFonts w:ascii="Arial" w:cs="Arial" w:eastAsia="Arial" w:hAnsi="Arial"/>
          <w:sz w:val="18"/>
          <w:szCs w:val="18"/>
          <w:color w:val="auto"/>
        </w:rPr>
        <w:t>Aggregate annual maturities of our long-term Notes (excluding finance lease obligations and net impact of interest rate swaps, debt issuance costs and unamortized debt discounts) are as follows for the years ending December 31:</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434,715</w:t>
            </w:r>
          </w:p>
        </w:tc>
      </w:tr>
      <w:tr>
        <w:trPr>
          <w:trHeight w:val="226"/>
        </w:trPr>
        <w:tc>
          <w:tcPr>
            <w:tcW w:w="5180" w:type="dxa"/>
            <w:vAlign w:val="bottom"/>
          </w:tcPr>
          <w:p>
            <w:pPr>
              <w:ind w:left="20"/>
              <w:spacing w:after="0"/>
              <w:rPr>
                <w:sz w:val="20"/>
                <w:szCs w:val="20"/>
                <w:color w:val="auto"/>
              </w:rPr>
            </w:pPr>
            <w:r>
              <w:rPr>
                <w:rFonts w:ascii="Arial" w:cs="Arial" w:eastAsia="Arial" w:hAnsi="Arial"/>
                <w:sz w:val="18"/>
                <w:szCs w:val="18"/>
                <w:color w:val="auto"/>
              </w:rPr>
              <w:t>2022</w:t>
            </w:r>
          </w:p>
        </w:tc>
        <w:tc>
          <w:tcPr>
            <w:tcW w:w="4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6"/>
        </w:trPr>
        <w:tc>
          <w:tcPr>
            <w:tcW w:w="5180" w:type="dxa"/>
            <w:vAlign w:val="bottom"/>
          </w:tcPr>
          <w:p>
            <w:pPr>
              <w:ind w:left="20"/>
              <w:spacing w:after="0"/>
              <w:rPr>
                <w:sz w:val="20"/>
                <w:szCs w:val="20"/>
                <w:color w:val="auto"/>
              </w:rPr>
            </w:pPr>
            <w:r>
              <w:rPr>
                <w:rFonts w:ascii="Arial" w:cs="Arial" w:eastAsia="Arial" w:hAnsi="Arial"/>
                <w:sz w:val="18"/>
                <w:szCs w:val="18"/>
                <w:color w:val="auto"/>
              </w:rPr>
              <w:t>2024</w:t>
            </w:r>
          </w:p>
        </w:tc>
        <w:tc>
          <w:tcPr>
            <w:tcW w:w="4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2,393,639</w:t>
            </w:r>
          </w:p>
        </w:tc>
      </w:tr>
    </w:tbl>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debt is principally unsecured and of equal priority. None of our debt is convertible into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6948170</wp:posOffset>
            </wp:positionH>
            <wp:positionV relativeFrom="paragraph">
              <wp:posOffset>434975</wp:posOffset>
            </wp:positionV>
            <wp:extent cx="194945" cy="169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tabs>
          <w:tab w:leader="none" w:pos="39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194310</wp:posOffset>
            </wp:positionV>
            <wp:extent cx="713422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68" w:name="page69"/>
    <w:bookmarkEnd w:id="68"/>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07"/>
        </w:trPr>
        <w:tc>
          <w:tcPr>
            <w:tcW w:w="6400" w:type="dxa"/>
            <w:vAlign w:val="bottom"/>
            <w:gridSpan w:val="2"/>
          </w:tcPr>
          <w:p>
            <w:pPr>
              <w:spacing w:after="0"/>
              <w:rPr>
                <w:sz w:val="20"/>
                <w:szCs w:val="20"/>
                <w:color w:val="auto"/>
              </w:rPr>
            </w:pPr>
            <w:r>
              <w:rPr>
                <w:rFonts w:ascii="Arial" w:cs="Arial" w:eastAsia="Arial" w:hAnsi="Arial"/>
                <w:sz w:val="18"/>
                <w:szCs w:val="18"/>
                <w:color w:val="auto"/>
              </w:rPr>
              <w:t>Net interest expense consists of the following:</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4"/>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2018</w:t>
            </w:r>
          </w:p>
        </w:tc>
      </w:tr>
      <w:tr>
        <w:trPr>
          <w:trHeight w:val="221"/>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151,950</w:t>
            </w:r>
          </w:p>
        </w:tc>
      </w:tr>
      <w:tr>
        <w:trPr>
          <w:trHeight w:val="226"/>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Capitalized interest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w:t>
            </w:r>
          </w:p>
        </w:tc>
      </w:tr>
      <w:tr>
        <w:trPr>
          <w:trHeight w:val="221"/>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146,858</w:t>
            </w:r>
          </w:p>
        </w:tc>
      </w:tr>
      <w:tr>
        <w:trPr>
          <w:trHeight w:val="226"/>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(8,021)</w:t>
            </w:r>
          </w:p>
        </w:tc>
      </w:tr>
      <w:tr>
        <w:trPr>
          <w:trHeight w:val="24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138,837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2"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00"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$279,843 as of December 31, 2020 and $589,662 as of December 31, 2019.</w:t>
      </w:r>
    </w:p>
    <w:p>
      <w:pPr>
        <w:spacing w:after="0" w:line="10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13,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10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$130,131 at December 31, 2020 and $65,826 at December 31, 2019.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$2,519 at December 31, 2020 and $50,831 at December 31, 2019. The change in fair value on these instruments is recorded directly in cost of sales or selling, marketing and administrative expense, depending on the nature of the underlying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617220</wp:posOffset>
            </wp:positionV>
            <wp:extent cx="194945" cy="169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2" w:lineRule="exact"/>
        <w:rPr>
          <w:sz w:val="20"/>
          <w:szCs w:val="20"/>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In December 2020, our fixed-to-floating interest rate swap matured in connection with the repayment of certain long-term debt upon its maturity (see </w:t>
      </w:r>
      <w:hyperlink w:anchor="page67">
        <w:r>
          <w:rPr>
            <w:rFonts w:ascii="Arial" w:cs="Arial" w:eastAsia="Arial" w:hAnsi="Arial"/>
            <w:sz w:val="16"/>
            <w:szCs w:val="16"/>
            <w:u w:val="single" w:color="auto"/>
            <w:color w:val="0000FF"/>
          </w:rPr>
          <w:t>Note 4</w:t>
        </w:r>
      </w:hyperlink>
      <w:r>
        <w:rPr>
          <w:rFonts w:ascii="Arial" w:cs="Arial" w:eastAsia="Arial" w:hAnsi="Arial"/>
          <w:sz w:val="16"/>
          <w:szCs w:val="16"/>
          <w:color w:val="auto"/>
        </w:rPr>
        <w:t>). Therefore, as of December 31, 2020, we had no interest rate swap derivative instruments in a fair value hedging relationship. As of December 31, 2019, we had one interest rate swap derivative instrument in a fair value hedging relationship with a notional amount of $350,000.</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0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December 31, 2020 and 2019 was $30,194 and $28,187,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classification of derivative assets and liabilities within the Consolidated Balance Sheets as of December 31, 2020 and 2019:</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640" w:type="dxa"/>
            <w:vAlign w:val="bottom"/>
            <w:gridSpan w:val="3"/>
          </w:tcPr>
          <w:p>
            <w:pPr>
              <w:jc w:val="right"/>
              <w:ind w:right="11"/>
              <w:spacing w:after="0"/>
              <w:rPr>
                <w:sz w:val="20"/>
                <w:szCs w:val="20"/>
                <w:color w:val="auto"/>
              </w:rPr>
            </w:pPr>
            <w:r>
              <w:rPr>
                <w:rFonts w:ascii="Arial" w:cs="Arial" w:eastAsia="Arial" w:hAnsi="Arial"/>
                <w:sz w:val="18"/>
                <w:szCs w:val="18"/>
                <w:b w:val="1"/>
                <w:bCs w:val="1"/>
                <w:color w:val="auto"/>
              </w:rPr>
              <w:t>2020</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340" w:type="dxa"/>
            <w:vAlign w:val="bottom"/>
          </w:tcPr>
          <w:p>
            <w:pPr>
              <w:spacing w:after="0"/>
              <w:rPr>
                <w:sz w:val="20"/>
                <w:szCs w:val="20"/>
                <w:color w:val="auto"/>
              </w:rPr>
            </w:pPr>
          </w:p>
        </w:tc>
      </w:tr>
      <w:tr>
        <w:trPr>
          <w:trHeight w:val="221"/>
        </w:trPr>
        <w:tc>
          <w:tcPr>
            <w:tcW w:w="4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6"/>
              </w:rPr>
              <w:t>Liabilities (1)</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Assets (1)</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6"/>
              </w:rPr>
              <w:t>Liabilities (1)</w:t>
            </w:r>
          </w:p>
        </w:tc>
      </w:tr>
      <w:tr>
        <w:trPr>
          <w:trHeight w:val="207"/>
        </w:trPr>
        <w:tc>
          <w:tcPr>
            <w:tcW w:w="4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2"/>
              </w:rPr>
              <w:t>Derivatives designated as cash flow hedging instruments:</w:t>
            </w: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26"/>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Foreign exchange contracts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2,388</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5,522</w:t>
            </w:r>
          </w:p>
        </w:tc>
        <w:tc>
          <w:tcPr>
            <w:tcW w:w="16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67"/>
        </w:trPr>
        <w:tc>
          <w:tcPr>
            <w:tcW w:w="4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7"/>
        </w:trPr>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Derivatives designated as fair value hedging instruments: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7"/>
        </w:trPr>
        <w:tc>
          <w:tcPr>
            <w:tcW w:w="4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7"/>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6"/>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Commodities futures and options (2)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27"/>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derivatives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exchange contracts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21"/>
        </w:trPr>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w:t>
            </w:r>
          </w:p>
        </w:tc>
      </w:tr>
      <w:tr>
        <w:trPr>
          <w:trHeight w:val="20"/>
        </w:trPr>
        <w:tc>
          <w:tcPr>
            <w:tcW w:w="4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ind w:left="480" w:right="100" w:hanging="313"/>
        <w:spacing w:after="0" w:line="267" w:lineRule="auto"/>
        <w:tabs>
          <w:tab w:leader="none" w:pos="4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Derivatives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9" w:lineRule="exact"/>
        <w:rPr>
          <w:rFonts w:ascii="Arial" w:cs="Arial" w:eastAsia="Arial" w:hAnsi="Arial"/>
          <w:sz w:val="18"/>
          <w:szCs w:val="18"/>
          <w:color w:val="auto"/>
        </w:rPr>
      </w:pPr>
    </w:p>
    <w:p>
      <w:pPr>
        <w:ind w:left="480" w:right="140" w:hanging="313"/>
        <w:spacing w:after="0" w:line="257" w:lineRule="auto"/>
        <w:tabs>
          <w:tab w:leader="none" w:pos="4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December 31, 2020, amounts reflected on a net basis in assets were assets of $32,674 and liabilities of $29,376, which are associated with cash transfers receivable or payable on commodities futures contracts reflecting the change in quoted market prices on the last trading day for the period. The comparable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414655</wp:posOffset>
            </wp:positionV>
            <wp:extent cx="194945" cy="169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99" w:lineRule="exact"/>
        <w:rPr>
          <w:sz w:val="20"/>
          <w:szCs w:val="20"/>
          <w:color w:val="auto"/>
        </w:rPr>
      </w:pPr>
    </w:p>
    <w:p>
      <w:pPr>
        <w:jc w:val="both"/>
        <w:ind w:left="480" w:right="680"/>
        <w:spacing w:after="0" w:line="412" w:lineRule="auto"/>
        <w:rPr>
          <w:sz w:val="20"/>
          <w:szCs w:val="20"/>
          <w:color w:val="auto"/>
        </w:rPr>
      </w:pPr>
      <w:r>
        <w:rPr>
          <w:rFonts w:ascii="Arial" w:cs="Arial" w:eastAsia="Arial" w:hAnsi="Arial"/>
          <w:sz w:val="14"/>
          <w:szCs w:val="14"/>
          <w:color w:val="auto"/>
        </w:rPr>
        <w:t>reflected on a net basis in assets at December 31, 2019 were assets of $46,075 and liabilities of $37,606. At December 31, 2020 and 2019, the remaining amount reflected in assets and liabilities related to the fair value of other non-exchange traded derivative instruments, respectively.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effect of derivative instruments on the Consolidated Statements of Income for the years ended December 31, 2020 and 2019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6"/>
          </w:tcPr>
          <w:p>
            <w:pPr>
              <w:ind w:left="140"/>
              <w:spacing w:after="0"/>
              <w:rPr>
                <w:sz w:val="20"/>
                <w:szCs w:val="20"/>
                <w:color w:val="auto"/>
              </w:rPr>
            </w:pPr>
            <w:r>
              <w:rPr>
                <w:rFonts w:ascii="Arial" w:cs="Arial" w:eastAsia="Arial" w:hAnsi="Arial"/>
                <w:sz w:val="16"/>
                <w:szCs w:val="16"/>
                <w:b w:val="1"/>
                <w:bCs w:val="1"/>
                <w:color w:val="auto"/>
              </w:rPr>
              <w:t>Non-designated Hedges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360"/>
              <w:spacing w:after="0"/>
              <w:rPr>
                <w:sz w:val="20"/>
                <w:szCs w:val="20"/>
                <w:color w:val="auto"/>
              </w:rPr>
            </w:pPr>
            <w:r>
              <w:rPr>
                <w:rFonts w:ascii="Arial" w:cs="Arial" w:eastAsia="Arial" w:hAnsi="Arial"/>
                <w:sz w:val="16"/>
                <w:szCs w:val="16"/>
                <w:b w:val="1"/>
                <w:bCs w:val="1"/>
                <w:color w:val="auto"/>
              </w:rPr>
              <w:t>Cash Flow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56"/>
        </w:trPr>
        <w:tc>
          <w:tcPr>
            <w:tcW w:w="3640" w:type="dxa"/>
            <w:vAlign w:val="bottom"/>
          </w:tcPr>
          <w:p>
            <w:pPr>
              <w:spacing w:after="0"/>
              <w:rPr>
                <w:sz w:val="13"/>
                <w:szCs w:val="13"/>
                <w:color w:val="auto"/>
              </w:rPr>
            </w:pPr>
          </w:p>
        </w:tc>
        <w:tc>
          <w:tcPr>
            <w:tcW w:w="2460" w:type="dxa"/>
            <w:vAlign w:val="bottom"/>
            <w:tcBorders>
              <w:top w:val="single" w:sz="8" w:color="auto"/>
            </w:tcBorders>
            <w:gridSpan w:val="6"/>
          </w:tcPr>
          <w:p>
            <w:pPr>
              <w:ind w:left="20"/>
              <w:spacing w:after="0" w:line="156" w:lineRule="exact"/>
              <w:rPr>
                <w:sz w:val="20"/>
                <w:szCs w:val="20"/>
                <w:color w:val="auto"/>
              </w:rPr>
            </w:pPr>
            <w:r>
              <w:rPr>
                <w:rFonts w:ascii="Arial" w:cs="Arial" w:eastAsia="Arial" w:hAnsi="Arial"/>
                <w:sz w:val="16"/>
                <w:szCs w:val="16"/>
                <w:b w:val="1"/>
                <w:bCs w:val="1"/>
                <w:color w:val="auto"/>
                <w:w w:val="87"/>
              </w:rPr>
              <w:t>Gains (losses) recognized in income</w:t>
            </w:r>
          </w:p>
        </w:tc>
        <w:tc>
          <w:tcPr>
            <w:tcW w:w="100" w:type="dxa"/>
            <w:vAlign w:val="bottom"/>
          </w:tcPr>
          <w:p>
            <w:pPr>
              <w:spacing w:after="0"/>
              <w:rPr>
                <w:sz w:val="13"/>
                <w:szCs w:val="13"/>
                <w:color w:val="auto"/>
              </w:rPr>
            </w:pPr>
          </w:p>
        </w:tc>
        <w:tc>
          <w:tcPr>
            <w:tcW w:w="2560" w:type="dxa"/>
            <w:vAlign w:val="bottom"/>
            <w:tcBorders>
              <w:top w:val="single" w:sz="8" w:color="auto"/>
            </w:tcBorders>
            <w:gridSpan w:val="6"/>
          </w:tcPr>
          <w:p>
            <w:pPr>
              <w:jc w:val="center"/>
              <w:ind w:right="100"/>
              <w:spacing w:after="0" w:line="156" w:lineRule="exact"/>
              <w:rPr>
                <w:sz w:val="20"/>
                <w:szCs w:val="20"/>
                <w:color w:val="auto"/>
              </w:rPr>
            </w:pPr>
            <w:r>
              <w:rPr>
                <w:rFonts w:ascii="Arial" w:cs="Arial" w:eastAsia="Arial" w:hAnsi="Arial"/>
                <w:sz w:val="16"/>
                <w:szCs w:val="16"/>
                <w:b w:val="1"/>
                <w:bCs w:val="1"/>
                <w:color w:val="auto"/>
                <w:w w:val="87"/>
              </w:rPr>
              <w:t>Gains (losses) recognized in other</w:t>
            </w:r>
          </w:p>
        </w:tc>
        <w:tc>
          <w:tcPr>
            <w:tcW w:w="14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4"/>
          </w:tcPr>
          <w:p>
            <w:pPr>
              <w:jc w:val="right"/>
              <w:ind w:right="93"/>
              <w:spacing w:after="0" w:line="156" w:lineRule="exact"/>
              <w:rPr>
                <w:sz w:val="20"/>
                <w:szCs w:val="20"/>
                <w:color w:val="auto"/>
              </w:rPr>
            </w:pPr>
            <w:r>
              <w:rPr>
                <w:rFonts w:ascii="Arial" w:cs="Arial" w:eastAsia="Arial" w:hAnsi="Arial"/>
                <w:sz w:val="16"/>
                <w:szCs w:val="16"/>
                <w:b w:val="1"/>
                <w:bCs w:val="1"/>
                <w:color w:val="auto"/>
                <w:w w:val="88"/>
              </w:rPr>
              <w:t>Gains (losses) reclassified from</w:t>
            </w:r>
          </w:p>
        </w:tc>
      </w:tr>
      <w:tr>
        <w:trPr>
          <w:trHeight w:val="211"/>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1"/>
              </w:rPr>
              <w:t>(a)</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0"/>
              </w:rPr>
              <w:t>comprehensive income (“OCI”)</w:t>
            </w:r>
          </w:p>
        </w:tc>
        <w:tc>
          <w:tcPr>
            <w:tcW w:w="140" w:type="dxa"/>
            <w:vAlign w:val="bottom"/>
          </w:tcPr>
          <w:p>
            <w:pPr>
              <w:spacing w:after="0"/>
              <w:rPr>
                <w:sz w:val="18"/>
                <w:szCs w:val="18"/>
                <w:color w:val="auto"/>
              </w:rPr>
            </w:pPr>
          </w:p>
        </w:tc>
        <w:tc>
          <w:tcPr>
            <w:tcW w:w="234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rPr>
              <w:t>AOCI into income (b)</w:t>
            </w:r>
          </w:p>
        </w:tc>
      </w:tr>
      <w:tr>
        <w:trPr>
          <w:trHeight w:val="207"/>
        </w:trPr>
        <w:tc>
          <w:tcPr>
            <w:tcW w:w="36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r>
      <w:tr>
        <w:trPr>
          <w:trHeight w:val="222"/>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36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Arial" w:cs="Arial" w:eastAsia="Arial" w:hAnsi="Arial"/>
                <w:sz w:val="18"/>
                <w:szCs w:val="18"/>
                <w:color w:val="auto"/>
                <w:w w:val="91"/>
              </w:rPr>
              <w:t>(2,515)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27"/>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r>
      <w:tr>
        <w:trPr>
          <w:trHeight w:val="226"/>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derivatives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(2,515)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left="320" w:right="200" w:hanging="313"/>
        <w:spacing w:after="0" w:line="257" w:lineRule="auto"/>
        <w:tabs>
          <w:tab w:leader="none" w:pos="317"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28" w:lineRule="exact"/>
        <w:rPr>
          <w:rFonts w:ascii="Arial" w:cs="Arial" w:eastAsia="Arial" w:hAnsi="Arial"/>
          <w:sz w:val="18"/>
          <w:szCs w:val="18"/>
          <w:color w:val="auto"/>
        </w:rPr>
      </w:pPr>
    </w:p>
    <w:p>
      <w:pPr>
        <w:ind w:left="320" w:right="980" w:hanging="313"/>
        <w:spacing w:after="0" w:line="330" w:lineRule="auto"/>
        <w:tabs>
          <w:tab w:leader="none" w:pos="314" w:val="left"/>
        </w:tabs>
        <w:numPr>
          <w:ilvl w:val="0"/>
          <w:numId w:val="34"/>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$4,060 as of December 31, 2020. This amount is primarily associated with interest rate swap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Hedging Relationships</w:t>
      </w:r>
    </w:p>
    <w:p>
      <w:pPr>
        <w:spacing w:after="0" w:line="100"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The following table presents amounts that were recorded on the Consolidated Balance Sheets related to cumulative basis adjustments for interest rate swap derivatives designated as fair value accounting hedges as of December 31, 2020 and 2019.</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auto"/>
              </w:rPr>
              <w:t>Line Item in the Consolidated Balance</w:t>
            </w: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3"/>
              </w:rPr>
              <w:t>Cumulative Amount of Fair Value Hedging Adjustment</w:t>
            </w:r>
          </w:p>
        </w:tc>
        <w:tc>
          <w:tcPr>
            <w:tcW w:w="0" w:type="dxa"/>
            <w:vAlign w:val="bottom"/>
          </w:tcPr>
          <w:p>
            <w:pPr>
              <w:spacing w:after="0"/>
              <w:rPr>
                <w:sz w:val="1"/>
                <w:szCs w:val="1"/>
                <w:color w:val="auto"/>
              </w:rPr>
            </w:pPr>
          </w:p>
        </w:tc>
      </w:tr>
      <w:tr>
        <w:trPr>
          <w:trHeight w:val="160"/>
        </w:trPr>
        <w:tc>
          <w:tcPr>
            <w:tcW w:w="3180" w:type="dxa"/>
            <w:vAlign w:val="bottom"/>
            <w:gridSpan w:val="2"/>
          </w:tcPr>
          <w:p>
            <w:pPr>
              <w:ind w:left="20"/>
              <w:spacing w:after="0" w:line="160" w:lineRule="exact"/>
              <w:rPr>
                <w:sz w:val="20"/>
                <w:szCs w:val="20"/>
                <w:color w:val="auto"/>
              </w:rPr>
            </w:pPr>
            <w:r>
              <w:rPr>
                <w:rFonts w:ascii="Arial" w:cs="Arial" w:eastAsia="Arial" w:hAnsi="Arial"/>
                <w:sz w:val="16"/>
                <w:szCs w:val="16"/>
                <w:b w:val="1"/>
                <w:bCs w:val="1"/>
                <w:color w:val="auto"/>
              </w:rPr>
              <w:t>Sheets in Which the Hedged Item is</w:t>
            </w:r>
          </w:p>
        </w:tc>
        <w:tc>
          <w:tcPr>
            <w:tcW w:w="4040" w:type="dxa"/>
            <w:vAlign w:val="bottom"/>
            <w:gridSpan w:val="6"/>
            <w:vMerge w:val="restart"/>
          </w:tcPr>
          <w:p>
            <w:pPr>
              <w:ind w:left="540"/>
              <w:spacing w:after="0"/>
              <w:rPr>
                <w:sz w:val="20"/>
                <w:szCs w:val="20"/>
                <w:color w:val="auto"/>
              </w:rPr>
            </w:pPr>
            <w:r>
              <w:rPr>
                <w:rFonts w:ascii="Arial" w:cs="Arial" w:eastAsia="Arial" w:hAnsi="Arial"/>
                <w:sz w:val="16"/>
                <w:szCs w:val="16"/>
                <w:b w:val="1"/>
                <w:bCs w:val="1"/>
                <w:color w:val="auto"/>
              </w:rPr>
              <w:t>Carrying Amount of the Hedged Liability</w:t>
            </w:r>
          </w:p>
        </w:tc>
        <w:tc>
          <w:tcPr>
            <w:tcW w:w="39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Included</w:t>
            </w:r>
          </w:p>
        </w:tc>
        <w:tc>
          <w:tcPr>
            <w:tcW w:w="4040" w:type="dxa"/>
            <w:vAlign w:val="bottom"/>
            <w:gridSpan w:val="6"/>
            <w:vMerge w:val="continue"/>
          </w:tcPr>
          <w:p>
            <w:pPr>
              <w:spacing w:after="0"/>
              <w:rPr>
                <w:sz w:val="18"/>
                <w:szCs w:val="18"/>
                <w:color w:val="auto"/>
              </w:rPr>
            </w:pPr>
          </w:p>
        </w:tc>
        <w:tc>
          <w:tcPr>
            <w:tcW w:w="348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Included in the Carrying Amount Assets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380" w:type="dxa"/>
            <w:vAlign w:val="bottom"/>
            <w:shd w:val="clear" w:color="auto" w:fill="CCEEFF"/>
          </w:tcPr>
          <w:p>
            <w:pPr>
              <w:jc w:val="right"/>
              <w:ind w:right="1197"/>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(349,445)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8"/>
              <w:spacing w:after="0"/>
              <w:rPr>
                <w:sz w:val="20"/>
                <w:szCs w:val="20"/>
                <w:color w:val="auto"/>
              </w:rPr>
            </w:pPr>
            <w:r>
              <w:rPr>
                <w:rFonts w:ascii="Arial" w:cs="Arial" w:eastAsia="Arial" w:hAnsi="Arial"/>
                <w:sz w:val="18"/>
                <w:szCs w:val="18"/>
                <w:color w:val="auto"/>
                <w:w w:val="79"/>
              </w:rPr>
              <w:t>$</w:t>
            </w:r>
          </w:p>
        </w:tc>
        <w:tc>
          <w:tcPr>
            <w:tcW w:w="208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For the years ended December 31, 2020 and 2019, we recognized a net pretax benefit to interest expense of $3,186 and net incremental interest expense of $1,829, respectively, relating to our fixed-to-floating interest rate swap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409575</wp:posOffset>
            </wp:positionV>
            <wp:extent cx="194945" cy="169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2"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0" w:lineRule="exact"/>
        <w:rPr>
          <w:sz w:val="20"/>
          <w:szCs w:val="20"/>
          <w:color w:val="auto"/>
        </w:rPr>
      </w:pPr>
    </w:p>
    <w:p>
      <w:pPr>
        <w:ind w:left="20" w:right="2900"/>
        <w:spacing w:after="0" w:line="26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December 31, 2020 and 2019:</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8"/>
                <w:szCs w:val="18"/>
                <w:b w:val="1"/>
                <w:bCs w:val="1"/>
                <w:color w:val="auto"/>
              </w:rPr>
              <w:t>Assets (Liabilities)</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1"/>
        </w:trPr>
        <w:tc>
          <w:tcPr>
            <w:tcW w:w="4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Level 3</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Total</w:t>
            </w:r>
          </w:p>
        </w:tc>
      </w:tr>
      <w:tr>
        <w:trPr>
          <w:trHeight w:val="47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6"/>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4800" w:type="dxa"/>
            <w:vAlign w:val="bottom"/>
            <w:gridSpan w:val="2"/>
          </w:tcPr>
          <w:p>
            <w:pPr>
              <w:ind w:left="34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jc w:val="right"/>
              <w:ind w:right="851"/>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1"/>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2,564</w:t>
            </w:r>
          </w:p>
        </w:tc>
        <w:tc>
          <w:tcPr>
            <w:tcW w:w="100" w:type="dxa"/>
            <w:vAlign w:val="bottom"/>
          </w:tcPr>
          <w:p>
            <w:pPr>
              <w:spacing w:after="0"/>
              <w:rPr>
                <w:sz w:val="19"/>
                <w:szCs w:val="19"/>
                <w:color w:val="auto"/>
              </w:rPr>
            </w:pPr>
          </w:p>
        </w:tc>
        <w:tc>
          <w:tcPr>
            <w:tcW w:w="1180" w:type="dxa"/>
            <w:vAlign w:val="bottom"/>
          </w:tcPr>
          <w:p>
            <w:pPr>
              <w:jc w:val="right"/>
              <w:ind w:right="97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2,564</w:t>
            </w:r>
          </w:p>
        </w:tc>
      </w:tr>
      <w:tr>
        <w:trPr>
          <w:trHeight w:val="227"/>
        </w:trPr>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compensation derivatives (3)</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3,630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26"/>
        </w:trPr>
        <w:tc>
          <w:tcPr>
            <w:tcW w:w="4800" w:type="dxa"/>
            <w:vAlign w:val="bottom"/>
            <w:gridSpan w:val="2"/>
          </w:tcPr>
          <w:p>
            <w:pPr>
              <w:ind w:left="340"/>
              <w:spacing w:after="0"/>
              <w:rPr>
                <w:sz w:val="20"/>
                <w:szCs w:val="20"/>
                <w:color w:val="auto"/>
              </w:rPr>
            </w:pPr>
            <w:r>
              <w:rPr>
                <w:rFonts w:ascii="Arial" w:cs="Arial" w:eastAsia="Arial" w:hAnsi="Arial"/>
                <w:sz w:val="18"/>
                <w:szCs w:val="18"/>
                <w:color w:val="auto"/>
              </w:rPr>
              <w:t>Commodities futures and options (4)</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3,299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3,299</w:t>
            </w:r>
          </w:p>
        </w:tc>
      </w:tr>
      <w:tr>
        <w:trPr>
          <w:trHeight w:val="227"/>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4800" w:type="dxa"/>
            <w:vAlign w:val="bottom"/>
            <w:gridSpan w:val="2"/>
          </w:tcPr>
          <w:p>
            <w:pPr>
              <w:ind w:left="34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5,615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5,615</w:t>
            </w:r>
          </w:p>
        </w:tc>
      </w:tr>
      <w:tr>
        <w:trPr>
          <w:trHeight w:val="227"/>
        </w:trPr>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Commodities futures and options (4)</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27"/>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4800" w:type="dxa"/>
            <w:vAlign w:val="bottom"/>
            <w:gridSpan w:val="2"/>
          </w:tcPr>
          <w:p>
            <w:pPr>
              <w:ind w:left="34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jc w:val="right"/>
              <w:ind w:right="851"/>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1"/>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2,731</w:t>
            </w:r>
          </w:p>
        </w:tc>
        <w:tc>
          <w:tcPr>
            <w:tcW w:w="100" w:type="dxa"/>
            <w:vAlign w:val="bottom"/>
          </w:tcPr>
          <w:p>
            <w:pPr>
              <w:spacing w:after="0"/>
              <w:rPr>
                <w:sz w:val="19"/>
                <w:szCs w:val="19"/>
                <w:color w:val="auto"/>
              </w:rPr>
            </w:pPr>
          </w:p>
        </w:tc>
        <w:tc>
          <w:tcPr>
            <w:tcW w:w="1180" w:type="dxa"/>
            <w:vAlign w:val="bottom"/>
          </w:tcPr>
          <w:p>
            <w:pPr>
              <w:jc w:val="right"/>
              <w:ind w:right="97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2,731</w:t>
            </w:r>
          </w:p>
        </w:tc>
      </w:tr>
      <w:tr>
        <w:trPr>
          <w:trHeight w:val="227"/>
        </w:trPr>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rate swap agreements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6"/>
        </w:trPr>
        <w:tc>
          <w:tcPr>
            <w:tcW w:w="4800" w:type="dxa"/>
            <w:vAlign w:val="bottom"/>
            <w:gridSpan w:val="2"/>
          </w:tcPr>
          <w:p>
            <w:pPr>
              <w:ind w:left="340"/>
              <w:spacing w:after="0"/>
              <w:rPr>
                <w:sz w:val="20"/>
                <w:szCs w:val="20"/>
                <w:color w:val="auto"/>
              </w:rPr>
            </w:pPr>
            <w:r>
              <w:rPr>
                <w:rFonts w:ascii="Arial" w:cs="Arial" w:eastAsia="Arial" w:hAnsi="Arial"/>
                <w:sz w:val="18"/>
                <w:szCs w:val="18"/>
                <w:color w:val="auto"/>
              </w:rPr>
              <w:t>Deferred compensation derivatives (3)</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2,557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2,557</w:t>
            </w:r>
          </w:p>
        </w:tc>
      </w:tr>
      <w:tr>
        <w:trPr>
          <w:trHeight w:val="227"/>
        </w:trPr>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Commodities futures and options (4)</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9,080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w:t>
            </w:r>
          </w:p>
        </w:tc>
      </w:tr>
      <w:tr>
        <w:trPr>
          <w:trHeight w:val="226"/>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exchange contracts (1)</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25"/>
        </w:trPr>
        <w:tc>
          <w:tcPr>
            <w:tcW w:w="4800" w:type="dxa"/>
            <w:vAlign w:val="bottom"/>
            <w:gridSpan w:val="2"/>
          </w:tcPr>
          <w:p>
            <w:pPr>
              <w:ind w:left="340"/>
              <w:spacing w:after="0"/>
              <w:rPr>
                <w:sz w:val="20"/>
                <w:szCs w:val="20"/>
                <w:color w:val="auto"/>
              </w:rPr>
            </w:pPr>
            <w:r>
              <w:rPr>
                <w:rFonts w:ascii="Arial" w:cs="Arial" w:eastAsia="Arial" w:hAnsi="Arial"/>
                <w:sz w:val="18"/>
                <w:szCs w:val="18"/>
                <w:color w:val="auto"/>
              </w:rPr>
              <w:t>Commodities futures and options (4)</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626</w:t>
            </w:r>
          </w:p>
        </w:tc>
      </w:tr>
    </w:tbl>
    <w:p>
      <w:pPr>
        <w:spacing w:after="0" w:line="229" w:lineRule="exact"/>
        <w:rPr>
          <w:sz w:val="20"/>
          <w:szCs w:val="20"/>
          <w:color w:val="auto"/>
        </w:rPr>
      </w:pPr>
    </w:p>
    <w:p>
      <w:pPr>
        <w:ind w:left="640" w:right="160" w:hanging="314"/>
        <w:spacing w:after="0" w:line="279" w:lineRule="auto"/>
        <w:tabs>
          <w:tab w:leader="none" w:pos="63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91" w:lineRule="exact"/>
        <w:rPr>
          <w:rFonts w:ascii="Arial" w:cs="Arial" w:eastAsia="Arial" w:hAnsi="Arial"/>
          <w:sz w:val="17"/>
          <w:szCs w:val="17"/>
          <w:color w:val="auto"/>
        </w:rPr>
      </w:pPr>
    </w:p>
    <w:p>
      <w:pPr>
        <w:ind w:left="640" w:right="140" w:hanging="314"/>
        <w:spacing w:after="0" w:line="257" w:lineRule="auto"/>
        <w:tabs>
          <w:tab w:leader="none" w:pos="6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21" w:lineRule="exact"/>
        <w:rPr>
          <w:rFonts w:ascii="Arial" w:cs="Arial" w:eastAsia="Arial" w:hAnsi="Arial"/>
          <w:sz w:val="18"/>
          <w:szCs w:val="18"/>
          <w:color w:val="auto"/>
        </w:rPr>
      </w:pPr>
    </w:p>
    <w:p>
      <w:pPr>
        <w:ind w:left="640" w:hanging="314"/>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64" w:lineRule="exact"/>
        <w:rPr>
          <w:rFonts w:ascii="Arial" w:cs="Arial" w:eastAsia="Arial" w:hAnsi="Arial"/>
          <w:sz w:val="17"/>
          <w:szCs w:val="17"/>
          <w:color w:val="auto"/>
        </w:rPr>
      </w:pPr>
    </w:p>
    <w:p>
      <w:pPr>
        <w:ind w:left="640" w:hanging="314"/>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528320</wp:posOffset>
            </wp:positionV>
            <wp:extent cx="194945" cy="169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59"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December 31, 2020 and December 31, 2019 because of the relatively short maturity of these instruments.</w:t>
      </w:r>
    </w:p>
    <w:p>
      <w:pPr>
        <w:spacing w:after="0" w:line="99" w:lineRule="exact"/>
        <w:rPr>
          <w:sz w:val="20"/>
          <w:szCs w:val="20"/>
          <w:color w:val="auto"/>
        </w:rPr>
      </w:pPr>
    </w:p>
    <w:p>
      <w:pPr>
        <w:ind w:right="480"/>
        <w:spacing w:after="0" w:line="297"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Fair Value</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Carrying Value</w:t>
            </w:r>
          </w:p>
        </w:tc>
        <w:tc>
          <w:tcPr>
            <w:tcW w:w="980" w:type="dxa"/>
            <w:vAlign w:val="bottom"/>
            <w:tcBorders>
              <w:bottom w:val="single" w:sz="8" w:color="auto"/>
            </w:tcBorders>
          </w:tcPr>
          <w:p>
            <w:pPr>
              <w:spacing w:after="0"/>
              <w:rPr>
                <w:sz w:val="20"/>
                <w:szCs w:val="20"/>
                <w:color w:val="auto"/>
              </w:rPr>
            </w:pPr>
          </w:p>
        </w:tc>
      </w:tr>
      <w:tr>
        <w:trPr>
          <w:trHeight w:val="221"/>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w w:val="89"/>
              </w:rPr>
              <w:t>2019</w:t>
            </w:r>
          </w:p>
        </w:tc>
      </w:tr>
      <w:tr>
        <w:trPr>
          <w:trHeight w:val="220"/>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438,829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703,390</w:t>
            </w:r>
          </w:p>
        </w:tc>
      </w:tr>
      <w:tr>
        <w:trPr>
          <w:trHeight w:val="226"/>
        </w:trPr>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4,479,499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3,656,540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4,089,755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3,530,813</w:t>
            </w:r>
          </w:p>
        </w:tc>
      </w:tr>
      <w:tr>
        <w:trPr>
          <w:trHeight w:val="246"/>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4,922,714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4,369,403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4,528,584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4,234,203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59" w:lineRule="exact"/>
        <w:rPr>
          <w:sz w:val="20"/>
          <w:szCs w:val="20"/>
          <w:color w:val="auto"/>
        </w:rPr>
      </w:pPr>
    </w:p>
    <w:p>
      <w:pPr>
        <w:jc w:val="both"/>
        <w:ind w:right="80"/>
        <w:spacing w:after="0" w:line="267"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Activity</w:t>
      </w:r>
    </w:p>
    <w:p>
      <w:pPr>
        <w:spacing w:after="0" w:line="140" w:lineRule="exact"/>
        <w:rPr>
          <w:sz w:val="20"/>
          <w:szCs w:val="20"/>
          <w:color w:val="auto"/>
        </w:rPr>
      </w:pPr>
    </w:p>
    <w:p>
      <w:pPr>
        <w:ind w:right="540"/>
        <w:spacing w:after="0" w:line="267" w:lineRule="auto"/>
        <w:rPr>
          <w:sz w:val="20"/>
          <w:szCs w:val="20"/>
          <w:color w:val="auto"/>
        </w:rPr>
      </w:pPr>
      <w:r>
        <w:rPr>
          <w:rFonts w:ascii="Arial" w:cs="Arial" w:eastAsia="Arial" w:hAnsi="Arial"/>
          <w:sz w:val="18"/>
          <w:szCs w:val="18"/>
          <w:color w:val="auto"/>
        </w:rPr>
        <w:t>During 2020, we recorded the following impairment charges, which use significant unobservable inputs, or Level 3 inputs, as defined by the fair value hierarchy: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b w:val="1"/>
                <w:bCs w:val="1"/>
                <w:color w:val="auto"/>
              </w:rPr>
              <w:t>2020</w:t>
            </w:r>
          </w:p>
        </w:tc>
      </w:tr>
      <w:tr>
        <w:trPr>
          <w:trHeight w:val="221"/>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disposal group (1)</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26"/>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 write-down (2)</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r>
      <w:tr>
        <w:trPr>
          <w:trHeight w:val="246"/>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 charges</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left="480" w:right="120" w:hanging="313"/>
        <w:spacing w:after="0" w:line="257" w:lineRule="auto"/>
        <w:tabs>
          <w:tab w:leader="none" w:pos="4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In connection with our disposal group classified as held for sale, as discussed in </w:t>
      </w:r>
      <w:hyperlink w:anchor="page76">
        <w:r>
          <w:rPr>
            <w:rFonts w:ascii="Arial" w:cs="Arial" w:eastAsia="Arial" w:hAnsi="Arial"/>
            <w:sz w:val="18"/>
            <w:szCs w:val="18"/>
            <w:u w:val="single" w:color="auto"/>
            <w:color w:val="0000FF"/>
          </w:rPr>
          <w:t>Note 8</w:t>
        </w:r>
      </w:hyperlink>
      <w:r>
        <w:rPr>
          <w:rFonts w:ascii="Arial" w:cs="Arial" w:eastAsia="Arial" w:hAnsi="Arial"/>
          <w:sz w:val="18"/>
          <w:szCs w:val="18"/>
          <w:color w:val="auto"/>
        </w:rPr>
        <w:t>, during 2020, we recorded impairment charges to adjust long-lived asset values. The fair value of the disposal group was supported by potential sales prices with third-party buyers. The sale of the Lotte Shanghai Foods Co., Ltd. ("LSFC") joint venture (disposal group) was completed in January 2021.</w:t>
      </w:r>
    </w:p>
    <w:p>
      <w:pPr>
        <w:spacing w:after="0" w:line="121" w:lineRule="exact"/>
        <w:rPr>
          <w:rFonts w:ascii="Arial" w:cs="Arial" w:eastAsia="Arial" w:hAnsi="Arial"/>
          <w:sz w:val="18"/>
          <w:szCs w:val="18"/>
          <w:color w:val="auto"/>
        </w:rPr>
      </w:pPr>
    </w:p>
    <w:p>
      <w:pPr>
        <w:ind w:left="480" w:hanging="313"/>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a previous sale, the Company wrote-down certain receivables deemed uncollectible.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Activity</w:t>
      </w:r>
    </w:p>
    <w:p>
      <w:pPr>
        <w:spacing w:after="0" w:line="153"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During 2019, we recorded the following impairment charges, which use significant unobservable inputs, or Level 3 inputs, as defined by the fair value hierarchy:</w:t>
      </w:r>
    </w:p>
    <w:p>
      <w:pPr>
        <w:sectPr>
          <w:pgSz w:w="11900" w:h="16838" w:orient="portrait"/>
          <w:cols w:equalWidth="0" w:num="1">
            <w:col w:w="11240"/>
          </w:cols>
          <w:pgMar w:left="320" w:top="118" w:right="339"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Customer relationship and trademark intangible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34225" cy="152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long-lived assets not held for sale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Adjustment to disposal group (3)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Long-lived and intangible asset impairment charges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b w:val="1"/>
                <w:bCs w:val="1"/>
                <w:color w:val="auto"/>
              </w:rPr>
              <w:t>2019</w:t>
            </w:r>
          </w:p>
        </w:tc>
      </w:tr>
      <w:tr>
        <w:trPr>
          <w:trHeight w:val="219"/>
        </w:trPr>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100,131</w:t>
            </w:r>
          </w:p>
        </w:tc>
      </w:tr>
      <w:tr>
        <w:trPr>
          <w:trHeight w:val="227"/>
        </w:trPr>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9,629</w:t>
            </w:r>
          </w:p>
        </w:tc>
      </w:tr>
      <w:tr>
        <w:trPr>
          <w:trHeight w:val="227"/>
        </w:trPr>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r>
      <w:tr>
        <w:trPr>
          <w:trHeight w:val="220"/>
        </w:trPr>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112,485</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00" w:space="720"/>
            <w:col w:w="2120"/>
          </w:cols>
          <w:pgMar w:left="320" w:top="118" w:right="339" w:bottom="1440" w:gutter="0" w:footer="0" w:header="0"/>
          <w:type w:val="continuous"/>
        </w:sectPr>
      </w:pPr>
    </w:p>
    <w:p>
      <w:pPr>
        <w:spacing w:after="0" w:line="14" w:lineRule="exact"/>
        <w:rPr>
          <w:sz w:val="20"/>
          <w:szCs w:val="20"/>
          <w:color w:val="auto"/>
        </w:rPr>
      </w:pPr>
    </w:p>
    <w:p>
      <w:pPr>
        <w:ind w:left="480" w:right="180" w:hanging="313"/>
        <w:spacing w:after="0" w:line="295" w:lineRule="auto"/>
        <w:tabs>
          <w:tab w:leader="none" w:pos="47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During the fourth quarter of 2019, as discussed in </w:t>
      </w:r>
      <w:hyperlink w:anchor="page65">
        <w:r>
          <w:rPr>
            <w:rFonts w:ascii="Arial" w:cs="Arial" w:eastAsia="Arial" w:hAnsi="Arial"/>
            <w:sz w:val="16"/>
            <w:szCs w:val="16"/>
            <w:u w:val="single" w:color="auto"/>
            <w:color w:val="0000FF"/>
          </w:rPr>
          <w:t>Note 3</w:t>
        </w:r>
      </w:hyperlink>
      <w:r>
        <w:rPr>
          <w:rFonts w:ascii="Arial" w:cs="Arial" w:eastAsia="Arial" w:hAnsi="Arial"/>
          <w:sz w:val="16"/>
          <w:szCs w:val="16"/>
          <w:color w:val="auto"/>
        </w:rPr>
        <w:t>, we recorded impairment charges to write down customer relationship and trademark intangible assets associated with Krave. These charges were determined by comparing the fair value of the asset group to its carrying value. We used various valuation techniques to determine fair value, with the primary techniques being discounted cash flow analysis and relief-from-royalty valuation approaches, which use significant unobservable inputs, or Level 3 inputs, as defined by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398145</wp:posOffset>
            </wp:positionV>
            <wp:extent cx="194945" cy="169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3" w:name="page74"/>
    <w:bookmarkEnd w:id="73"/>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99" w:lineRule="exact"/>
        <w:rPr>
          <w:sz w:val="20"/>
          <w:szCs w:val="20"/>
          <w:color w:val="auto"/>
        </w:rPr>
      </w:pPr>
    </w:p>
    <w:p>
      <w:pPr>
        <w:ind w:left="480" w:right="160" w:hanging="313"/>
        <w:spacing w:after="0" w:line="267" w:lineRule="auto"/>
        <w:tabs>
          <w:tab w:leader="none" w:pos="4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2019, we recorded impairment charges predominantly comprised of select long-lived assets that had not yet met the held for sale criteria. The fair value of these assets was supported by potential sales prices with third-party buyers and market analysis.</w:t>
      </w:r>
    </w:p>
    <w:p>
      <w:pPr>
        <w:spacing w:after="0" w:line="19" w:lineRule="exact"/>
        <w:rPr>
          <w:rFonts w:ascii="Arial" w:cs="Arial" w:eastAsia="Arial" w:hAnsi="Arial"/>
          <w:sz w:val="18"/>
          <w:szCs w:val="18"/>
          <w:color w:val="auto"/>
        </w:rPr>
      </w:pPr>
    </w:p>
    <w:p>
      <w:pPr>
        <w:ind w:left="480" w:right="140" w:hanging="313"/>
        <w:spacing w:after="0" w:line="297" w:lineRule="auto"/>
        <w:tabs>
          <w:tab w:leader="none" w:pos="474"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In connection with our disposal group classified as held for sale, as discussed in </w:t>
      </w:r>
      <w:hyperlink w:anchor="page76">
        <w:r>
          <w:rPr>
            <w:rFonts w:ascii="Arial" w:cs="Arial" w:eastAsia="Arial" w:hAnsi="Arial"/>
            <w:sz w:val="17"/>
            <w:szCs w:val="17"/>
            <w:u w:val="single" w:color="auto"/>
            <w:color w:val="0000FF"/>
          </w:rPr>
          <w:t>Note 8</w:t>
        </w:r>
      </w:hyperlink>
      <w:r>
        <w:rPr>
          <w:rFonts w:ascii="Arial" w:cs="Arial" w:eastAsia="Arial" w:hAnsi="Arial"/>
          <w:sz w:val="17"/>
          <w:szCs w:val="17"/>
          <w:color w:val="auto"/>
        </w:rPr>
        <w:t>, during 2019, we recorded impairment charges to adjust long-lived asset values. The fair value of the disposal group was supported by potential sales prices with third-party buyers.</w:t>
      </w:r>
    </w:p>
    <w:p>
      <w:pPr>
        <w:spacing w:after="0" w:line="236" w:lineRule="exact"/>
        <w:rPr>
          <w:sz w:val="20"/>
          <w:szCs w:val="20"/>
          <w:color w:val="auto"/>
        </w:rPr>
      </w:pPr>
    </w:p>
    <w:p>
      <w:pPr>
        <w:ind w:right="6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In connection with the acquisition of ONE Brands in the third quarter of 2019, as discussed in </w:t>
      </w:r>
      <w:hyperlink w:anchor="page62">
        <w:r>
          <w:rPr>
            <w:rFonts w:ascii="Arial" w:cs="Arial" w:eastAsia="Arial" w:hAnsi="Arial"/>
            <w:sz w:val="17"/>
            <w:szCs w:val="17"/>
            <w:u w:val="single" w:color="auto"/>
            <w:color w:val="0000FF"/>
          </w:rPr>
          <w:t>Note 2</w:t>
        </w:r>
      </w:hyperlink>
      <w:r>
        <w:rPr>
          <w:rFonts w:ascii="Arial" w:cs="Arial" w:eastAsia="Arial" w:hAnsi="Arial"/>
          <w:sz w:val="17"/>
          <w:szCs w:val="17"/>
          <w:color w:val="auto"/>
        </w:rPr>
        <w:t>, we used various valuation techniques to determine fair value, with the primary techniques being discounted cash flow analysis, relief-from-royalty, a form of the multi-period excess earnings and the with-and-without valuation approaches, which use significant unobservable inputs, or Level 3 inputs, as defined by the fair value hierarchy.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Activity</w:t>
      </w:r>
    </w:p>
    <w:p>
      <w:pPr>
        <w:spacing w:after="0" w:line="140" w:lineRule="exact"/>
        <w:rPr>
          <w:sz w:val="20"/>
          <w:szCs w:val="20"/>
          <w:color w:val="auto"/>
        </w:rPr>
      </w:pPr>
    </w:p>
    <w:p>
      <w:pPr>
        <w:ind w:right="140"/>
        <w:spacing w:after="0" w:line="304" w:lineRule="auto"/>
        <w:rPr>
          <w:rFonts w:ascii="Arial" w:cs="Arial" w:eastAsia="Arial" w:hAnsi="Arial"/>
          <w:sz w:val="16"/>
          <w:szCs w:val="16"/>
          <w:color w:val="auto"/>
        </w:rPr>
      </w:pPr>
      <w:r>
        <w:rPr>
          <w:rFonts w:ascii="Arial" w:cs="Arial" w:eastAsia="Arial" w:hAnsi="Arial"/>
          <w:sz w:val="16"/>
          <w:szCs w:val="16"/>
          <w:color w:val="auto"/>
        </w:rPr>
        <w:t xml:space="preserve">In connection with the acquisitions of Amplify in the first quarter of 2018 and Pirate Brands in the fourth quarter of 2018, as discussed in </w:t>
      </w:r>
      <w:hyperlink w:anchor="page62">
        <w:r>
          <w:rPr>
            <w:rFonts w:ascii="Arial" w:cs="Arial" w:eastAsia="Arial" w:hAnsi="Arial"/>
            <w:sz w:val="16"/>
            <w:szCs w:val="16"/>
            <w:u w:val="single" w:color="auto"/>
            <w:color w:val="0000FF"/>
          </w:rPr>
          <w:t>Note 2</w:t>
        </w:r>
      </w:hyperlink>
      <w:r>
        <w:rPr>
          <w:rFonts w:ascii="Arial" w:cs="Arial" w:eastAsia="Arial" w:hAnsi="Arial"/>
          <w:sz w:val="16"/>
          <w:szCs w:val="16"/>
          <w:color w:val="auto"/>
        </w:rPr>
        <w:t>, we used various valuation techniques to determine fair value, with the primary techniques being discounted cash flow analysis, relief-from-royalty, and a form of the multi-period excess earnings valuation approaches, which use significant unobservable inputs, or Level 3 inputs, as defined by the fair value hierarchy.</w:t>
      </w:r>
    </w:p>
    <w:p>
      <w:pPr>
        <w:spacing w:after="0" w:line="87" w:lineRule="exact"/>
        <w:rPr>
          <w:sz w:val="20"/>
          <w:szCs w:val="20"/>
          <w:color w:val="auto"/>
        </w:rPr>
      </w:pPr>
    </w:p>
    <w:p>
      <w:pPr>
        <w:ind w:right="2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In connection with disposal groups classified as held for sale, as discussed in </w:t>
      </w:r>
      <w:hyperlink w:anchor="page76">
        <w:r>
          <w:rPr>
            <w:rFonts w:ascii="Arial" w:cs="Arial" w:eastAsia="Arial" w:hAnsi="Arial"/>
            <w:sz w:val="17"/>
            <w:szCs w:val="17"/>
            <w:u w:val="single" w:color="auto"/>
            <w:color w:val="0000FF"/>
          </w:rPr>
          <w:t>Note 8</w:t>
        </w:r>
      </w:hyperlink>
      <w:r>
        <w:rPr>
          <w:rFonts w:ascii="Arial" w:cs="Arial" w:eastAsia="Arial" w:hAnsi="Arial"/>
          <w:sz w:val="17"/>
          <w:szCs w:val="17"/>
          <w:color w:val="auto"/>
        </w:rPr>
        <w:t>, during 2018, we recorded impairment charges totaling $57,729 to adjust the long-lived asset values within certain disposal groups, including the Shanghai Golden Monkey ("SGM") and Tyrrells businesses, the LSFC joint venture and other assets. These charges represent the excess of the disposal groups' carrying values, including the related currency translation adjustment amounts realized or to be realized upon completion of the sales, over the sales values less costs to sell for the respective businesses. The fair values of the disposal groups were supported by the sales prices paid by third-party buyers or estimated sales prices based on marketing of the disposal group, when the sale has not yet been completed. The sales of SGM and Tyrrells were both completed in July 2018.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72"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9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14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08" w:lineRule="exact"/>
        <w:rPr>
          <w:sz w:val="20"/>
          <w:szCs w:val="20"/>
          <w:color w:val="auto"/>
        </w:rPr>
      </w:pPr>
    </w:p>
    <w:p>
      <w:pPr>
        <w:spacing w:after="0" w:line="349" w:lineRule="auto"/>
        <w:rPr>
          <w:sz w:val="20"/>
          <w:szCs w:val="20"/>
          <w:color w:val="auto"/>
        </w:rPr>
      </w:pPr>
      <w:r>
        <w:rPr>
          <w:rFonts w:ascii="Arial" w:cs="Arial" w:eastAsia="Arial" w:hAnsi="Arial"/>
          <w:sz w:val="14"/>
          <w:szCs w:val="14"/>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component and non-lease components based upon relative standalone prices either observable or estimated if observable prices are not readily available.</w:t>
      </w:r>
    </w:p>
    <w:p>
      <w:pPr>
        <w:spacing w:after="0" w:line="6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result of the impact of COVID-19 on our ability to operate certain parts of our business, during the year ended December 31, 2020, we received immaterial rent concessions primarily on select office space. We will continue to evaluate the nature and extent of potential COVID-19 impacts on our lease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508000</wp:posOffset>
            </wp:positionV>
            <wp:extent cx="194945" cy="169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 expense</w:t>
            </w:r>
          </w:p>
        </w:tc>
        <w:tc>
          <w:tcPr>
            <w:tcW w:w="120" w:type="dxa"/>
            <w:vAlign w:val="bottom"/>
            <w:tcBorders>
              <w:bottom w:val="single" w:sz="8" w:color="CCEEFF"/>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Classification</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2019</w:t>
            </w:r>
          </w:p>
        </w:tc>
      </w:tr>
      <w:tr>
        <w:trPr>
          <w:trHeight w:val="221"/>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 or SM&amp;A (1)</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42,580</w:t>
            </w:r>
          </w:p>
        </w:tc>
      </w:tr>
      <w:tr>
        <w:trPr>
          <w:trHeight w:val="226"/>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7"/>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(1)</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r>
      <w:tr>
        <w:trPr>
          <w:trHeight w:val="226"/>
        </w:trPr>
        <w:tc>
          <w:tcPr>
            <w:tcW w:w="3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on lease liabilities</w:t>
            </w:r>
          </w:p>
        </w:tc>
        <w:tc>
          <w:tcPr>
            <w:tcW w:w="3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w:t>
            </w:r>
          </w:p>
        </w:tc>
      </w:tr>
      <w:tr>
        <w:trPr>
          <w:trHeight w:val="246"/>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3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54,868</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80" w:hanging="313"/>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59" w:lineRule="exact"/>
        <w:rPr>
          <w:rFonts w:ascii="Arial" w:cs="Arial" w:eastAsia="Arial" w:hAnsi="Arial"/>
          <w:sz w:val="18"/>
          <w:szCs w:val="18"/>
          <w:color w:val="auto"/>
        </w:rPr>
      </w:pPr>
    </w:p>
    <w:p>
      <w:pPr>
        <w:ind w:left="480" w:hanging="313"/>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00" w:type="dxa"/>
            <w:vAlign w:val="bottom"/>
            <w:gridSpan w:val="2"/>
          </w:tcPr>
          <w:p>
            <w:pPr>
              <w:spacing w:after="0"/>
              <w:rPr>
                <w:sz w:val="20"/>
                <w:szCs w:val="20"/>
                <w:color w:val="auto"/>
              </w:rPr>
            </w:pPr>
            <w:r>
              <w:rPr>
                <w:rFonts w:ascii="Arial" w:cs="Arial" w:eastAsia="Arial" w:hAnsi="Arial"/>
                <w:sz w:val="18"/>
                <w:szCs w:val="18"/>
                <w:color w:val="auto"/>
              </w:rPr>
              <w:t>Information regarding our lease terms and discount rates were as follows: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87"/>
        </w:trPr>
        <w:tc>
          <w:tcPr>
            <w:tcW w:w="8500" w:type="dxa"/>
            <w:vAlign w:val="bottom"/>
            <w:gridSpan w:val="2"/>
          </w:tcPr>
          <w:p>
            <w:pPr>
              <w:ind w:left="7960"/>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jc w:val="right"/>
              <w:ind w:right="731"/>
              <w:spacing w:after="0"/>
              <w:rPr>
                <w:sz w:val="20"/>
                <w:szCs w:val="20"/>
                <w:color w:val="auto"/>
              </w:rPr>
            </w:pPr>
            <w:r>
              <w:rPr>
                <w:rFonts w:ascii="Arial" w:cs="Arial" w:eastAsia="Arial" w:hAnsi="Arial"/>
                <w:sz w:val="18"/>
                <w:szCs w:val="18"/>
                <w:b w:val="1"/>
                <w:bCs w:val="1"/>
                <w:color w:val="auto"/>
              </w:rPr>
              <w:t>2019</w:t>
            </w:r>
          </w:p>
        </w:tc>
      </w:tr>
      <w:tr>
        <w:trPr>
          <w:trHeight w:val="207"/>
        </w:trPr>
        <w:tc>
          <w:tcPr>
            <w:tcW w:w="714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Weighted-average remaining lease term (years)</w:t>
            </w:r>
          </w:p>
        </w:tc>
        <w:tc>
          <w:tcPr>
            <w:tcW w:w="1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26"/>
        </w:trPr>
        <w:tc>
          <w:tcPr>
            <w:tcW w:w="850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67"/>
        </w:trPr>
        <w:tc>
          <w:tcPr>
            <w:tcW w:w="7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27"/>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6"/>
        </w:trPr>
        <w:tc>
          <w:tcPr>
            <w:tcW w:w="850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640" w:type="dxa"/>
            <w:vAlign w:val="bottom"/>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were as follows:</w:t>
      </w:r>
    </w:p>
    <w:p>
      <w:pPr>
        <w:sectPr>
          <w:pgSz w:w="11900" w:h="16838" w:orient="portrait"/>
          <w:cols w:equalWidth="0" w:num="1">
            <w:col w:w="11240"/>
          </w:cols>
          <w:pgMar w:left="320" w:top="118" w:right="339" w:bottom="1440" w:gutter="0" w:footer="0" w:header="0"/>
        </w:sectPr>
      </w:pP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Leases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ROU assets</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Finance lease ROU assets, at cost</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amortization</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Finance lease ROU assets, net</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leased assets</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Non-current</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Classification</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2019</w:t>
            </w:r>
          </w:p>
        </w:tc>
      </w:tr>
      <w:tr>
        <w:trPr>
          <w:trHeight w:val="446"/>
        </w:trPr>
        <w:tc>
          <w:tcPr>
            <w:tcW w:w="374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224,268</w:t>
            </w:r>
          </w:p>
        </w:tc>
        <w:tc>
          <w:tcPr>
            <w:tcW w:w="100" w:type="dxa"/>
            <w:vAlign w:val="bottom"/>
          </w:tcPr>
          <w:p>
            <w:pPr>
              <w:spacing w:after="0"/>
              <w:rPr>
                <w:sz w:val="24"/>
                <w:szCs w:val="24"/>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220,678</w:t>
            </w:r>
          </w:p>
        </w:tc>
      </w:tr>
      <w:tr>
        <w:trPr>
          <w:trHeight w:val="493"/>
        </w:trPr>
        <w:tc>
          <w:tcPr>
            <w:tcW w:w="3740" w:type="dxa"/>
            <w:vAlign w:val="bottom"/>
            <w:gridSpan w:val="2"/>
          </w:tcPr>
          <w:p>
            <w:pPr>
              <w:spacing w:after="0"/>
              <w:rPr>
                <w:sz w:val="20"/>
                <w:szCs w:val="20"/>
                <w:color w:val="auto"/>
              </w:rPr>
            </w:pPr>
            <w:r>
              <w:rPr>
                <w:rFonts w:ascii="Arial" w:cs="Arial" w:eastAsia="Arial" w:hAnsi="Arial"/>
                <w:sz w:val="18"/>
                <w:szCs w:val="18"/>
                <w:color w:val="auto"/>
              </w:rPr>
              <w:t>Property, plant and equipment, gross</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101,426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101,142</w:t>
            </w:r>
          </w:p>
        </w:tc>
      </w:tr>
      <w:tr>
        <w:trPr>
          <w:trHeight w:val="227"/>
        </w:trPr>
        <w:tc>
          <w:tcPr>
            <w:tcW w:w="374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(7,225)</w:t>
            </w:r>
          </w:p>
        </w:tc>
      </w:tr>
      <w:tr>
        <w:trPr>
          <w:trHeight w:val="220"/>
        </w:trPr>
        <w:tc>
          <w:tcPr>
            <w:tcW w:w="37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88,065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93,917</w:t>
            </w:r>
          </w:p>
        </w:tc>
      </w:tr>
      <w:tr>
        <w:trPr>
          <w:trHeight w:val="268"/>
        </w:trPr>
        <w:tc>
          <w:tcPr>
            <w:tcW w:w="3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r>
      <w:tr>
        <w:trPr>
          <w:trHeight w:val="219"/>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312,333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314,595</w:t>
            </w:r>
          </w:p>
        </w:tc>
      </w:tr>
      <w:tr>
        <w:trPr>
          <w:trHeight w:val="21"/>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-963930</wp:posOffset>
            </wp:positionV>
            <wp:extent cx="7134225" cy="169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225" cy="1695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-650875</wp:posOffset>
            </wp:positionV>
            <wp:extent cx="7134225" cy="144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-354965</wp:posOffset>
            </wp:positionV>
            <wp:extent cx="7134225" cy="169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225" cy="1695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-16510</wp:posOffset>
            </wp:positionV>
            <wp:extent cx="7134225" cy="169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225" cy="1695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295910</wp:posOffset>
            </wp:positionV>
            <wp:extent cx="7134225" cy="144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-1260475</wp:posOffset>
            </wp:positionV>
            <wp:extent cx="7134225" cy="152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jc w:val="right"/>
              <w:ind w:right="49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36,578</w:t>
            </w:r>
          </w:p>
        </w:tc>
        <w:tc>
          <w:tcPr>
            <w:tcW w:w="100" w:type="dxa"/>
            <w:vAlign w:val="bottom"/>
          </w:tcPr>
          <w:p>
            <w:pPr>
              <w:spacing w:after="0"/>
              <w:rPr>
                <w:sz w:val="19"/>
                <w:szCs w:val="19"/>
                <w:color w:val="auto"/>
              </w:rPr>
            </w:pPr>
          </w:p>
        </w:tc>
        <w:tc>
          <w:tcPr>
            <w:tcW w:w="680" w:type="dxa"/>
            <w:vAlign w:val="bottom"/>
          </w:tcPr>
          <w:p>
            <w:pPr>
              <w:jc w:val="right"/>
              <w:ind w:right="49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29,209</w:t>
            </w:r>
          </w:p>
        </w:tc>
      </w:tr>
      <w:tr>
        <w:trPr>
          <w:trHeight w:val="227"/>
        </w:trPr>
        <w:tc>
          <w:tcPr>
            <w:tcW w:w="37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4,079</w:t>
            </w:r>
          </w:p>
        </w:tc>
      </w:tr>
      <w:tr>
        <w:trPr>
          <w:trHeight w:val="453"/>
        </w:trPr>
        <w:tc>
          <w:tcPr>
            <w:tcW w:w="37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181,871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184,163</w:t>
            </w:r>
          </w:p>
        </w:tc>
      </w:tr>
      <w:tr>
        <w:trPr>
          <w:trHeight w:val="227"/>
        </w:trPr>
        <w:tc>
          <w:tcPr>
            <w:tcW w:w="3740" w:type="dxa"/>
            <w:vAlign w:val="bottom"/>
          </w:tcPr>
          <w:p>
            <w:pPr>
              <w:spacing w:after="0"/>
              <w:rPr>
                <w:sz w:val="20"/>
                <w:szCs w:val="20"/>
                <w:color w:val="auto"/>
              </w:rPr>
            </w:pPr>
            <w:r>
              <w:rPr>
                <w:rFonts w:ascii="Arial" w:cs="Arial" w:eastAsia="Arial" w:hAnsi="Arial"/>
                <w:sz w:val="18"/>
                <w:szCs w:val="18"/>
                <w:color w:val="auto"/>
              </w:rPr>
              <w:t>Long-term debt</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75,887</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75,564</w:t>
            </w:r>
          </w:p>
        </w:tc>
      </w:tr>
      <w:tr>
        <w:trPr>
          <w:trHeight w:val="220"/>
        </w:trPr>
        <w:tc>
          <w:tcPr>
            <w:tcW w:w="3740" w:type="dxa"/>
            <w:vAlign w:val="bottom"/>
          </w:tcPr>
          <w:p>
            <w:pPr>
              <w:spacing w:after="0"/>
              <w:rPr>
                <w:sz w:val="19"/>
                <w:szCs w:val="19"/>
                <w:color w:val="auto"/>
              </w:rPr>
            </w:pPr>
          </w:p>
        </w:tc>
        <w:tc>
          <w:tcPr>
            <w:tcW w:w="6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299,204</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293,015</w:t>
            </w:r>
          </w:p>
        </w:tc>
      </w:tr>
      <w:tr>
        <w:trPr>
          <w:trHeight w:val="21"/>
        </w:trPr>
        <w:tc>
          <w:tcPr>
            <w:tcW w:w="3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-760730</wp:posOffset>
            </wp:positionV>
            <wp:extent cx="7134225" cy="144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-473075</wp:posOffset>
            </wp:positionV>
            <wp:extent cx="7134225" cy="144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-185420</wp:posOffset>
            </wp:positionV>
            <wp:extent cx="7134225" cy="169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225" cy="169545"/>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786765</wp:posOffset>
            </wp:positionV>
            <wp:extent cx="194945" cy="169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Hershey Company | 2020 Form 10-K |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194310</wp:posOffset>
            </wp:positionV>
            <wp:extent cx="713422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2">
            <w:col w:w="2880" w:space="720"/>
            <w:col w:w="7640"/>
          </w:cols>
          <w:pgMar w:left="320" w:top="118" w:right="339" w:bottom="1440" w:gutter="0" w:footer="0" w:header="0"/>
          <w:type w:val="continuous"/>
        </w:sectPr>
      </w:pPr>
    </w:p>
    <w:bookmarkStart w:id="75" w:name="page76"/>
    <w:bookmarkEnd w:id="75"/>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December 31, 2020 were as follows: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2"/>
          </w:tcPr>
          <w:p>
            <w:pPr>
              <w:ind w:left="220"/>
              <w:spacing w:after="0"/>
              <w:rPr>
                <w:sz w:val="20"/>
                <w:szCs w:val="20"/>
                <w:color w:val="auto"/>
              </w:rPr>
            </w:pPr>
            <w:r>
              <w:rPr>
                <w:rFonts w:ascii="Arial" w:cs="Arial" w:eastAsia="Arial" w:hAnsi="Arial"/>
                <w:sz w:val="18"/>
                <w:szCs w:val="18"/>
                <w:b w:val="1"/>
                <w:bCs w:val="1"/>
                <w:color w:val="auto"/>
              </w:rPr>
              <w:t>Operating leases</w:t>
            </w:r>
          </w:p>
        </w:tc>
        <w:tc>
          <w:tcPr>
            <w:tcW w:w="360" w:type="dxa"/>
            <w:vAlign w:val="bottom"/>
          </w:tcPr>
          <w:p>
            <w:pPr>
              <w:spacing w:after="0"/>
              <w:rPr>
                <w:sz w:val="20"/>
                <w:szCs w:val="20"/>
                <w:color w:val="auto"/>
              </w:rPr>
            </w:pPr>
          </w:p>
        </w:tc>
        <w:tc>
          <w:tcPr>
            <w:tcW w:w="208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Finance leases</w:t>
            </w:r>
          </w:p>
        </w:tc>
        <w:tc>
          <w:tcPr>
            <w:tcW w:w="540" w:type="dxa"/>
            <w:vAlign w:val="bottom"/>
          </w:tcPr>
          <w:p>
            <w:pPr>
              <w:spacing w:after="0"/>
              <w:rPr>
                <w:sz w:val="20"/>
                <w:szCs w:val="20"/>
                <w:color w:val="auto"/>
              </w:rPr>
            </w:pPr>
          </w:p>
        </w:tc>
        <w:tc>
          <w:tcPr>
            <w:tcW w:w="1820" w:type="dxa"/>
            <w:vAlign w:val="bottom"/>
          </w:tcPr>
          <w:p>
            <w:pPr>
              <w:jc w:val="right"/>
              <w:ind w:right="891"/>
              <w:spacing w:after="0"/>
              <w:rPr>
                <w:sz w:val="20"/>
                <w:szCs w:val="20"/>
                <w:color w:val="auto"/>
              </w:rPr>
            </w:pPr>
            <w:r>
              <w:rPr>
                <w:rFonts w:ascii="Arial" w:cs="Arial" w:eastAsia="Arial" w:hAnsi="Arial"/>
                <w:sz w:val="18"/>
                <w:szCs w:val="18"/>
                <w:b w:val="1"/>
                <w:bCs w:val="1"/>
                <w:color w:val="auto"/>
              </w:rPr>
              <w:t>Total</w:t>
            </w:r>
          </w:p>
        </w:tc>
      </w:tr>
      <w:tr>
        <w:trPr>
          <w:trHeight w:val="221"/>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52,457</w:t>
            </w: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30,135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7,087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37,222</w:t>
            </w:r>
          </w:p>
        </w:tc>
      </w:tr>
      <w:tr>
        <w:trPr>
          <w:trHeight w:val="22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24,602</w:t>
            </w: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14,778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19,451</w:t>
            </w:r>
          </w:p>
        </w:tc>
      </w:tr>
      <w:tr>
        <w:trPr>
          <w:trHeight w:val="22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17,858</w:t>
            </w:r>
          </w:p>
        </w:tc>
      </w:tr>
      <w:tr>
        <w:trPr>
          <w:trHeight w:val="22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161,244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321,491</w:t>
            </w:r>
          </w:p>
        </w:tc>
      </w:tr>
      <w:tr>
        <w:trPr>
          <w:trHeight w:val="221"/>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473,081</w:t>
            </w:r>
          </w:p>
        </w:tc>
      </w:tr>
      <w:tr>
        <w:trPr>
          <w:trHeight w:val="22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110,553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173,877</w:t>
            </w:r>
          </w:p>
        </w:tc>
      </w:tr>
      <w:tr>
        <w:trPr>
          <w:trHeight w:val="246"/>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299,204</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40" w:type="dxa"/>
            <w:vAlign w:val="bottom"/>
          </w:tcPr>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47"/>
        </w:trPr>
        <w:tc>
          <w:tcPr>
            <w:tcW w:w="73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2019</w:t>
            </w:r>
          </w:p>
        </w:tc>
      </w:tr>
      <w:tr>
        <w:trPr>
          <w:trHeight w:val="207"/>
        </w:trPr>
        <w:tc>
          <w:tcPr>
            <w:tcW w:w="73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6"/>
        </w:trPr>
        <w:tc>
          <w:tcPr>
            <w:tcW w:w="734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42,568</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39,910</w:t>
            </w:r>
          </w:p>
        </w:tc>
      </w:tr>
      <w:tr>
        <w:trPr>
          <w:trHeight w:val="227"/>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r>
      <w:tr>
        <w:trPr>
          <w:trHeight w:val="226"/>
        </w:trPr>
        <w:tc>
          <w:tcPr>
            <w:tcW w:w="73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4,018</w:t>
            </w:r>
          </w:p>
        </w:tc>
      </w:tr>
      <w:tr>
        <w:trPr>
          <w:trHeight w:val="267"/>
        </w:trPr>
        <w:tc>
          <w:tcPr>
            <w:tcW w:w="73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6"/>
        </w:trPr>
        <w:tc>
          <w:tcPr>
            <w:tcW w:w="734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7"/>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w:t>
            </w: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7,943</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ASSETS AND LIABILITIES HELD FOR SALE</w:t>
      </w:r>
    </w:p>
    <w:p>
      <w:pPr>
        <w:spacing w:after="0" w:line="172"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As of December 31, 2020, the following disposal group has been classified as held for sale and stated at the lower of net book value or estimated sales value less costs to sell:</w:t>
      </w:r>
    </w:p>
    <w:p>
      <w:pPr>
        <w:spacing w:after="0" w:line="126" w:lineRule="exact"/>
        <w:rPr>
          <w:sz w:val="20"/>
          <w:szCs w:val="20"/>
          <w:color w:val="auto"/>
        </w:rPr>
      </w:pPr>
    </w:p>
    <w:p>
      <w:pPr>
        <w:ind w:left="640" w:right="220" w:hanging="314"/>
        <w:spacing w:after="0" w:line="257"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October 2020, we entered into a definitive agreement to divest the LSFC joint venture, which was taken out of operation during the second quarter of 2018. The transaction was subject to government approval and other customary closing conditions. The sale of LSFC was completed in January 2021. Total proceeds from the sale, net of cash divested, was immaterial.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2019, we completed the sale of one disposal group that had been previously classified as assets held for sale, as follows:</w:t>
      </w:r>
    </w:p>
    <w:p>
      <w:pPr>
        <w:spacing w:after="0" w:line="166" w:lineRule="exact"/>
        <w:rPr>
          <w:sz w:val="20"/>
          <w:szCs w:val="20"/>
          <w:color w:val="auto"/>
        </w:rPr>
      </w:pPr>
    </w:p>
    <w:p>
      <w:pPr>
        <w:ind w:left="640" w:right="320" w:hanging="314"/>
        <w:spacing w:after="0" w:line="330" w:lineRule="auto"/>
        <w:tabs>
          <w:tab w:leader="none" w:pos="6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December 2019, we sold select Pennsylvania facilities and land for sales proceeds of approximately $27,613, resulting in a gain on the sale of $11,289, which is recorded in the selling, marketing and administrative expense caption within the Consolidated Statements of Income.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During 2018, we completed the sale of other disposal groups that had been previously classified as assets and liabilities held for sale, as follows:</w:t>
      </w:r>
    </w:p>
    <w:p>
      <w:pPr>
        <w:spacing w:after="0" w:line="178" w:lineRule="exact"/>
        <w:rPr>
          <w:sz w:val="20"/>
          <w:szCs w:val="20"/>
          <w:color w:val="auto"/>
        </w:rPr>
      </w:pPr>
    </w:p>
    <w:p>
      <w:pPr>
        <w:ind w:left="640" w:right="280" w:hanging="314"/>
        <w:spacing w:after="0" w:line="257"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April 2018, we sold the licensing rights for a non-core trademark relating to a brand marketed outside of the United States for sale proceeds of approximately $13,000, realizing in a gain on the sale of $2,658, which is recorded in the selling, marketing and administrative expense caption within the Consolidated Statements of Income.</w:t>
      </w:r>
    </w:p>
    <w:p>
      <w:pPr>
        <w:spacing w:after="0" w:line="134" w:lineRule="exact"/>
        <w:rPr>
          <w:rFonts w:ascii="Arial" w:cs="Arial" w:eastAsia="Arial" w:hAnsi="Arial"/>
          <w:sz w:val="18"/>
          <w:szCs w:val="18"/>
          <w:color w:val="auto"/>
        </w:rPr>
      </w:pPr>
    </w:p>
    <w:p>
      <w:pPr>
        <w:ind w:left="640" w:right="300" w:hanging="314"/>
        <w:spacing w:after="0" w:line="267"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the second and third quarters of 2018, we sold select China facilities that were taken out of operation and classified as assets held for sale during the first quarter of 2017 in connection with the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417830</wp:posOffset>
            </wp:positionV>
            <wp:extent cx="194945" cy="169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360"/>
        <w:spacing w:after="0" w:line="267" w:lineRule="auto"/>
        <w:rPr>
          <w:rFonts w:ascii="Arial" w:cs="Arial" w:eastAsia="Arial" w:hAnsi="Arial"/>
          <w:sz w:val="18"/>
          <w:szCs w:val="18"/>
          <w:color w:val="auto"/>
        </w:rPr>
      </w:pPr>
      <w:r>
        <w:rPr>
          <w:rFonts w:ascii="Arial" w:cs="Arial" w:eastAsia="Arial" w:hAnsi="Arial"/>
          <w:sz w:val="18"/>
          <w:szCs w:val="18"/>
          <w:color w:val="auto"/>
        </w:rPr>
        <w:t xml:space="preserve">Optimization Program (as defined in </w:t>
      </w:r>
      <w:hyperlink w:anchor="page77">
        <w:r>
          <w:rPr>
            <w:rFonts w:ascii="Arial" w:cs="Arial" w:eastAsia="Arial" w:hAnsi="Arial"/>
            <w:sz w:val="18"/>
            <w:szCs w:val="18"/>
            <w:u w:val="single" w:color="auto"/>
            <w:color w:val="0000FF"/>
          </w:rPr>
          <w:t>Note 9</w:t>
        </w:r>
      </w:hyperlink>
      <w:r>
        <w:rPr>
          <w:rFonts w:ascii="Arial" w:cs="Arial" w:eastAsia="Arial" w:hAnsi="Arial"/>
          <w:sz w:val="18"/>
          <w:szCs w:val="18"/>
          <w:color w:val="auto"/>
        </w:rPr>
        <w:t>). Proceeds from the sale of these facilities totaled $27,468, resulting in a gain on the sale of $6,562, which is recorded in the business realignment costs caption within the Consolidated Statements of Income.</w:t>
      </w:r>
    </w:p>
    <w:p>
      <w:pPr>
        <w:spacing w:after="0" w:line="126" w:lineRule="exact"/>
        <w:rPr>
          <w:sz w:val="20"/>
          <w:szCs w:val="20"/>
          <w:color w:val="auto"/>
        </w:rPr>
      </w:pPr>
    </w:p>
    <w:p>
      <w:pPr>
        <w:ind w:left="640" w:right="100" w:hanging="314"/>
        <w:spacing w:after="0" w:line="257" w:lineRule="auto"/>
        <w:tabs>
          <w:tab w:leader="none" w:pos="635"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July 2018, we sold the Tyrrells and SGM businesses, both of which were previously classified as held for sale. Total proceeds from the sale of Tyrrells and SGM, net of cash divested, were approximately $171,950. We recorded impairment charges of $28,817 to adjust the book values of the disposal groups to the sales value less costs to sell.</w:t>
      </w:r>
    </w:p>
    <w:p>
      <w:pPr>
        <w:spacing w:after="0" w:line="221" w:lineRule="exact"/>
        <w:rPr>
          <w:rFonts w:ascii="Arial" w:cs="Arial" w:eastAsia="Arial" w:hAnsi="Arial"/>
          <w:sz w:val="18"/>
          <w:szCs w:val="18"/>
          <w:color w:val="auto"/>
        </w:rPr>
      </w:pPr>
    </w:p>
    <w:p>
      <w:pPr>
        <w:ind w:left="180" w:hanging="173"/>
        <w:spacing w:after="0"/>
        <w:tabs>
          <w:tab w:leader="none" w:pos="1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REALIGNMENT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We periodically undertake business realignment activities designed to increase our efficiency and focus our business in support of our key growth strategies.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business realignment activities are classified in our Consolidated Statements of Income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2018</w:t>
            </w:r>
          </w:p>
        </w:tc>
      </w:tr>
      <w:tr>
        <w:trPr>
          <w:trHeight w:val="221"/>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2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1"/>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11,323</w:t>
            </w:r>
          </w:p>
        </w:tc>
      </w:tr>
      <w:tr>
        <w:trPr>
          <w:trHeight w:val="226"/>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Selling, marketing and administrative expense</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10,801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21,401</w:t>
            </w:r>
          </w:p>
        </w:tc>
      </w:tr>
      <w:tr>
        <w:trPr>
          <w:trHeight w:val="227"/>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realignment costs</w:t>
            </w:r>
          </w:p>
        </w:tc>
        <w:tc>
          <w:tcPr>
            <w:tcW w:w="1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18,503</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19,103</w:t>
            </w:r>
          </w:p>
        </w:tc>
      </w:tr>
      <w:tr>
        <w:trPr>
          <w:trHeight w:val="221"/>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122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31,513</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7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51,827</w:t>
            </w: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by program in 2020, 2019 and 2018 related to these activities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2018</w:t>
            </w:r>
          </w:p>
        </w:tc>
      </w:tr>
      <w:tr>
        <w:trPr>
          <w:trHeight w:val="221"/>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 Optimization Program:</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6"/>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Severance</w:t>
            </w: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18,977</w:t>
            </w:r>
          </w:p>
        </w:tc>
        <w:tc>
          <w:tcPr>
            <w:tcW w:w="100" w:type="dxa"/>
            <w:vAlign w:val="bottom"/>
          </w:tcPr>
          <w:p>
            <w:pPr>
              <w:spacing w:after="0"/>
              <w:rPr>
                <w:sz w:val="19"/>
                <w:szCs w:val="19"/>
                <w:color w:val="auto"/>
              </w:rPr>
            </w:pPr>
          </w:p>
        </w:tc>
        <w:tc>
          <w:tcPr>
            <w:tcW w:w="1280" w:type="dxa"/>
            <w:vAlign w:val="bottom"/>
          </w:tcPr>
          <w:p>
            <w:pPr>
              <w:jc w:val="right"/>
              <w:ind w:right="1071"/>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program costs</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Margin for Growth Program:</w:t>
            </w: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7"/>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Severance</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15,378</w:t>
            </w:r>
          </w:p>
        </w:tc>
      </w:tr>
      <w:tr>
        <w:trPr>
          <w:trHeight w:val="226"/>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Accelerated depreciation</w:t>
            </w:r>
          </w:p>
        </w:tc>
        <w:tc>
          <w:tcPr>
            <w:tcW w:w="12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9,131</w:t>
            </w:r>
          </w:p>
        </w:tc>
      </w:tr>
      <w:tr>
        <w:trPr>
          <w:trHeight w:val="227"/>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program costs</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30,940</w:t>
            </w:r>
          </w:p>
        </w:tc>
      </w:tr>
      <w:tr>
        <w:trPr>
          <w:trHeight w:val="226"/>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Operational Optimization Program:</w:t>
            </w: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7"/>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on sale of facilities</w:t>
            </w:r>
          </w:p>
        </w:tc>
        <w:tc>
          <w:tcPr>
            <w:tcW w:w="1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r>
      <w:tr>
        <w:trPr>
          <w:trHeight w:val="226"/>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Other program costs</w:t>
            </w:r>
          </w:p>
        </w:tc>
        <w:tc>
          <w:tcPr>
            <w:tcW w:w="12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2,940</w:t>
            </w:r>
          </w:p>
        </w:tc>
      </w:tr>
      <w:tr>
        <w:trPr>
          <w:trHeight w:val="246"/>
        </w:trPr>
        <w:tc>
          <w:tcPr>
            <w:tcW w:w="5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1071"/>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year ended December 31, 2020:</w:t>
      </w:r>
    </w:p>
    <w:p>
      <w:pPr>
        <w:spacing w:after="0" w:line="120" w:lineRule="exact"/>
        <w:rPr>
          <w:sz w:val="20"/>
          <w:szCs w:val="20"/>
          <w:color w:val="auto"/>
        </w:rPr>
      </w:pPr>
    </w:p>
    <w:p>
      <w:pPr>
        <w:ind w:left="1010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52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balance at December 31, 2019</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2020 business realignment charges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Cash payments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balance at December 31, 2020 (reported within accrued liabilities and other long-term liabilities)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 The costs reflected in the liability roll-forward represent employee-related and certain third-party service provider charges.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780" w:type="dxa"/>
            <w:vAlign w:val="bottom"/>
            <w:tcBorders>
              <w:top w:val="single" w:sz="8" w:color="auto"/>
            </w:tcBorders>
          </w:tcPr>
          <w:p>
            <w:pPr>
              <w:jc w:val="right"/>
              <w:ind w:right="57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9,118</w:t>
            </w:r>
          </w:p>
        </w:tc>
      </w:tr>
    </w:tbl>
    <w:p>
      <w:pPr>
        <w:ind w:left="1340"/>
        <w:spacing w:after="0"/>
        <w:rPr>
          <w:sz w:val="20"/>
          <w:szCs w:val="20"/>
          <w:color w:val="auto"/>
        </w:rPr>
      </w:pPr>
      <w:r>
        <w:rPr>
          <w:rFonts w:ascii="Arial" w:cs="Arial" w:eastAsia="Arial" w:hAnsi="Arial"/>
          <w:sz w:val="18"/>
          <w:szCs w:val="18"/>
          <w:color w:val="auto"/>
        </w:rPr>
        <w:t>29,319</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(25,689)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2014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spacing w:after="0" w:line="24" w:lineRule="exact"/>
        <w:rPr>
          <w:sz w:val="20"/>
          <w:szCs w:val="20"/>
          <w:color w:val="auto"/>
        </w:rPr>
      </w:pPr>
    </w:p>
    <w:p>
      <w:pPr>
        <w:ind w:left="1340" w:hanging="1313"/>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12,748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12014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142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37465</wp:posOffset>
            </wp:positionV>
            <wp:extent cx="12014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1420" cy="8255"/>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1010285</wp:posOffset>
            </wp:positionV>
            <wp:extent cx="194945" cy="169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590" w:lineRule="exact"/>
        <w:rPr>
          <w:sz w:val="20"/>
          <w:szCs w:val="20"/>
          <w:color w:val="auto"/>
        </w:rPr>
      </w:pPr>
    </w:p>
    <w:p>
      <w:pPr>
        <w:sectPr>
          <w:pgSz w:w="11900" w:h="16838" w:orient="portrait"/>
          <w:cols w:equalWidth="0" w:num="2">
            <w:col w:w="9200" w:space="140"/>
            <w:col w:w="190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7" w:name="page78"/>
    <w:bookmarkEnd w:id="77"/>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International Optimization Program</w:t>
      </w:r>
    </w:p>
    <w:p>
      <w:pPr>
        <w:spacing w:after="0" w:line="166" w:lineRule="exact"/>
        <w:rPr>
          <w:sz w:val="20"/>
          <w:szCs w:val="20"/>
          <w:color w:val="auto"/>
        </w:rPr>
      </w:pPr>
    </w:p>
    <w:p>
      <w:pPr>
        <w:ind w:right="680"/>
        <w:spacing w:after="0" w:line="257" w:lineRule="auto"/>
        <w:rPr>
          <w:sz w:val="20"/>
          <w:szCs w:val="20"/>
          <w:color w:val="auto"/>
        </w:rPr>
      </w:pPr>
      <w:r>
        <w:rPr>
          <w:rFonts w:ascii="Arial" w:cs="Arial" w:eastAsia="Arial" w:hAnsi="Arial"/>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International Optimization Program is expected to be completed by mid-2022, with total pre-tax costs anticipated to be $50,000 to $75,000. Cash costs are expected to be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and Other segment. However, segment operating results do not include these business realignment expenses because we evaluate segment performance excluding such costs.</w:t>
      </w:r>
    </w:p>
    <w:p>
      <w:pPr>
        <w:spacing w:after="0" w:line="1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year ended December 31, 2020, we recognized total costs associated with the International Optimization Program of $29,343. These charges predominantly included severance and employee benefit costs. In addition, we incurred other program costs, which related to third-party charges in support of our initiative to transform our China operating model.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100" w:lineRule="exact"/>
        <w:rPr>
          <w:sz w:val="20"/>
          <w:szCs w:val="20"/>
          <w:color w:val="auto"/>
        </w:rPr>
      </w:pPr>
    </w:p>
    <w:p>
      <w:pPr>
        <w:ind w:right="620"/>
        <w:spacing w:after="0" w:line="257" w:lineRule="auto"/>
        <w:rPr>
          <w:sz w:val="20"/>
          <w:szCs w:val="20"/>
          <w:color w:val="auto"/>
        </w:rPr>
      </w:pPr>
      <w:r>
        <w:rPr>
          <w:rFonts w:ascii="Arial" w:cs="Arial" w:eastAsia="Arial" w:hAnsi="Arial"/>
          <w:sz w:val="18"/>
          <w:szCs w:val="18"/>
          <w:color w:val="auto"/>
        </w:rPr>
        <w:t>In the first quarter of 2017, the Company's Board of Directors ("Board") unanimously approved several initiatives under a single program focused on improving global efficiency and effectiveness, optimizing the Company’s supply chain, streamlining the Company’s operating model and reducing administrative expenses to generate long-term savings.</w:t>
      </w:r>
    </w:p>
    <w:p>
      <w:pPr>
        <w:spacing w:after="0" w:line="1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years end ended December 31, 2020, 2019 and 2018, we recognized total costs associated with the Margin for Growth Program of $2,170, $9,238, and $55,449 respectively. These charges included employee severance, largely relating to initiatives to improve the cost structure of our corporate operating model as part of optimizing our global supply chain. In addition, we incurred other program costs, which related primarily to third-party charges in support of our initiative to improve global efficiency and effectiveness. This project was completed in mid-2020.</w:t>
      </w:r>
    </w:p>
    <w:p>
      <w:pPr>
        <w:spacing w:after="0" w:line="1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costs and related benefits of the Margin for Growth Program relate approximately 63% to the North America segment and 37% to the International and Other segment. However, segment operating results do not include these business realignment expenses because we evaluate segment performance excluding such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8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included select facility consolidations. The program encompassed the transition of our China chocolate and SGM operations into a united </w:t>
      </w:r>
      <w:r>
        <w:rPr>
          <w:rFonts w:ascii="Arial" w:cs="Arial" w:eastAsia="Arial" w:hAnsi="Arial"/>
          <w:sz w:val="18"/>
          <w:szCs w:val="18"/>
          <w:i w:val="1"/>
          <w:iCs w:val="1"/>
          <w:color w:val="auto"/>
        </w:rPr>
        <w:t>Golden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Hershey </w:t>
      </w:r>
      <w:r>
        <w:rPr>
          <w:rFonts w:ascii="Arial" w:cs="Arial" w:eastAsia="Arial" w:hAnsi="Arial"/>
          <w:sz w:val="18"/>
          <w:szCs w:val="18"/>
          <w:color w:val="auto"/>
        </w:rPr>
        <w:t>platform, including the integration of the China sales force, as well as workforce planning efforts and the consolidation of production within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China and North America.</w:t>
      </w:r>
    </w:p>
    <w:p>
      <w:pPr>
        <w:spacing w:after="0" w:line="14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During 2018, we incurred pre-tax costs totaling $2,940, relating primarily to third-party charges in support of our initiative to optimize our production and supply chain network. In addition, we completed the sale of select China facilities in 2018 that had been taken out of service in connection with the Operational Optimization Program resulting in a gain of $6,562. This program was completed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423545</wp:posOffset>
            </wp:positionV>
            <wp:extent cx="194945" cy="169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10. INCOME TAXES</w:t>
            </w: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5220" w:type="dxa"/>
            <w:vAlign w:val="bottom"/>
            <w:gridSpan w:val="3"/>
          </w:tcPr>
          <w:p>
            <w:pPr>
              <w:spacing w:after="0"/>
              <w:rPr>
                <w:sz w:val="20"/>
                <w:szCs w:val="20"/>
                <w:color w:val="auto"/>
              </w:rPr>
            </w:pPr>
            <w:r>
              <w:rPr>
                <w:rFonts w:ascii="Arial" w:cs="Arial" w:eastAsia="Arial" w:hAnsi="Arial"/>
                <w:sz w:val="18"/>
                <w:szCs w:val="18"/>
                <w:color w:val="auto"/>
              </w:rPr>
              <w:t>The components of income before income taxes were as follows:</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0" w:type="dxa"/>
            <w:vAlign w:val="bottom"/>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1,195,645</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5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w:t>
            </w: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89,743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169,733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214,416</w:t>
            </w:r>
          </w:p>
        </w:tc>
        <w:tc>
          <w:tcPr>
            <w:tcW w:w="0" w:type="dxa"/>
            <w:vAlign w:val="bottom"/>
          </w:tcPr>
          <w:p>
            <w:pPr>
              <w:spacing w:after="0"/>
              <w:rPr>
                <w:sz w:val="1"/>
                <w:szCs w:val="1"/>
                <w:color w:val="auto"/>
              </w:rPr>
            </w:pPr>
          </w:p>
        </w:tc>
      </w:tr>
      <w:tr>
        <w:trPr>
          <w:trHeight w:val="246"/>
        </w:trPr>
        <w:tc>
          <w:tcPr>
            <w:tcW w:w="80" w:type="dxa"/>
            <w:vAlign w:val="bottom"/>
          </w:tcPr>
          <w:p>
            <w:pPr>
              <w:spacing w:after="0"/>
              <w:rPr>
                <w:sz w:val="20"/>
                <w:szCs w:val="20"/>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1,494,997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1,380,784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1,410,061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6"/>
              </w:rPr>
              <w:t>The components of our provision for income taxes were as follows: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80" w:type="dxa"/>
            <w:vAlign w:val="bottom"/>
          </w:tcPr>
          <w:p>
            <w:pPr>
              <w:spacing w:after="0"/>
              <w:rPr>
                <w:sz w:val="24"/>
                <w:szCs w:val="24"/>
                <w:color w:val="auto"/>
              </w:rPr>
            </w:pPr>
          </w:p>
        </w:tc>
        <w:tc>
          <w:tcPr>
            <w:tcW w:w="51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80" w:type="dxa"/>
            <w:vAlign w:val="bottom"/>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5140" w:type="dxa"/>
            <w:vAlign w:val="bottom"/>
            <w:gridSpan w:val="2"/>
          </w:tcPr>
          <w:p>
            <w:pPr>
              <w:ind w:left="300"/>
              <w:spacing w:after="0"/>
              <w:rPr>
                <w:sz w:val="20"/>
                <w:szCs w:val="20"/>
                <w:color w:val="auto"/>
              </w:rPr>
            </w:pPr>
            <w:r>
              <w:rPr>
                <w:rFonts w:ascii="Arial" w:cs="Arial" w:eastAsia="Arial" w:hAnsi="Arial"/>
                <w:sz w:val="18"/>
                <w:szCs w:val="18"/>
                <w:color w:val="auto"/>
              </w:rPr>
              <w:t>Federal</w:t>
            </w:r>
          </w:p>
        </w:tc>
        <w:tc>
          <w:tcPr>
            <w:tcW w:w="5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117,348</w:t>
            </w:r>
          </w:p>
        </w:tc>
        <w:tc>
          <w:tcPr>
            <w:tcW w:w="120" w:type="dxa"/>
            <w:vAlign w:val="bottom"/>
          </w:tcPr>
          <w:p>
            <w:pPr>
              <w:spacing w:after="0"/>
              <w:rPr>
                <w:sz w:val="19"/>
                <w:szCs w:val="19"/>
                <w:color w:val="auto"/>
              </w:rPr>
            </w:pPr>
          </w:p>
        </w:tc>
        <w:tc>
          <w:tcPr>
            <w:tcW w:w="5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179,358</w:t>
            </w:r>
          </w:p>
        </w:tc>
        <w:tc>
          <w:tcPr>
            <w:tcW w:w="120" w:type="dxa"/>
            <w:vAlign w:val="bottom"/>
          </w:tcPr>
          <w:p>
            <w:pPr>
              <w:spacing w:after="0"/>
              <w:rPr>
                <w:sz w:val="19"/>
                <w:szCs w:val="19"/>
                <w:color w:val="auto"/>
              </w:rPr>
            </w:pPr>
          </w:p>
        </w:tc>
        <w:tc>
          <w:tcPr>
            <w:tcW w:w="5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151,107</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State</w:t>
            </w: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38,243</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514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Foreign</w:t>
            </w: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13,405</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5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192,704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249,104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202,755</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514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Deferred:</w:t>
            </w: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Federal</w:t>
            </w: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35,035</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5140" w:type="dxa"/>
            <w:vAlign w:val="bottom"/>
            <w:gridSpan w:val="2"/>
          </w:tcPr>
          <w:p>
            <w:pPr>
              <w:ind w:left="300"/>
              <w:spacing w:after="0"/>
              <w:rPr>
                <w:sz w:val="20"/>
                <w:szCs w:val="20"/>
                <w:color w:val="auto"/>
              </w:rPr>
            </w:pPr>
            <w:r>
              <w:rPr>
                <w:rFonts w:ascii="Arial" w:cs="Arial" w:eastAsia="Arial" w:hAnsi="Arial"/>
                <w:sz w:val="18"/>
                <w:szCs w:val="18"/>
                <w:color w:val="auto"/>
              </w:rPr>
              <w:t>State</w:t>
            </w: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7,572</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Foreign</w:t>
            </w: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5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36,255</w:t>
            </w:r>
          </w:p>
        </w:tc>
        <w:tc>
          <w:tcPr>
            <w:tcW w:w="0" w:type="dxa"/>
            <w:vAlign w:val="bottom"/>
          </w:tcPr>
          <w:p>
            <w:pPr>
              <w:spacing w:after="0"/>
              <w:rPr>
                <w:sz w:val="1"/>
                <w:szCs w:val="1"/>
                <w:color w:val="auto"/>
              </w:rPr>
            </w:pPr>
          </w:p>
        </w:tc>
      </w:tr>
      <w:tr>
        <w:trPr>
          <w:trHeight w:val="246"/>
        </w:trPr>
        <w:tc>
          <w:tcPr>
            <w:tcW w:w="80" w:type="dxa"/>
            <w:vAlign w:val="bottom"/>
          </w:tcPr>
          <w:p>
            <w:pPr>
              <w:spacing w:after="0"/>
              <w:rPr>
                <w:sz w:val="20"/>
                <w:szCs w:val="20"/>
                <w:color w:val="auto"/>
              </w:rPr>
            </w:pPr>
          </w:p>
        </w:tc>
        <w:tc>
          <w:tcPr>
            <w:tcW w:w="5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provision for income taxes</w:t>
            </w:r>
          </w:p>
        </w:tc>
        <w:tc>
          <w:tcPr>
            <w:tcW w:w="5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219,584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234,032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239,010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Tax Cuts and Jobs Act of 2017</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U.S. Tax Cuts and Jobs Act, enacted in December 2017 (“U.S. tax reform”), significantly changed U.S. corporate income tax laws by, among other things, reducing the U.S. corporate income tax rate to 21% starting in 2018 and creating a territorial tax system with a one-time mandatory tax on previously deferred foreign earnings of U.S. subsidiaries. During 2018, we recorded net benefits totaling $19.5 million as measurement period adjustments to the net provisional charge related to the one-time mandatory tax on previously deferred earnings of non-U.S. subsidiaries.</w:t>
      </w:r>
    </w:p>
    <w:p>
      <w:pPr>
        <w:spacing w:after="0" w:line="123" w:lineRule="exact"/>
        <w:rPr>
          <w:sz w:val="20"/>
          <w:szCs w:val="20"/>
          <w:color w:val="auto"/>
        </w:rPr>
      </w:pPr>
    </w:p>
    <w:p>
      <w:pPr>
        <w:ind w:right="800"/>
        <w:spacing w:after="0" w:line="330" w:lineRule="auto"/>
        <w:rPr>
          <w:sz w:val="20"/>
          <w:szCs w:val="20"/>
          <w:color w:val="auto"/>
        </w:rPr>
      </w:pPr>
      <w:r>
        <w:rPr>
          <w:rFonts w:ascii="Arial" w:cs="Arial" w:eastAsia="Arial" w:hAnsi="Arial"/>
          <w:sz w:val="16"/>
          <w:szCs w:val="16"/>
          <w:color w:val="auto"/>
        </w:rPr>
        <w:t>Additionally, U.S. tax reform subjects a U.S. shareholder to current tax on global intangible low-taxed income ("GILTI") earned by certain foreign subsidiaries. We have elected to not recognize deferred taxes for temporary differences until such differences reverse as GILTI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389255</wp:posOffset>
            </wp:positionV>
            <wp:extent cx="194945" cy="169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9" w:name="page80"/>
    <w:bookmarkEnd w:id="79"/>
    <w:p>
      <w:pPr>
        <w:jc w:val="center"/>
        <w:ind w:right="-17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Deferred taxes reflect temporary differences between the tax basis and financial statement carrying value of assets and liabilities. The significant temporary differences that comprised the deferred tax assets and liabilities are as follows:</w:t>
      </w:r>
    </w:p>
    <w:p>
      <w:pPr>
        <w:spacing w:after="0" w:line="93"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6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2019</w:t>
            </w:r>
          </w:p>
        </w:tc>
      </w:tr>
      <w:tr>
        <w:trPr>
          <w:trHeight w:val="221"/>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6"/>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Post-retirement benefit obligations</w:t>
            </w:r>
          </w:p>
        </w:tc>
        <w:tc>
          <w:tcPr>
            <w:tcW w:w="56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58,059</w:t>
            </w:r>
          </w:p>
        </w:tc>
        <w:tc>
          <w:tcPr>
            <w:tcW w:w="120" w:type="dxa"/>
            <w:vAlign w:val="bottom"/>
          </w:tcPr>
          <w:p>
            <w:pPr>
              <w:spacing w:after="0"/>
              <w:rPr>
                <w:sz w:val="19"/>
                <w:szCs w:val="19"/>
                <w:color w:val="auto"/>
              </w:rPr>
            </w:pPr>
          </w:p>
        </w:tc>
        <w:tc>
          <w:tcPr>
            <w:tcW w:w="56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56,384</w:t>
            </w:r>
          </w:p>
        </w:tc>
      </w:tr>
      <w:tr>
        <w:trPr>
          <w:trHeight w:val="227"/>
        </w:trPr>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reserves</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88,590</w:t>
            </w:r>
          </w:p>
        </w:tc>
      </w:tr>
      <w:tr>
        <w:trPr>
          <w:trHeight w:val="226"/>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18,831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19,304</w:t>
            </w:r>
          </w:p>
        </w:tc>
      </w:tr>
      <w:tr>
        <w:trPr>
          <w:trHeight w:val="227"/>
        </w:trPr>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Derivative instruments</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16,864</w:t>
            </w:r>
          </w:p>
        </w:tc>
      </w:tr>
      <w:tr>
        <w:trPr>
          <w:trHeight w:val="226"/>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Pension</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8,203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3,952</w:t>
            </w:r>
          </w:p>
        </w:tc>
      </w:tr>
      <w:tr>
        <w:trPr>
          <w:trHeight w:val="227"/>
        </w:trPr>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Lease liabilities</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64,988</w:t>
            </w:r>
          </w:p>
        </w:tc>
      </w:tr>
      <w:tr>
        <w:trPr>
          <w:trHeight w:val="226"/>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Accrued trade promotion reserves</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25,877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21,709</w:t>
            </w:r>
          </w:p>
        </w:tc>
      </w:tr>
      <w:tr>
        <w:trPr>
          <w:trHeight w:val="227"/>
        </w:trPr>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154,445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160,584</w:t>
            </w:r>
          </w:p>
        </w:tc>
      </w:tr>
      <w:tr>
        <w:trPr>
          <w:trHeight w:val="226"/>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Capital loss carryforwards</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15,401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26,022</w:t>
            </w:r>
          </w:p>
        </w:tc>
      </w:tr>
      <w:tr>
        <w:trPr>
          <w:trHeight w:val="227"/>
        </w:trPr>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9,685</w:t>
            </w:r>
          </w:p>
        </w:tc>
      </w:tr>
      <w:tr>
        <w:trPr>
          <w:trHeight w:val="219"/>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Gross deferred tax assets</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456,997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468,082</w:t>
            </w:r>
          </w:p>
        </w:tc>
      </w:tr>
      <w:tr>
        <w:trPr>
          <w:trHeight w:val="227"/>
        </w:trPr>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(193,310)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(206,743)</w:t>
            </w:r>
          </w:p>
        </w:tc>
      </w:tr>
      <w:tr>
        <w:trPr>
          <w:trHeight w:val="219"/>
        </w:trPr>
        <w:tc>
          <w:tcPr>
            <w:tcW w:w="6660" w:type="dxa"/>
            <w:vAlign w:val="bottom"/>
            <w:tcBorders>
              <w:bottom w:val="single" w:sz="8" w:color="CCEEFF"/>
            </w:tcBorders>
            <w:gridSpan w:val="2"/>
          </w:tcPr>
          <w:p>
            <w:pPr>
              <w:ind w:left="780"/>
              <w:spacing w:after="0"/>
              <w:rPr>
                <w:sz w:val="20"/>
                <w:szCs w:val="20"/>
                <w:color w:val="auto"/>
              </w:rPr>
            </w:pPr>
            <w:r>
              <w:rPr>
                <w:rFonts w:ascii="Arial" w:cs="Arial" w:eastAsia="Arial" w:hAnsi="Arial"/>
                <w:sz w:val="18"/>
                <w:szCs w:val="18"/>
                <w:color w:val="auto"/>
              </w:rPr>
              <w:t>Total deferred tax assets</w:t>
            </w:r>
          </w:p>
        </w:tc>
        <w:tc>
          <w:tcPr>
            <w:tcW w:w="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263,687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261,339</w:t>
            </w:r>
          </w:p>
        </w:tc>
      </w:tr>
      <w:tr>
        <w:trPr>
          <w:trHeight w:val="207"/>
        </w:trPr>
        <w:tc>
          <w:tcPr>
            <w:tcW w:w="666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Deferred tax liabilities:</w:t>
            </w:r>
          </w:p>
        </w:tc>
        <w:tc>
          <w:tcPr>
            <w:tcW w:w="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6"/>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 net</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180,633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161,449</w:t>
            </w:r>
          </w:p>
        </w:tc>
      </w:tr>
      <w:tr>
        <w:trPr>
          <w:trHeight w:val="227"/>
        </w:trPr>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Acquired intangibles</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144,314</w:t>
            </w:r>
          </w:p>
        </w:tc>
      </w:tr>
      <w:tr>
        <w:trPr>
          <w:trHeight w:val="226"/>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Lease ROU assets</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46,778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48,419</w:t>
            </w:r>
          </w:p>
        </w:tc>
      </w:tr>
      <w:tr>
        <w:trPr>
          <w:trHeight w:val="227"/>
        </w:trPr>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29,158</w:t>
            </w:r>
          </w:p>
        </w:tc>
      </w:tr>
      <w:tr>
        <w:trPr>
          <w:trHeight w:val="226"/>
        </w:trPr>
        <w:tc>
          <w:tcPr>
            <w:tcW w:w="6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46,984</w:t>
            </w:r>
          </w:p>
        </w:tc>
      </w:tr>
      <w:tr>
        <w:trPr>
          <w:trHeight w:val="220"/>
        </w:trPr>
        <w:tc>
          <w:tcPr>
            <w:tcW w:w="6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deferred tax liabilities</w:t>
            </w: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463,346</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430,324</w:t>
            </w:r>
          </w:p>
        </w:tc>
      </w:tr>
      <w:tr>
        <w:trPr>
          <w:trHeight w:val="221"/>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liabilities</w:t>
            </w:r>
          </w:p>
        </w:tc>
        <w:tc>
          <w:tcPr>
            <w:tcW w:w="5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(199,659)</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(168,985)</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2"/>
        </w:trPr>
        <w:tc>
          <w:tcPr>
            <w:tcW w:w="6660" w:type="dxa"/>
            <w:vAlign w:val="bottom"/>
            <w:gridSpan w:val="2"/>
            <w:shd w:val="clear" w:color="auto" w:fill="CCEEFF"/>
          </w:tcPr>
          <w:p>
            <w:pPr>
              <w:ind w:left="60"/>
              <w:spacing w:after="0" w:line="192" w:lineRule="exact"/>
              <w:rPr>
                <w:sz w:val="20"/>
                <w:szCs w:val="20"/>
                <w:color w:val="auto"/>
              </w:rPr>
            </w:pPr>
            <w:r>
              <w:rPr>
                <w:rFonts w:ascii="Arial" w:cs="Arial" w:eastAsia="Arial" w:hAnsi="Arial"/>
                <w:sz w:val="18"/>
                <w:szCs w:val="18"/>
                <w:color w:val="auto"/>
              </w:rPr>
              <w:t>Included in:</w:t>
            </w:r>
          </w:p>
        </w:tc>
        <w:tc>
          <w:tcPr>
            <w:tcW w:w="5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95"/>
        </w:trPr>
        <w:tc>
          <w:tcPr>
            <w:tcW w:w="6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r>
      <w:tr>
        <w:trPr>
          <w:trHeight w:val="226"/>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Non-current deferred tax assets, net</w:t>
            </w:r>
          </w:p>
        </w:tc>
        <w:tc>
          <w:tcPr>
            <w:tcW w:w="56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29,369</w:t>
            </w:r>
          </w:p>
        </w:tc>
        <w:tc>
          <w:tcPr>
            <w:tcW w:w="120" w:type="dxa"/>
            <w:vAlign w:val="bottom"/>
          </w:tcPr>
          <w:p>
            <w:pPr>
              <w:spacing w:after="0"/>
              <w:rPr>
                <w:sz w:val="19"/>
                <w:szCs w:val="19"/>
                <w:color w:val="auto"/>
              </w:rPr>
            </w:pPr>
          </w:p>
        </w:tc>
        <w:tc>
          <w:tcPr>
            <w:tcW w:w="56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31,033</w:t>
            </w:r>
          </w:p>
        </w:tc>
      </w:tr>
      <w:tr>
        <w:trPr>
          <w:trHeight w:val="227"/>
        </w:trPr>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Non-current deferred tax liabilities, net</w:t>
            </w: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(229,028)</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(200,018)</w:t>
            </w:r>
          </w:p>
        </w:tc>
      </w:tr>
      <w:tr>
        <w:trPr>
          <w:trHeight w:val="221"/>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Net deferred tax liabilities</w:t>
            </w:r>
          </w:p>
        </w:tc>
        <w:tc>
          <w:tcPr>
            <w:tcW w:w="5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(199,659)</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(168,985)</w:t>
            </w: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Changes in deferred taxes were primarily due to accelerated tax depreciation on property, plant and equipment and tax amortization of previously acquired intangibles.</w:t>
      </w:r>
    </w:p>
    <w:p>
      <w:pPr>
        <w:spacing w:after="0" w:line="127"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color w:val="auto"/>
        </w:rPr>
        <w:t>The valuation allowances as of December 31, 2020 and 2019 were primarily related to capital loss carryforwards and various foreign jurisdictions' net operating loss carryforwards and other deferred tax assets that we do not expect to realize.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410210</wp:posOffset>
            </wp:positionV>
            <wp:extent cx="194945" cy="169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80" w:name="page81"/>
    <w:bookmarkEnd w:id="80"/>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federal statutory income tax rate with our effective income tax rate:</w:t>
      </w:r>
    </w:p>
    <w:p>
      <w:pPr>
        <w:spacing w:after="0" w:line="120"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6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r>
      <w:tr>
        <w:trPr>
          <w:trHeight w:val="221"/>
        </w:trPr>
        <w:tc>
          <w:tcPr>
            <w:tcW w:w="6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Federal statutory income tax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200" w:type="dxa"/>
            <w:vAlign w:val="bottom"/>
            <w:gridSpan w:val="2"/>
          </w:tcPr>
          <w:p>
            <w:pPr>
              <w:ind w:left="100"/>
              <w:spacing w:after="0"/>
              <w:rPr>
                <w:sz w:val="20"/>
                <w:szCs w:val="20"/>
                <w:color w:val="auto"/>
              </w:rPr>
            </w:pPr>
            <w:r>
              <w:rPr>
                <w:rFonts w:ascii="Arial" w:cs="Arial" w:eastAsia="Arial" w:hAnsi="Arial"/>
                <w:sz w:val="18"/>
                <w:szCs w:val="18"/>
                <w:color w:val="auto"/>
              </w:rPr>
              <w:t>Increase (reduction) resulting from:</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7"/>
        </w:trPr>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 income taxes, net of Federal income tax benefits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9"/>
                <w:szCs w:val="19"/>
                <w:color w:val="auto"/>
              </w:rPr>
            </w:pPr>
          </w:p>
        </w:tc>
      </w:tr>
      <w:tr>
        <w:trPr>
          <w:trHeight w:val="226"/>
        </w:trPr>
        <w:tc>
          <w:tcPr>
            <w:tcW w:w="6200" w:type="dxa"/>
            <w:vAlign w:val="bottom"/>
            <w:gridSpan w:val="2"/>
          </w:tcPr>
          <w:p>
            <w:pPr>
              <w:ind w:left="420"/>
              <w:spacing w:after="0"/>
              <w:rPr>
                <w:sz w:val="20"/>
                <w:szCs w:val="20"/>
                <w:color w:val="auto"/>
              </w:rPr>
            </w:pPr>
            <w:r>
              <w:rPr>
                <w:rFonts w:ascii="Arial" w:cs="Arial" w:eastAsia="Arial" w:hAnsi="Arial"/>
                <w:sz w:val="18"/>
                <w:szCs w:val="18"/>
                <w:color w:val="auto"/>
              </w:rPr>
              <w:t>Business realignment and impairment charges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r>
      <w:tr>
        <w:trPr>
          <w:trHeight w:val="227"/>
        </w:trPr>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rate differences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r>
      <w:tr>
        <w:trPr>
          <w:trHeight w:val="226"/>
        </w:trPr>
        <w:tc>
          <w:tcPr>
            <w:tcW w:w="6200" w:type="dxa"/>
            <w:vAlign w:val="bottom"/>
            <w:gridSpan w:val="2"/>
          </w:tcPr>
          <w:p>
            <w:pPr>
              <w:ind w:left="420"/>
              <w:spacing w:after="0"/>
              <w:rPr>
                <w:sz w:val="20"/>
                <w:szCs w:val="20"/>
                <w:color w:val="auto"/>
              </w:rPr>
            </w:pPr>
            <w:r>
              <w:rPr>
                <w:rFonts w:ascii="Arial" w:cs="Arial" w:eastAsia="Arial" w:hAnsi="Arial"/>
                <w:sz w:val="18"/>
                <w:szCs w:val="18"/>
                <w:color w:val="auto"/>
              </w:rPr>
              <w:t>Historic and solar tax credits</w:t>
            </w:r>
          </w:p>
        </w:tc>
        <w:tc>
          <w:tcPr>
            <w:tcW w:w="13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r>
      <w:tr>
        <w:trPr>
          <w:trHeight w:val="227"/>
        </w:trPr>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tax reform</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r>
      <w:tr>
        <w:trPr>
          <w:trHeight w:val="226"/>
        </w:trPr>
        <w:tc>
          <w:tcPr>
            <w:tcW w:w="6200" w:type="dxa"/>
            <w:vAlign w:val="bottom"/>
            <w:gridSpan w:val="2"/>
          </w:tcPr>
          <w:p>
            <w:pPr>
              <w:ind w:left="420"/>
              <w:spacing w:after="0"/>
              <w:rPr>
                <w:sz w:val="20"/>
                <w:szCs w:val="20"/>
                <w:color w:val="auto"/>
              </w:rPr>
            </w:pPr>
            <w:r>
              <w:rPr>
                <w:rFonts w:ascii="Arial" w:cs="Arial" w:eastAsia="Arial" w:hAnsi="Arial"/>
                <w:sz w:val="18"/>
                <w:szCs w:val="18"/>
                <w:color w:val="auto"/>
              </w:rPr>
              <w:t>Tax contingencies</w:t>
            </w: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r>
      <w:tr>
        <w:trPr>
          <w:trHeight w:val="227"/>
        </w:trPr>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compensation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9"/>
                <w:szCs w:val="19"/>
                <w:color w:val="auto"/>
              </w:rPr>
            </w:pPr>
          </w:p>
        </w:tc>
      </w:tr>
      <w:tr>
        <w:trPr>
          <w:trHeight w:val="226"/>
        </w:trPr>
        <w:tc>
          <w:tcPr>
            <w:tcW w:w="6200" w:type="dxa"/>
            <w:vAlign w:val="bottom"/>
            <w:gridSpan w:val="2"/>
          </w:tcPr>
          <w:p>
            <w:pPr>
              <w:ind w:left="420"/>
              <w:spacing w:after="0"/>
              <w:rPr>
                <w:sz w:val="20"/>
                <w:szCs w:val="20"/>
                <w:color w:val="auto"/>
              </w:rPr>
            </w:pPr>
            <w:r>
              <w:rPr>
                <w:rFonts w:ascii="Arial" w:cs="Arial" w:eastAsia="Arial" w:hAnsi="Arial"/>
                <w:sz w:val="18"/>
                <w:szCs w:val="18"/>
                <w:color w:val="auto"/>
              </w:rPr>
              <w:t>Valuation allowance release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27"/>
        </w:trPr>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auto"/>
            </w:tcBorders>
            <w:shd w:val="clear" w:color="auto" w:fill="CCEEFF"/>
          </w:tcPr>
          <w:p>
            <w:pPr>
              <w:spacing w:after="0"/>
              <w:rPr>
                <w:sz w:val="19"/>
                <w:szCs w:val="19"/>
                <w:color w:val="auto"/>
              </w:rPr>
            </w:pPr>
          </w:p>
        </w:tc>
      </w:tr>
      <w:tr>
        <w:trPr>
          <w:trHeight w:val="221"/>
        </w:trPr>
        <w:tc>
          <w:tcPr>
            <w:tcW w:w="6200" w:type="dxa"/>
            <w:vAlign w:val="bottom"/>
            <w:gridSpan w:val="2"/>
          </w:tcPr>
          <w:p>
            <w:pPr>
              <w:ind w:left="100"/>
              <w:spacing w:after="0"/>
              <w:rPr>
                <w:sz w:val="20"/>
                <w:szCs w:val="20"/>
                <w:color w:val="auto"/>
              </w:rPr>
            </w:pPr>
            <w:r>
              <w:rPr>
                <w:rFonts w:ascii="Arial" w:cs="Arial" w:eastAsia="Arial" w:hAnsi="Arial"/>
                <w:sz w:val="18"/>
                <w:szCs w:val="18"/>
                <w:color w:val="auto"/>
              </w:rPr>
              <w:t>Effective income tax rate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6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b w:val="1"/>
                <w:bCs w:val="1"/>
                <w:color w:val="auto"/>
              </w:rPr>
              <w:t>2019</w:t>
            </w:r>
          </w:p>
        </w:tc>
      </w:tr>
      <w:tr>
        <w:trPr>
          <w:trHeight w:val="221"/>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5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97,530</w:t>
            </w:r>
          </w:p>
        </w:tc>
      </w:tr>
      <w:tr>
        <w:trPr>
          <w:trHeight w:val="22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Additions for tax positions taken during prior years</w:t>
            </w:r>
          </w:p>
        </w:tc>
        <w:tc>
          <w:tcPr>
            <w:tcW w:w="5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9,327</w:t>
            </w:r>
          </w:p>
        </w:tc>
      </w:tr>
      <w:tr>
        <w:trPr>
          <w:trHeight w:val="227"/>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Reductions for tax positions taken during prior years</w:t>
            </w:r>
          </w:p>
        </w:tc>
        <w:tc>
          <w:tcPr>
            <w:tcW w:w="5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2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Additions for tax positions taken during the current year</w:t>
            </w:r>
          </w:p>
        </w:tc>
        <w:tc>
          <w:tcPr>
            <w:tcW w:w="5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10,472</w:t>
            </w:r>
          </w:p>
        </w:tc>
      </w:tr>
      <w:tr>
        <w:trPr>
          <w:trHeight w:val="227"/>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5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26"/>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Expiration of statutes of limitations</w:t>
            </w:r>
          </w:p>
        </w:tc>
        <w:tc>
          <w:tcPr>
            <w:tcW w:w="5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w:t>
            </w:r>
          </w:p>
        </w:tc>
      </w:tr>
      <w:tr>
        <w:trPr>
          <w:trHeight w:val="246"/>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5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108,543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108,383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The total amount of unrecognized tax benefits that, if recognized, would affect the effective tax rate was $103,213 as of December 31, 2020 and $102,671 as of December 31, 2019.</w:t>
      </w:r>
    </w:p>
    <w:p>
      <w:pPr>
        <w:spacing w:after="0" w:line="12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report accrued interest and penalties related to unrecognized tax benefits in income tax expense. We recognized a net tax expense of $1,564, $3,824 and $1,785 in 2020, 2019 and 2018 , respectively, for interest and penalties. Accrued net interest and penalties were $11,542 as of December 31, 2020 and $9,978 as of December 31, 2019.</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Malaysia, Mexico,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w:t>
      </w:r>
    </w:p>
    <w:p>
      <w:pPr>
        <w:spacing w:after="0" w:line="12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reasonably expect reductions in the liability for unrecognized tax benefits of approximately $6,803 within the next 12 months because of the expiration of statutes of limitations and settlements of tax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671830</wp:posOffset>
            </wp:positionV>
            <wp:extent cx="194945" cy="169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1" w:name="page82"/>
    <w:bookmarkEnd w:id="81"/>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As of December 31, 2020, we had approximately $762,601 of undistributed earnings of our international subsidiaries. During 2020, previously undistributed earnings of certain international subsidiaries were no longer considered indefinitely reinvested; however, the Company had previously recognized a one-time</w:t>
      </w:r>
    </w:p>
    <w:p>
      <w:pPr>
        <w:ind w:right="280"/>
        <w:spacing w:after="0" w:line="243" w:lineRule="auto"/>
        <w:rPr>
          <w:sz w:val="20"/>
          <w:szCs w:val="20"/>
          <w:color w:val="auto"/>
        </w:rPr>
      </w:pPr>
      <w:r>
        <w:rPr>
          <w:rFonts w:ascii="Arial" w:cs="Arial" w:eastAsia="Arial" w:hAnsi="Arial"/>
          <w:sz w:val="18"/>
          <w:szCs w:val="18"/>
          <w:color w:val="auto"/>
        </w:rPr>
        <w:t>U.S. repatriation tax due under U.S. tax reform, and as a result, only an immaterial amount of withholding tax was recognized. We intend to continue to reinvest the remainder of the earnings outside of the United States for which there would be a material tax implication to distributing, such as withholding tax, for the foreseeable future and, therefore, have not recognized additional tax expense on these earnings beyond the one-time U.S. repatriation tax due under the 2017 Tax Cuts and Jobs Act.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in Partnerships Qualifying for Tax Credits</w:t>
      </w:r>
    </w:p>
    <w:p>
      <w:pPr>
        <w:spacing w:after="0" w:line="86" w:lineRule="exact"/>
        <w:rPr>
          <w:sz w:val="20"/>
          <w:szCs w:val="20"/>
          <w:color w:val="auto"/>
        </w:rPr>
      </w:pPr>
    </w:p>
    <w:p>
      <w:pPr>
        <w:ind w:right="4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We invest in partnerships which make equity investments in projects eligible to receive federal historic and energy tax credits. The investments are accounted for under the equity method and reported within other non-current assets in our Consolidated Balance Sheets. The tax credits, when realized, are recognized as a reduction of tax expense under the flow-through method, at which time the corresponding equity investment is written-down to reflect the remaining value of the future benefits to be realized. For the years ended December 31, 2020, 2019 and 2018 we recognized investment tax credits and related outside basis difference benefits totaling $146,021, $58,798 and $60,111, respectively, and we wrote-down the equity investment by $125,579, $50,457 and $50,329, respectively, to reflect the realization of these benefits. The equity investment write-down is reflected within other (income) expense, net in the Consolidated Statements of Income (see </w:t>
      </w:r>
      <w:hyperlink w:anchor="page97">
        <w:r>
          <w:rPr>
            <w:rFonts w:ascii="Arial" w:cs="Arial" w:eastAsia="Arial" w:hAnsi="Arial"/>
            <w:sz w:val="17"/>
            <w:szCs w:val="17"/>
            <w:u w:val="single" w:color="auto"/>
            <w:color w:val="0000FF"/>
          </w:rPr>
          <w:t>Note 17</w:t>
        </w:r>
      </w:hyperlink>
      <w:r>
        <w:rPr>
          <w:rFonts w:ascii="Arial" w:cs="Arial" w:eastAsia="Arial" w:hAnsi="Arial"/>
          <w:sz w:val="17"/>
          <w:szCs w:val="17"/>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Coronavirus Aid, Relief, and Economic Security Act</w:t>
      </w:r>
    </w:p>
    <w:p>
      <w:pPr>
        <w:spacing w:after="0" w:line="100"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On March 27, 2020, the Coronavirus Aid, Relief, and Economic Security (“CARES”) Act was signed into law. The CARES Act provides a substantial stimulus and assistance package intended to address the impact of the COVID-19 pandemic, including tax relief and government loans, grants and investments. The CARES Act did not have a material impact on our consolidated financial statements for the year ended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sponsor a number of defined benefit pension plans. The primary plans are The Hershey Company Retirement Plan and The Hershey Company Retirement Plan for Hourly Employees. These are cash balance plans that provide pension benefits for most domestic employees hired prior to January 1, 2007. We also sponsor two post-retirement benefit plans: health care and life insurance. The health care plan is contributory, with participants’ contributions adjusted annually. The life insurance plan is non-contributory.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418465</wp:posOffset>
            </wp:positionV>
            <wp:extent cx="194945" cy="169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center"/>
        <w:ind w:right="-17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Obligations and Funded Status</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93"/>
        </w:trPr>
        <w:tc>
          <w:tcPr>
            <w:tcW w:w="8280" w:type="dxa"/>
            <w:vAlign w:val="bottom"/>
            <w:gridSpan w:val="9"/>
          </w:tcPr>
          <w:p>
            <w:pPr>
              <w:spacing w:after="0"/>
              <w:rPr>
                <w:sz w:val="20"/>
                <w:szCs w:val="20"/>
                <w:color w:val="auto"/>
              </w:rPr>
            </w:pPr>
            <w:r>
              <w:rPr>
                <w:rFonts w:ascii="Arial" w:cs="Arial" w:eastAsia="Arial" w:hAnsi="Arial"/>
                <w:sz w:val="18"/>
                <w:szCs w:val="18"/>
                <w:color w:val="auto"/>
                <w:w w:val="96"/>
              </w:rPr>
              <w:t>A summary of the changes in benefit obligations, plan assets and funded status of these plans is as follows: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7"/>
        </w:trPr>
        <w:tc>
          <w:tcPr>
            <w:tcW w:w="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gridSpan w:val="5"/>
          </w:tcPr>
          <w:p>
            <w:pPr>
              <w:ind w:left="480"/>
              <w:spacing w:after="0"/>
              <w:rPr>
                <w:sz w:val="20"/>
                <w:szCs w:val="20"/>
                <w:color w:val="auto"/>
              </w:rPr>
            </w:pPr>
            <w:r>
              <w:rPr>
                <w:rFonts w:ascii="Arial" w:cs="Arial" w:eastAsia="Arial" w:hAnsi="Arial"/>
                <w:sz w:val="18"/>
                <w:szCs w:val="18"/>
                <w:b w:val="1"/>
                <w:bCs w:val="1"/>
                <w:color w:val="auto"/>
              </w:rPr>
              <w:t>Pension Benefits</w:t>
            </w:r>
          </w:p>
        </w:tc>
        <w:tc>
          <w:tcPr>
            <w:tcW w:w="38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Other Benefits</w:t>
            </w:r>
          </w:p>
        </w:tc>
        <w:tc>
          <w:tcPr>
            <w:tcW w:w="860" w:type="dxa"/>
            <w:vAlign w:val="bottom"/>
          </w:tcPr>
          <w:p>
            <w:pPr>
              <w:spacing w:after="0"/>
              <w:rPr>
                <w:sz w:val="24"/>
                <w:szCs w:val="24"/>
                <w:color w:val="auto"/>
              </w:rPr>
            </w:pPr>
          </w:p>
        </w:tc>
      </w:tr>
      <w:tr>
        <w:trPr>
          <w:trHeight w:val="221"/>
        </w:trPr>
        <w:tc>
          <w:tcPr>
            <w:tcW w:w="80" w:type="dxa"/>
            <w:vAlign w:val="bottom"/>
          </w:tcPr>
          <w:p>
            <w:pPr>
              <w:spacing w:after="0"/>
              <w:rPr>
                <w:sz w:val="19"/>
                <w:szCs w:val="19"/>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91"/>
              <w:spacing w:after="0"/>
              <w:rPr>
                <w:sz w:val="20"/>
                <w:szCs w:val="20"/>
                <w:color w:val="auto"/>
              </w:rPr>
            </w:pPr>
            <w:r>
              <w:rPr>
                <w:rFonts w:ascii="Arial" w:cs="Arial" w:eastAsia="Arial" w:hAnsi="Arial"/>
                <w:sz w:val="18"/>
                <w:szCs w:val="18"/>
                <w:b w:val="1"/>
                <w:bCs w:val="1"/>
                <w:color w:val="auto"/>
                <w:w w:val="89"/>
              </w:rPr>
              <w:t>2019</w:t>
            </w:r>
          </w:p>
        </w:tc>
      </w:tr>
      <w:tr>
        <w:trPr>
          <w:trHeight w:val="220"/>
        </w:trPr>
        <w:tc>
          <w:tcPr>
            <w:tcW w:w="80" w:type="dxa"/>
            <w:vAlign w:val="bottom"/>
          </w:tcPr>
          <w:p>
            <w:pPr>
              <w:spacing w:after="0"/>
              <w:rPr>
                <w:sz w:val="19"/>
                <w:szCs w:val="19"/>
                <w:color w:val="auto"/>
              </w:rPr>
            </w:pPr>
          </w:p>
        </w:tc>
        <w:tc>
          <w:tcPr>
            <w:tcW w:w="49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Change in benefit obligation</w:t>
            </w:r>
          </w:p>
        </w:tc>
        <w:tc>
          <w:tcPr>
            <w:tcW w:w="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26"/>
        </w:trPr>
        <w:tc>
          <w:tcPr>
            <w:tcW w:w="80" w:type="dxa"/>
            <w:vAlign w:val="bottom"/>
          </w:tcPr>
          <w:p>
            <w:pPr>
              <w:spacing w:after="0"/>
              <w:rPr>
                <w:sz w:val="19"/>
                <w:szCs w:val="19"/>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Projected benefit obligation at beginning of year</w:t>
            </w:r>
          </w:p>
        </w:tc>
        <w:tc>
          <w:tcPr>
            <w:tcW w:w="3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1,105,206</w:t>
            </w:r>
          </w:p>
        </w:tc>
        <w:tc>
          <w:tcPr>
            <w:tcW w:w="120" w:type="dxa"/>
            <w:vAlign w:val="bottom"/>
          </w:tcPr>
          <w:p>
            <w:pPr>
              <w:spacing w:after="0"/>
              <w:rPr>
                <w:sz w:val="19"/>
                <w:szCs w:val="19"/>
                <w:color w:val="auto"/>
              </w:rPr>
            </w:pPr>
          </w:p>
        </w:tc>
        <w:tc>
          <w:tcPr>
            <w:tcW w:w="3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1,031,206</w:t>
            </w:r>
          </w:p>
        </w:tc>
        <w:tc>
          <w:tcPr>
            <w:tcW w:w="220" w:type="dxa"/>
            <w:vAlign w:val="bottom"/>
          </w:tcPr>
          <w:p>
            <w:pPr>
              <w:spacing w:after="0"/>
              <w:rPr>
                <w:sz w:val="19"/>
                <w:szCs w:val="19"/>
                <w:color w:val="auto"/>
              </w:rPr>
            </w:pP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230,457</w:t>
            </w:r>
          </w:p>
        </w:tc>
        <w:tc>
          <w:tcPr>
            <w:tcW w:w="100" w:type="dxa"/>
            <w:vAlign w:val="bottom"/>
          </w:tcPr>
          <w:p>
            <w:pPr>
              <w:spacing w:after="0"/>
              <w:rPr>
                <w:sz w:val="19"/>
                <w:szCs w:val="19"/>
                <w:color w:val="auto"/>
              </w:rPr>
            </w:pPr>
          </w:p>
        </w:tc>
        <w:tc>
          <w:tcPr>
            <w:tcW w:w="5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214,719</w:t>
            </w:r>
          </w:p>
        </w:tc>
      </w:tr>
      <w:tr>
        <w:trPr>
          <w:trHeight w:val="227"/>
        </w:trPr>
        <w:tc>
          <w:tcPr>
            <w:tcW w:w="80" w:type="dxa"/>
            <w:vAlign w:val="bottom"/>
          </w:tcPr>
          <w:p>
            <w:pPr>
              <w:spacing w:after="0"/>
              <w:rPr>
                <w:sz w:val="19"/>
                <w:szCs w:val="19"/>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6"/>
        </w:trPr>
        <w:tc>
          <w:tcPr>
            <w:tcW w:w="80" w:type="dxa"/>
            <w:vAlign w:val="bottom"/>
          </w:tcPr>
          <w:p>
            <w:pPr>
              <w:spacing w:after="0"/>
              <w:rPr>
                <w:sz w:val="19"/>
                <w:szCs w:val="19"/>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35,756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7,837</w:t>
            </w:r>
          </w:p>
        </w:tc>
      </w:tr>
      <w:tr>
        <w:trPr>
          <w:trHeight w:val="227"/>
        </w:trPr>
        <w:tc>
          <w:tcPr>
            <w:tcW w:w="80" w:type="dxa"/>
            <w:vAlign w:val="bottom"/>
          </w:tcPr>
          <w:p>
            <w:pPr>
              <w:spacing w:after="0"/>
              <w:rPr>
                <w:sz w:val="19"/>
                <w:szCs w:val="19"/>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Actuarial loss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89,092</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23,635</w:t>
            </w:r>
          </w:p>
        </w:tc>
      </w:tr>
      <w:tr>
        <w:trPr>
          <w:trHeight w:val="226"/>
        </w:trPr>
        <w:tc>
          <w:tcPr>
            <w:tcW w:w="80" w:type="dxa"/>
            <w:vAlign w:val="bottom"/>
          </w:tcPr>
          <w:p>
            <w:pPr>
              <w:spacing w:after="0"/>
              <w:rPr>
                <w:sz w:val="19"/>
                <w:szCs w:val="19"/>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Settlement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(21,445)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0" w:type="dxa"/>
            <w:vAlign w:val="bottom"/>
          </w:tcPr>
          <w:p>
            <w:pPr>
              <w:spacing w:after="0"/>
              <w:rPr>
                <w:sz w:val="19"/>
                <w:szCs w:val="19"/>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Currency translation and other</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26"/>
        </w:trPr>
        <w:tc>
          <w:tcPr>
            <w:tcW w:w="80" w:type="dxa"/>
            <w:vAlign w:val="bottom"/>
          </w:tcPr>
          <w:p>
            <w:pPr>
              <w:spacing w:after="0"/>
              <w:rPr>
                <w:sz w:val="19"/>
                <w:szCs w:val="19"/>
                <w:color w:val="auto"/>
              </w:rPr>
            </w:pPr>
          </w:p>
        </w:tc>
        <w:tc>
          <w:tcPr>
            <w:tcW w:w="5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(53,237)</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(16,474)</w:t>
            </w:r>
          </w:p>
        </w:tc>
      </w:tr>
      <w:tr>
        <w:trPr>
          <w:trHeight w:val="221"/>
        </w:trPr>
        <w:tc>
          <w:tcPr>
            <w:tcW w:w="80" w:type="dxa"/>
            <w:vAlign w:val="bottom"/>
          </w:tcPr>
          <w:p>
            <w:pPr>
              <w:spacing w:after="0"/>
              <w:rPr>
                <w:sz w:val="19"/>
                <w:szCs w:val="19"/>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Projected benefit obligation at end of year</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1,168,838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1,105,206</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243,308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230,457</w:t>
            </w:r>
          </w:p>
        </w:tc>
      </w:tr>
      <w:tr>
        <w:trPr>
          <w:trHeight w:val="207"/>
        </w:trPr>
        <w:tc>
          <w:tcPr>
            <w:tcW w:w="80" w:type="dxa"/>
            <w:vAlign w:val="bottom"/>
          </w:tcPr>
          <w:p>
            <w:pPr>
              <w:spacing w:after="0"/>
              <w:rPr>
                <w:sz w:val="17"/>
                <w:szCs w:val="17"/>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 in plan assets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7"/>
        </w:trPr>
        <w:tc>
          <w:tcPr>
            <w:tcW w:w="80" w:type="dxa"/>
            <w:vAlign w:val="bottom"/>
          </w:tcPr>
          <w:p>
            <w:pPr>
              <w:spacing w:after="0"/>
              <w:rPr>
                <w:sz w:val="19"/>
                <w:szCs w:val="19"/>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Fair value of plan assets at beginning of year</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963,861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 w:type="dxa"/>
            <w:vAlign w:val="bottom"/>
          </w:tcPr>
          <w:p>
            <w:pPr>
              <w:spacing w:after="0"/>
              <w:rPr>
                <w:sz w:val="19"/>
                <w:szCs w:val="19"/>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Actual return on plan assets</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118,812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157,931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0" w:type="dxa"/>
            <w:vAlign w:val="bottom"/>
          </w:tcPr>
          <w:p>
            <w:pPr>
              <w:spacing w:after="0"/>
              <w:rPr>
                <w:sz w:val="19"/>
                <w:szCs w:val="19"/>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Employer contributions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w:t>
            </w:r>
          </w:p>
        </w:tc>
      </w:tr>
      <w:tr>
        <w:trPr>
          <w:trHeight w:val="226"/>
        </w:trPr>
        <w:tc>
          <w:tcPr>
            <w:tcW w:w="80" w:type="dxa"/>
            <w:vAlign w:val="bottom"/>
          </w:tcPr>
          <w:p>
            <w:pPr>
              <w:spacing w:after="0"/>
              <w:rPr>
                <w:sz w:val="19"/>
                <w:szCs w:val="19"/>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Settlement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(21,445)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0" w:type="dxa"/>
            <w:vAlign w:val="bottom"/>
          </w:tcPr>
          <w:p>
            <w:pPr>
              <w:spacing w:after="0"/>
              <w:rPr>
                <w:sz w:val="19"/>
                <w:szCs w:val="19"/>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Currency translation and other</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 w:type="dxa"/>
            <w:vAlign w:val="bottom"/>
          </w:tcPr>
          <w:p>
            <w:pPr>
              <w:spacing w:after="0"/>
              <w:rPr>
                <w:sz w:val="19"/>
                <w:szCs w:val="19"/>
                <w:color w:val="auto"/>
              </w:rPr>
            </w:pPr>
          </w:p>
        </w:tc>
        <w:tc>
          <w:tcPr>
            <w:tcW w:w="5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(53,237)</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(16,474)</w:t>
            </w:r>
          </w:p>
        </w:tc>
      </w:tr>
      <w:tr>
        <w:trPr>
          <w:trHeight w:val="220"/>
        </w:trPr>
        <w:tc>
          <w:tcPr>
            <w:tcW w:w="80" w:type="dxa"/>
            <w:vAlign w:val="bottom"/>
          </w:tcPr>
          <w:p>
            <w:pPr>
              <w:spacing w:after="0"/>
              <w:rPr>
                <w:sz w:val="19"/>
                <w:szCs w:val="19"/>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Fair value of plan assets at end of year</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1,053,438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80" w:type="dxa"/>
            <w:vAlign w:val="bottom"/>
          </w:tcPr>
          <w:p>
            <w:pPr>
              <w:spacing w:after="0"/>
              <w:rPr>
                <w:sz w:val="19"/>
                <w:szCs w:val="19"/>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b w:val="1"/>
                <w:bCs w:val="1"/>
                <w:color w:val="auto"/>
              </w:rPr>
              <w:t>Funded status at end of year</w:t>
            </w:r>
          </w:p>
        </w:tc>
        <w:tc>
          <w:tcPr>
            <w:tcW w:w="3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(68,593)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(51,768)</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(243,308)</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(230,457)</w:t>
            </w:r>
          </w:p>
        </w:tc>
      </w:tr>
      <w:tr>
        <w:trPr>
          <w:trHeight w:val="20"/>
        </w:trPr>
        <w:tc>
          <w:tcPr>
            <w:tcW w:w="80" w:type="dxa"/>
            <w:vAlign w:val="bottom"/>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7"/>
        </w:trPr>
        <w:tc>
          <w:tcPr>
            <w:tcW w:w="80" w:type="dxa"/>
            <w:vAlign w:val="bottom"/>
          </w:tcPr>
          <w:p>
            <w:pPr>
              <w:spacing w:after="0"/>
              <w:rPr>
                <w:sz w:val="11"/>
                <w:szCs w:val="11"/>
                <w:color w:val="auto"/>
              </w:rPr>
            </w:pPr>
          </w:p>
        </w:tc>
        <w:tc>
          <w:tcPr>
            <w:tcW w:w="4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227"/>
        </w:trPr>
        <w:tc>
          <w:tcPr>
            <w:tcW w:w="80" w:type="dxa"/>
            <w:vAlign w:val="bottom"/>
          </w:tcPr>
          <w:p>
            <w:pPr>
              <w:spacing w:after="0"/>
              <w:rPr>
                <w:sz w:val="19"/>
                <w:szCs w:val="19"/>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Amounts recognized in the Consolidated Balance Sheets: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 w:type="dxa"/>
            <w:vAlign w:val="bottom"/>
          </w:tcPr>
          <w:p>
            <w:pPr>
              <w:spacing w:after="0"/>
              <w:rPr>
                <w:sz w:val="19"/>
                <w:szCs w:val="19"/>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(19,251)</w:t>
            </w:r>
          </w:p>
        </w:tc>
      </w:tr>
      <w:tr>
        <w:trPr>
          <w:trHeight w:val="227"/>
        </w:trPr>
        <w:tc>
          <w:tcPr>
            <w:tcW w:w="80" w:type="dxa"/>
            <w:vAlign w:val="bottom"/>
          </w:tcPr>
          <w:p>
            <w:pPr>
              <w:spacing w:after="0"/>
              <w:rPr>
                <w:sz w:val="19"/>
                <w:szCs w:val="19"/>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(58,773)</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(223,507)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(211,206)</w:t>
            </w:r>
          </w:p>
        </w:tc>
      </w:tr>
      <w:tr>
        <w:trPr>
          <w:trHeight w:val="221"/>
        </w:trPr>
        <w:tc>
          <w:tcPr>
            <w:tcW w:w="80" w:type="dxa"/>
            <w:vAlign w:val="bottom"/>
          </w:tcPr>
          <w:p>
            <w:pPr>
              <w:spacing w:after="0"/>
              <w:rPr>
                <w:sz w:val="19"/>
                <w:szCs w:val="19"/>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(68,593)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(51,768)</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(243,308)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(230,457)</w:t>
            </w:r>
          </w:p>
        </w:tc>
      </w:tr>
      <w:tr>
        <w:trPr>
          <w:trHeight w:val="20"/>
        </w:trPr>
        <w:tc>
          <w:tcPr>
            <w:tcW w:w="80" w:type="dxa"/>
            <w:vAlign w:val="bottom"/>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7"/>
        </w:trPr>
        <w:tc>
          <w:tcPr>
            <w:tcW w:w="80" w:type="dxa"/>
            <w:vAlign w:val="bottom"/>
          </w:tcPr>
          <w:p>
            <w:pPr>
              <w:spacing w:after="0"/>
              <w:rPr>
                <w:sz w:val="11"/>
                <w:szCs w:val="11"/>
                <w:color w:val="auto"/>
              </w:rPr>
            </w:pPr>
          </w:p>
        </w:tc>
        <w:tc>
          <w:tcPr>
            <w:tcW w:w="4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73"/>
        </w:trPr>
        <w:tc>
          <w:tcPr>
            <w:tcW w:w="80" w:type="dxa"/>
            <w:vAlign w:val="bottom"/>
          </w:tcPr>
          <w:p>
            <w:pPr>
              <w:spacing w:after="0"/>
              <w:rPr>
                <w:sz w:val="15"/>
                <w:szCs w:val="15"/>
                <w:color w:val="auto"/>
              </w:rPr>
            </w:pPr>
          </w:p>
        </w:tc>
        <w:tc>
          <w:tcPr>
            <w:tcW w:w="5080" w:type="dxa"/>
            <w:vAlign w:val="bottom"/>
            <w:gridSpan w:val="2"/>
          </w:tcPr>
          <w:p>
            <w:pPr>
              <w:ind w:left="100"/>
              <w:spacing w:after="0" w:line="173" w:lineRule="exact"/>
              <w:rPr>
                <w:sz w:val="20"/>
                <w:szCs w:val="20"/>
                <w:color w:val="auto"/>
              </w:rPr>
            </w:pPr>
            <w:r>
              <w:rPr>
                <w:rFonts w:ascii="Arial" w:cs="Arial" w:eastAsia="Arial" w:hAnsi="Arial"/>
                <w:sz w:val="18"/>
                <w:szCs w:val="18"/>
                <w:b w:val="1"/>
                <w:bCs w:val="1"/>
                <w:color w:val="auto"/>
                <w:w w:val="97"/>
              </w:rPr>
              <w:t>Amounts recognized in Accumulated Other Comprehensive</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7"/>
        </w:trPr>
        <w:tc>
          <w:tcPr>
            <w:tcW w:w="80" w:type="dxa"/>
            <w:vAlign w:val="bottom"/>
          </w:tcPr>
          <w:p>
            <w:pPr>
              <w:spacing w:after="0"/>
              <w:rPr>
                <w:sz w:val="19"/>
                <w:szCs w:val="19"/>
                <w:color w:val="auto"/>
              </w:rPr>
            </w:pPr>
          </w:p>
        </w:tc>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net of tax:</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Actuarial net (loss) gain</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(216,443)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6"/>
        </w:trPr>
        <w:tc>
          <w:tcPr>
            <w:tcW w:w="80" w:type="dxa"/>
            <w:vAlign w:val="bottom"/>
          </w:tcPr>
          <w:p>
            <w:pPr>
              <w:spacing w:after="0"/>
              <w:rPr>
                <w:sz w:val="19"/>
                <w:szCs w:val="19"/>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 prior service credit (cost)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27,031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46"/>
        </w:trPr>
        <w:tc>
          <w:tcPr>
            <w:tcW w:w="80" w:type="dxa"/>
            <w:vAlign w:val="bottom"/>
          </w:tcPr>
          <w:p>
            <w:pPr>
              <w:spacing w:after="0"/>
              <w:rPr>
                <w:sz w:val="20"/>
                <w:szCs w:val="20"/>
                <w:color w:val="auto"/>
              </w:rPr>
            </w:pPr>
          </w:p>
        </w:tc>
        <w:tc>
          <w:tcPr>
            <w:tcW w:w="50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amounts recognized in AOCI</w:t>
            </w:r>
          </w:p>
        </w:tc>
        <w:tc>
          <w:tcPr>
            <w:tcW w:w="3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8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The project benefit obligation during 2020 was impacted by actuarial loss of $90,140 which was the result of the discount rate assumption decreasing from 3.1% at December 31, 2019 to 2.3% at December 31, 2020. The accumulated benefit obligation for all defined benefit pension plans was $1,123,102 as of December 31, 2020 and $1,063,955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414655</wp:posOffset>
            </wp:positionV>
            <wp:extent cx="194945" cy="169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83" w:name="page84"/>
    <w:bookmarkEnd w:id="83"/>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Plans with accumulated benefit obligations in excess of plan assets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2019</w:t>
            </w:r>
          </w:p>
        </w:tc>
      </w:tr>
      <w:tr>
        <w:trPr>
          <w:trHeight w:val="221"/>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709,651</w:t>
            </w:r>
          </w:p>
        </w:tc>
      </w:tr>
      <w:tr>
        <w:trPr>
          <w:trHeight w:val="226"/>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Accumulated benefit obligation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718,335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674,017</w:t>
            </w:r>
          </w:p>
        </w:tc>
      </w:tr>
      <w:tr>
        <w:trPr>
          <w:trHeight w:val="22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647,402</w:t>
            </w: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Net Periodic Benefit Cost</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4720" w:type="dxa"/>
            <w:vAlign w:val="bottom"/>
            <w:gridSpan w:val="6"/>
          </w:tcPr>
          <w:p>
            <w:pPr>
              <w:spacing w:after="0"/>
              <w:rPr>
                <w:sz w:val="20"/>
                <w:szCs w:val="20"/>
                <w:color w:val="auto"/>
              </w:rPr>
            </w:pPr>
            <w:r>
              <w:rPr>
                <w:rFonts w:ascii="Arial" w:cs="Arial" w:eastAsia="Arial" w:hAnsi="Arial"/>
                <w:sz w:val="18"/>
                <w:szCs w:val="18"/>
                <w:color w:val="auto"/>
                <w:w w:val="97"/>
              </w:rPr>
              <w:t>The components of net periodic benefit cost were as follows: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Pension Benefits</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5"/>
              </w:rPr>
              <w:t>Other Benefits</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36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320" w:type="dxa"/>
            <w:vAlign w:val="bottom"/>
          </w:tcPr>
          <w:p>
            <w:pPr>
              <w:spacing w:after="0"/>
              <w:rPr>
                <w:sz w:val="19"/>
                <w:szCs w:val="19"/>
                <w:color w:val="auto"/>
              </w:rPr>
            </w:pPr>
          </w:p>
        </w:tc>
        <w:tc>
          <w:tcPr>
            <w:tcW w:w="860" w:type="dxa"/>
            <w:vAlign w:val="bottom"/>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27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3240" w:type="dxa"/>
            <w:vAlign w:val="bottom"/>
            <w:tcBorders>
              <w:top w:val="single" w:sz="8" w:color="auto"/>
            </w:tcBorders>
            <w:shd w:val="clear" w:color="auto" w:fill="CCEEFF"/>
          </w:tcPr>
          <w:p>
            <w:pPr>
              <w:ind w:left="100"/>
              <w:spacing w:after="0" w:line="167" w:lineRule="exact"/>
              <w:rPr>
                <w:sz w:val="20"/>
                <w:szCs w:val="20"/>
                <w:color w:val="auto"/>
              </w:rPr>
            </w:pPr>
            <w:r>
              <w:rPr>
                <w:rFonts w:ascii="Arial" w:cs="Arial" w:eastAsia="Arial" w:hAnsi="Arial"/>
                <w:sz w:val="18"/>
                <w:szCs w:val="18"/>
                <w:b w:val="1"/>
                <w:bCs w:val="1"/>
                <w:color w:val="auto"/>
              </w:rPr>
              <w:t>Amounts recognized in net periodic</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benefit cost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21,734</w:t>
            </w:r>
          </w:p>
        </w:tc>
        <w:tc>
          <w:tcPr>
            <w:tcW w:w="100" w:type="dxa"/>
            <w:vAlign w:val="bottom"/>
          </w:tcPr>
          <w:p>
            <w:pPr>
              <w:spacing w:after="0"/>
              <w:rPr>
                <w:sz w:val="19"/>
                <w:szCs w:val="19"/>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20,878</w:t>
            </w:r>
          </w:p>
        </w:tc>
        <w:tc>
          <w:tcPr>
            <w:tcW w:w="100" w:type="dxa"/>
            <w:vAlign w:val="bottom"/>
          </w:tcPr>
          <w:p>
            <w:pPr>
              <w:spacing w:after="0"/>
              <w:rPr>
                <w:sz w:val="19"/>
                <w:szCs w:val="19"/>
                <w:color w:val="auto"/>
              </w:rPr>
            </w:pP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21,223</w:t>
            </w:r>
          </w:p>
        </w:tc>
        <w:tc>
          <w:tcPr>
            <w:tcW w:w="120" w:type="dxa"/>
            <w:vAlign w:val="bottom"/>
          </w:tcPr>
          <w:p>
            <w:pPr>
              <w:spacing w:after="0"/>
              <w:rPr>
                <w:sz w:val="19"/>
                <w:szCs w:val="19"/>
                <w:color w:val="auto"/>
              </w:rPr>
            </w:pP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(52,907)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Amortization of net loss (gain)</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Curtailment credit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Settlement loss</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80" w:type="dxa"/>
            <w:vAlign w:val="bottom"/>
          </w:tcPr>
          <w:p>
            <w:pPr>
              <w:spacing w:after="0"/>
              <w:rPr>
                <w:sz w:val="20"/>
                <w:szCs w:val="20"/>
                <w:color w:val="auto"/>
              </w:rPr>
            </w:pPr>
          </w:p>
        </w:tc>
        <w:tc>
          <w:tcPr>
            <w:tcW w:w="33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net periodic benefit cost</w:t>
            </w:r>
          </w:p>
        </w:tc>
        <w:tc>
          <w:tcPr>
            <w:tcW w:w="3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360" w:type="dxa"/>
            <w:vAlign w:val="bottom"/>
            <w:gridSpan w:val="2"/>
            <w:shd w:val="clear" w:color="auto" w:fill="CCEEFF"/>
          </w:tcPr>
          <w:p>
            <w:pPr>
              <w:ind w:left="100"/>
              <w:spacing w:after="0" w:line="173" w:lineRule="exact"/>
              <w:rPr>
                <w:sz w:val="20"/>
                <w:szCs w:val="20"/>
                <w:color w:val="auto"/>
              </w:rPr>
            </w:pPr>
            <w:r>
              <w:rPr>
                <w:rFonts w:ascii="Arial" w:cs="Arial" w:eastAsia="Arial" w:hAnsi="Arial"/>
                <w:sz w:val="18"/>
                <w:szCs w:val="18"/>
                <w:b w:val="1"/>
                <w:bCs w:val="1"/>
                <w:color w:val="auto"/>
              </w:rPr>
              <w:t>Change in plan assets and benefit</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8"/>
              </w:rPr>
              <w:t>obligations recognized in AOCI, pre-tax</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Actuarial net (gain) loss</w:t>
            </w: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tcPr>
          <w:p>
            <w:pPr>
              <w:spacing w:after="0"/>
              <w:rPr>
                <w:sz w:val="19"/>
                <w:szCs w:val="19"/>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(52,028)</w:t>
            </w:r>
          </w:p>
        </w:tc>
        <w:tc>
          <w:tcPr>
            <w:tcW w:w="100" w:type="dxa"/>
            <w:vAlign w:val="bottom"/>
          </w:tcPr>
          <w:p>
            <w:pPr>
              <w:spacing w:after="0"/>
              <w:rPr>
                <w:sz w:val="19"/>
                <w:szCs w:val="19"/>
                <w:color w:val="auto"/>
              </w:rPr>
            </w:pP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3,715</w:t>
            </w:r>
          </w:p>
        </w:tc>
        <w:tc>
          <w:tcPr>
            <w:tcW w:w="120" w:type="dxa"/>
            <w:vAlign w:val="bottom"/>
          </w:tcPr>
          <w:p>
            <w:pPr>
              <w:spacing w:after="0"/>
              <w:rPr>
                <w:sz w:val="19"/>
                <w:szCs w:val="19"/>
                <w:color w:val="auto"/>
              </w:rPr>
            </w:pP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15,266</w:t>
            </w:r>
          </w:p>
        </w:tc>
        <w:tc>
          <w:tcPr>
            <w:tcW w:w="10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23,956</w:t>
            </w:r>
          </w:p>
        </w:tc>
        <w:tc>
          <w:tcPr>
            <w:tcW w:w="100" w:type="dxa"/>
            <w:vAlign w:val="bottom"/>
          </w:tcPr>
          <w:p>
            <w:pPr>
              <w:spacing w:after="0"/>
              <w:rPr>
                <w:sz w:val="19"/>
                <w:szCs w:val="19"/>
                <w:color w:val="auto"/>
              </w:rPr>
            </w:pP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(10,771)</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Prior service cost (credit)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3360" w:type="dxa"/>
            <w:vAlign w:val="bottom"/>
            <w:gridSpan w:val="2"/>
          </w:tcPr>
          <w:p>
            <w:pPr>
              <w:ind w:left="100"/>
              <w:spacing w:after="0" w:line="154" w:lineRule="exact"/>
              <w:rPr>
                <w:sz w:val="20"/>
                <w:szCs w:val="20"/>
                <w:color w:val="auto"/>
              </w:rPr>
            </w:pPr>
            <w:r>
              <w:rPr>
                <w:rFonts w:ascii="Arial" w:cs="Arial" w:eastAsia="Arial" w:hAnsi="Arial"/>
                <w:sz w:val="17"/>
                <w:szCs w:val="17"/>
                <w:color w:val="auto"/>
              </w:rPr>
              <w:t>Total recognized in other comprehensive</w:t>
            </w: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(income) loss, pre-tax</w:t>
            </w:r>
          </w:p>
        </w:tc>
        <w:tc>
          <w:tcPr>
            <w:tcW w:w="32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(8,296)</w:t>
            </w:r>
          </w:p>
        </w:tc>
        <w:tc>
          <w:tcPr>
            <w:tcW w:w="100" w:type="dxa"/>
            <w:vAlign w:val="bottom"/>
          </w:tcPr>
          <w:p>
            <w:pPr>
              <w:spacing w:after="0"/>
              <w:rPr>
                <w:sz w:val="19"/>
                <w:szCs w:val="19"/>
                <w:color w:val="auto"/>
              </w:rPr>
            </w:pPr>
          </w:p>
        </w:tc>
        <w:tc>
          <w:tcPr>
            <w:tcW w:w="32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(44,796)</w:t>
            </w:r>
          </w:p>
        </w:tc>
        <w:tc>
          <w:tcPr>
            <w:tcW w:w="100" w:type="dxa"/>
            <w:vAlign w:val="bottom"/>
          </w:tcPr>
          <w:p>
            <w:pPr>
              <w:spacing w:after="0"/>
              <w:rPr>
                <w:sz w:val="19"/>
                <w:szCs w:val="19"/>
                <w:color w:val="auto"/>
              </w:rPr>
            </w:pPr>
          </w:p>
        </w:tc>
        <w:tc>
          <w:tcPr>
            <w:tcW w:w="32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10,913</w:t>
            </w:r>
          </w:p>
        </w:tc>
        <w:tc>
          <w:tcPr>
            <w:tcW w:w="120" w:type="dxa"/>
            <w:vAlign w:val="bottom"/>
          </w:tcPr>
          <w:p>
            <w:pPr>
              <w:spacing w:after="0"/>
              <w:rPr>
                <w:sz w:val="19"/>
                <w:szCs w:val="19"/>
                <w:color w:val="auto"/>
              </w:rPr>
            </w:pPr>
          </w:p>
        </w:tc>
        <w:tc>
          <w:tcPr>
            <w:tcW w:w="32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14,966</w:t>
            </w:r>
          </w:p>
        </w:tc>
        <w:tc>
          <w:tcPr>
            <w:tcW w:w="100" w:type="dxa"/>
            <w:vAlign w:val="bottom"/>
          </w:tcPr>
          <w:p>
            <w:pPr>
              <w:spacing w:after="0"/>
              <w:rPr>
                <w:sz w:val="19"/>
                <w:szCs w:val="19"/>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23,146</w:t>
            </w:r>
          </w:p>
        </w:tc>
        <w:tc>
          <w:tcPr>
            <w:tcW w:w="100" w:type="dxa"/>
            <w:vAlign w:val="bottom"/>
          </w:tcPr>
          <w:p>
            <w:pPr>
              <w:spacing w:after="0"/>
              <w:rPr>
                <w:sz w:val="19"/>
                <w:szCs w:val="19"/>
                <w:color w:val="auto"/>
              </w:rPr>
            </w:pPr>
          </w:p>
        </w:tc>
        <w:tc>
          <w:tcPr>
            <w:tcW w:w="32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(11,609)</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 w:type="dxa"/>
            <w:vAlign w:val="bottom"/>
          </w:tcPr>
          <w:p>
            <w:pPr>
              <w:spacing w:after="0"/>
              <w:rPr>
                <w:sz w:val="12"/>
                <w:szCs w:val="12"/>
                <w:color w:val="auto"/>
              </w:rPr>
            </w:pPr>
          </w:p>
        </w:tc>
        <w:tc>
          <w:tcPr>
            <w:tcW w:w="336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6"/>
                <w:szCs w:val="16"/>
                <w:color w:val="auto"/>
              </w:rPr>
              <w:t>Net amounts recognized in periodic benefit</w:t>
            </w:r>
          </w:p>
        </w:tc>
        <w:tc>
          <w:tcPr>
            <w:tcW w:w="3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19,708</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45,052</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21,415</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31,560</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360" w:type="dxa"/>
            <w:vAlign w:val="bottom"/>
            <w:tcBorders>
              <w:bottom w:val="single" w:sz="8" w:color="CCEEFF"/>
            </w:tcBorders>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cost and AOCI</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right="320"/>
        <w:spacing w:after="0" w:line="267" w:lineRule="auto"/>
        <w:rPr>
          <w:rFonts w:ascii="Arial" w:cs="Arial" w:eastAsia="Arial" w:hAnsi="Arial"/>
          <w:sz w:val="18"/>
          <w:szCs w:val="18"/>
          <w:color w:val="auto"/>
        </w:rPr>
      </w:pPr>
      <w:r>
        <w:rPr>
          <w:rFonts w:ascii="Arial" w:cs="Arial" w:eastAsia="Arial" w:hAnsi="Arial"/>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hyperlink w:anchor="page97">
        <w:r>
          <w:rPr>
            <w:rFonts w:ascii="Arial" w:cs="Arial" w:eastAsia="Arial" w:hAnsi="Arial"/>
            <w:sz w:val="18"/>
            <w:szCs w:val="18"/>
            <w:u w:val="single" w:color="auto"/>
            <w:color w:val="0000FF"/>
          </w:rPr>
          <w:t>Note 17</w:t>
        </w:r>
      </w:hyperlink>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computing the year end benefit obligations were as follows:</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208"/>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auto"/>
            </w:tcBorders>
            <w:gridSpan w:val="4"/>
          </w:tcPr>
          <w:p>
            <w:pPr>
              <w:ind w:left="840"/>
              <w:spacing w:after="0"/>
              <w:rPr>
                <w:sz w:val="20"/>
                <w:szCs w:val="20"/>
                <w:color w:val="auto"/>
              </w:rPr>
            </w:pPr>
            <w:r>
              <w:rPr>
                <w:rFonts w:ascii="Arial" w:cs="Arial" w:eastAsia="Arial" w:hAnsi="Arial"/>
                <w:sz w:val="16"/>
                <w:szCs w:val="16"/>
                <w:b w:val="1"/>
                <w:bCs w:val="1"/>
                <w:color w:val="auto"/>
                <w:w w:val="84"/>
              </w:rPr>
              <w:t>Pension Benefits</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w w:val="92"/>
              </w:rPr>
              <w:t>Other Benefits</w:t>
            </w:r>
          </w:p>
        </w:tc>
        <w:tc>
          <w:tcPr>
            <w:tcW w:w="800" w:type="dxa"/>
            <w:vAlign w:val="bottom"/>
            <w:tcBorders>
              <w:bottom w:val="single" w:sz="8" w:color="auto"/>
            </w:tcBorders>
          </w:tcPr>
          <w:p>
            <w:pPr>
              <w:spacing w:after="0"/>
              <w:rPr>
                <w:sz w:val="18"/>
                <w:szCs w:val="18"/>
                <w:color w:val="auto"/>
              </w:rPr>
            </w:pPr>
          </w:p>
        </w:tc>
      </w:tr>
      <w:tr>
        <w:trPr>
          <w:trHeight w:val="209"/>
        </w:trPr>
        <w:tc>
          <w:tcPr>
            <w:tcW w:w="53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w w:val="84"/>
              </w:rPr>
              <w:t>2019</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9"/>
              </w:rPr>
              <w:t>2019</w:t>
            </w:r>
          </w:p>
        </w:tc>
      </w:tr>
      <w:tr>
        <w:trPr>
          <w:trHeight w:val="222"/>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60" w:type="dxa"/>
            <w:vAlign w:val="bottom"/>
            <w:gridSpan w:val="3"/>
          </w:tcPr>
          <w:p>
            <w:pPr>
              <w:jc w:val="right"/>
              <w:ind w:right="64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7"/>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crediting rate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989965</wp:posOffset>
            </wp:positionV>
            <wp:extent cx="194945" cy="169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center"/>
        <w:ind w:right="-17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computing net periodic benefit cost were as follows:</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208"/>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87"/>
              </w:rPr>
              <w:t>Pension Benefits</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6"/>
              </w:rPr>
              <w:t>Other Benefits</w:t>
            </w:r>
          </w:p>
        </w:tc>
        <w:tc>
          <w:tcPr>
            <w:tcW w:w="1080" w:type="dxa"/>
            <w:vAlign w:val="bottom"/>
            <w:tcBorders>
              <w:bottom w:val="single" w:sz="8" w:color="auto"/>
            </w:tcBorders>
          </w:tcPr>
          <w:p>
            <w:pPr>
              <w:spacing w:after="0"/>
              <w:rPr>
                <w:sz w:val="18"/>
                <w:szCs w:val="18"/>
                <w:color w:val="auto"/>
              </w:rPr>
            </w:pPr>
          </w:p>
        </w:tc>
      </w:tr>
      <w:tr>
        <w:trPr>
          <w:trHeight w:val="209"/>
        </w:trPr>
        <w:tc>
          <w:tcPr>
            <w:tcW w:w="40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For the years ended December 31,</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2018</w:t>
            </w:r>
          </w:p>
        </w:tc>
      </w:tr>
      <w:tr>
        <w:trPr>
          <w:trHeight w:val="222"/>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6"/>
        </w:trPr>
        <w:tc>
          <w:tcPr>
            <w:tcW w:w="4120" w:type="dxa"/>
            <w:vAlign w:val="bottom"/>
            <w:gridSpan w:val="2"/>
          </w:tcPr>
          <w:p>
            <w:pPr>
              <w:ind w:left="100"/>
              <w:spacing w:after="0"/>
              <w:rPr>
                <w:sz w:val="20"/>
                <w:szCs w:val="20"/>
                <w:color w:val="auto"/>
              </w:rPr>
            </w:pPr>
            <w:r>
              <w:rPr>
                <w:rFonts w:ascii="Arial" w:cs="Arial" w:eastAsia="Arial" w:hAnsi="Arial"/>
                <w:sz w:val="18"/>
                <w:szCs w:val="18"/>
                <w:color w:val="auto"/>
              </w:rPr>
              <w:t>Expected long-term return on plan assets</w:t>
            </w: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7"/>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307" w:lineRule="exact"/>
        <w:rPr>
          <w:sz w:val="20"/>
          <w:szCs w:val="20"/>
          <w:color w:val="auto"/>
        </w:rPr>
      </w:pPr>
    </w:p>
    <w:p>
      <w:pPr>
        <w:jc w:val="both"/>
        <w:ind w:right="400"/>
        <w:spacing w:after="0" w:line="304" w:lineRule="auto"/>
        <w:rPr>
          <w:sz w:val="20"/>
          <w:szCs w:val="20"/>
          <w:color w:val="auto"/>
        </w:rPr>
      </w:pPr>
      <w:r>
        <w:rPr>
          <w:rFonts w:ascii="Arial" w:cs="Arial" w:eastAsia="Arial" w:hAnsi="Arial"/>
          <w:sz w:val="16"/>
          <w:szCs w:val="16"/>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spot rates. We base the asset return assumption on current and expected asset allocations, as well as historical and expected returns on the plan asset categories.</w:t>
      </w:r>
    </w:p>
    <w:p>
      <w:pPr>
        <w:spacing w:after="0" w:line="1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utilize a full yield curve approach in the estimation of service and interest costs by applying the specific spot rates along the yield curve used in the determination of the benefit obligation to the relevant projected cash flows. This approach provides a more precise measurement of service and interest costs by improving the correlation between the projected cash flows to the corresponding spot rates along the yield curve. This approach does not affect the measurement of our pension and other post-retirement benefit liabilities but generally results in lower benefit expense in periods when the yield curve is upward sloping.</w:t>
      </w:r>
    </w:p>
    <w:p>
      <w:pPr>
        <w:spacing w:after="0" w:line="219"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For purposes of measuring our post-retirement benefit obligation at December 31, 2020, we assumed a 6.1% annual rate of increase in the per capita cost of covered health care benefits for 2021, grading down to 5.0% by 2025. For purposes of measuring our post-retirement benefit obligation at December 31, 2019, we assumed a 6.4% annual rate of increase in the per capita cost of covered health care benefits for 2020, grading down to 5.0% by 2025.</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valuations and assumptions reflect adoption of the Society of Actuaries updated Pri-2012 mortality tables with MP-2020 and MP-2019 generational projection scales, which we adopted as of December 31, 2020 and 2019, respectively. Adoption of the updated scales did not have a significant impact on our current pension obligations or net period benefit cost since our primary plans are cash balance plans and most participants take lump-sum settlements upon retirement.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06" w:lineRule="exact"/>
        <w:rPr>
          <w:sz w:val="20"/>
          <w:szCs w:val="20"/>
          <w:color w:val="auto"/>
        </w:rPr>
      </w:pPr>
    </w:p>
    <w:p>
      <w:pPr>
        <w:ind w:right="520"/>
        <w:spacing w:after="0" w:line="267" w:lineRule="auto"/>
        <w:rPr>
          <w:sz w:val="20"/>
          <w:szCs w:val="20"/>
          <w:color w:val="auto"/>
        </w:rPr>
      </w:pPr>
      <w:r>
        <w:rPr>
          <w:rFonts w:ascii="Arial" w:cs="Arial" w:eastAsia="Arial" w:hAnsi="Arial"/>
          <w:sz w:val="18"/>
          <w:szCs w:val="18"/>
          <w:color w:val="auto"/>
        </w:rPr>
        <w:t>We broadly diversify our pension plan assets across public equity, fixed income, diversified credit strategies and diversified alternative strategies asset classes. Our target asset allocation for our major domestic pension plans as of December 31, 2020 was as follows:</w:t>
      </w:r>
    </w:p>
    <w:p>
      <w:pPr>
        <w:spacing w:after="0" w:line="93"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83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Asset Class</w:t>
            </w:r>
          </w:p>
        </w:tc>
        <w:tc>
          <w:tcPr>
            <w:tcW w:w="120" w:type="dxa"/>
            <w:vAlign w:val="bottom"/>
            <w:tcBorders>
              <w:bottom w:val="single" w:sz="8" w:color="CCEEFF"/>
            </w:tcBorders>
          </w:tcPr>
          <w:p>
            <w:pPr>
              <w:spacing w:after="0"/>
              <w:rPr>
                <w:sz w:val="20"/>
                <w:szCs w:val="20"/>
                <w:color w:val="auto"/>
              </w:rPr>
            </w:pPr>
          </w:p>
        </w:tc>
        <w:tc>
          <w:tcPr>
            <w:tcW w:w="26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Target Asset Allocation</w:t>
            </w:r>
          </w:p>
        </w:tc>
      </w:tr>
      <w:tr>
        <w:trPr>
          <w:trHeight w:val="221"/>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26"/>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Equity securities</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24%</w:t>
            </w:r>
          </w:p>
        </w:tc>
      </w:tr>
      <w:tr>
        <w:trPr>
          <w:trHeight w:val="227"/>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w:t>
            </w:r>
          </w:p>
        </w:tc>
      </w:tr>
      <w:tr>
        <w:trPr>
          <w:trHeight w:val="225"/>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Alternative investments, including real estate, listed infrastructure and other</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24%</w:t>
            </w:r>
          </w:p>
        </w:tc>
      </w:tr>
    </w:tbl>
    <w:p>
      <w:pPr>
        <w:spacing w:after="0" w:line="229"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As of December 31, 2020, actual allocations were consistent with the targets and within our allowable ranges. We expect the level of volatility in pension plan asset returns to be in line with the overall volatility of the markets within each asset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417830</wp:posOffset>
            </wp:positionV>
            <wp:extent cx="194945" cy="169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5" w:name="page86"/>
    <w:bookmarkEnd w:id="85"/>
    <w:p>
      <w:pPr>
        <w:jc w:val="center"/>
        <w:ind w:right="-9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The following table sets forth by level, within the fair value hierarchy (as defined in </w:t>
      </w:r>
      <w:hyperlink w:anchor="page71">
        <w:r>
          <w:rPr>
            <w:rFonts w:ascii="Arial" w:cs="Arial" w:eastAsia="Arial" w:hAnsi="Arial"/>
            <w:sz w:val="16"/>
            <w:szCs w:val="16"/>
            <w:u w:val="single" w:color="auto"/>
            <w:color w:val="0000FF"/>
          </w:rPr>
          <w:t>Note 6</w:t>
        </w:r>
      </w:hyperlink>
      <w:r>
        <w:rPr>
          <w:rFonts w:ascii="Arial" w:cs="Arial" w:eastAsia="Arial" w:hAnsi="Arial"/>
          <w:sz w:val="16"/>
          <w:szCs w:val="16"/>
          <w:color w:val="auto"/>
        </w:rPr>
        <w:t>), pension plan assets at their fair values as of December 31, 2020:</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18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Investments Using</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2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14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markets of identical</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4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NAV as a Practical</w:t>
            </w: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2"/>
              </w:rPr>
              <w:t>assets</w:t>
            </w:r>
          </w:p>
        </w:tc>
        <w:tc>
          <w:tcPr>
            <w:tcW w:w="140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observable inputs</w:t>
            </w:r>
          </w:p>
        </w:tc>
        <w:tc>
          <w:tcPr>
            <w:tcW w:w="1440" w:type="dxa"/>
            <w:vAlign w:val="bottom"/>
            <w:gridSpan w:val="3"/>
          </w:tcPr>
          <w:p>
            <w:pPr>
              <w:ind w:left="60"/>
              <w:spacing w:after="0" w:line="133" w:lineRule="exact"/>
              <w:rPr>
                <w:sz w:val="20"/>
                <w:szCs w:val="20"/>
                <w:color w:val="auto"/>
              </w:rPr>
            </w:pPr>
            <w:r>
              <w:rPr>
                <w:rFonts w:ascii="Arial" w:cs="Arial" w:eastAsia="Arial" w:hAnsi="Arial"/>
                <w:sz w:val="14"/>
                <w:szCs w:val="14"/>
                <w:b w:val="1"/>
                <w:bCs w:val="1"/>
                <w:color w:val="auto"/>
                <w:w w:val="99"/>
              </w:rPr>
              <w:t>unobservable inputs</w:t>
            </w:r>
          </w:p>
        </w:tc>
        <w:tc>
          <w:tcPr>
            <w:tcW w:w="2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Expedient</w:t>
            </w:r>
          </w:p>
        </w:tc>
        <w:tc>
          <w:tcPr>
            <w:tcW w:w="340" w:type="dxa"/>
            <w:vAlign w:val="bottom"/>
          </w:tcPr>
          <w:p>
            <w:pPr>
              <w:spacing w:after="0"/>
              <w:rPr>
                <w:sz w:val="11"/>
                <w:szCs w:val="11"/>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0" w:type="dxa"/>
            <w:vAlign w:val="bottom"/>
          </w:tcPr>
          <w:p>
            <w:pPr>
              <w:spacing w:after="0"/>
              <w:rPr>
                <w:sz w:val="1"/>
                <w:szCs w:val="1"/>
                <w:color w:val="auto"/>
              </w:rPr>
            </w:pPr>
          </w:p>
        </w:tc>
      </w:tr>
      <w:tr>
        <w:trPr>
          <w:trHeight w:val="22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Global all-cap (a)</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264,909</w:t>
            </w:r>
          </w:p>
        </w:tc>
        <w:tc>
          <w:tcPr>
            <w:tcW w:w="0" w:type="dxa"/>
            <w:vAlign w:val="bottom"/>
          </w:tcPr>
          <w:p>
            <w:pPr>
              <w:spacing w:after="0"/>
              <w:rPr>
                <w:sz w:val="1"/>
                <w:szCs w:val="1"/>
                <w:color w:val="auto"/>
              </w:rPr>
            </w:pPr>
          </w:p>
        </w:tc>
      </w:tr>
      <w:tr>
        <w:trPr>
          <w:trHeight w:val="22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government/agency</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215,573</w:t>
            </w:r>
          </w:p>
        </w:tc>
        <w:tc>
          <w:tcPr>
            <w:tcW w:w="0" w:type="dxa"/>
            <w:vAlign w:val="bottom"/>
          </w:tcPr>
          <w:p>
            <w:pPr>
              <w:spacing w:after="0"/>
              <w:rPr>
                <w:sz w:val="1"/>
                <w:szCs w:val="1"/>
                <w:color w:val="auto"/>
              </w:rPr>
            </w:pPr>
          </w:p>
        </w:tc>
      </w:tr>
      <w:tr>
        <w:trPr>
          <w:trHeight w:val="226"/>
        </w:trPr>
        <w:tc>
          <w:tcPr>
            <w:tcW w:w="4200" w:type="dxa"/>
            <w:vAlign w:val="bottom"/>
            <w:gridSpan w:val="2"/>
          </w:tcPr>
          <w:p>
            <w:pPr>
              <w:ind w:left="340"/>
              <w:spacing w:after="0"/>
              <w:rPr>
                <w:sz w:val="20"/>
                <w:szCs w:val="20"/>
                <w:color w:val="auto"/>
              </w:rPr>
            </w:pPr>
            <w:r>
              <w:rPr>
                <w:rFonts w:ascii="Arial" w:cs="Arial" w:eastAsia="Arial" w:hAnsi="Arial"/>
                <w:sz w:val="18"/>
                <w:szCs w:val="18"/>
                <w:color w:val="auto"/>
              </w:rPr>
              <w:t>Corporate bonds (b)</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155,648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155,648</w:t>
            </w:r>
          </w:p>
        </w:tc>
        <w:tc>
          <w:tcPr>
            <w:tcW w:w="0" w:type="dxa"/>
            <w:vAlign w:val="bottom"/>
          </w:tcPr>
          <w:p>
            <w:pPr>
              <w:spacing w:after="0"/>
              <w:rPr>
                <w:sz w:val="1"/>
                <w:szCs w:val="1"/>
                <w:color w:val="auto"/>
              </w:rPr>
            </w:pPr>
          </w:p>
        </w:tc>
      </w:tr>
      <w:tr>
        <w:trPr>
          <w:trHeight w:val="227"/>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International government/corporate bonds (c)</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32,586</w:t>
            </w:r>
          </w:p>
        </w:tc>
        <w:tc>
          <w:tcPr>
            <w:tcW w:w="0" w:type="dxa"/>
            <w:vAlign w:val="bottom"/>
          </w:tcPr>
          <w:p>
            <w:pPr>
              <w:spacing w:after="0"/>
              <w:rPr>
                <w:sz w:val="1"/>
                <w:szCs w:val="1"/>
                <w:color w:val="auto"/>
              </w:rPr>
            </w:pPr>
          </w:p>
        </w:tc>
      </w:tr>
      <w:tr>
        <w:trPr>
          <w:trHeight w:val="226"/>
        </w:trPr>
        <w:tc>
          <w:tcPr>
            <w:tcW w:w="4200" w:type="dxa"/>
            <w:vAlign w:val="bottom"/>
            <w:gridSpan w:val="2"/>
          </w:tcPr>
          <w:p>
            <w:pPr>
              <w:ind w:left="460"/>
              <w:spacing w:after="0"/>
              <w:rPr>
                <w:sz w:val="20"/>
                <w:szCs w:val="20"/>
                <w:color w:val="auto"/>
              </w:rPr>
            </w:pPr>
            <w:r>
              <w:rPr>
                <w:rFonts w:ascii="Arial" w:cs="Arial" w:eastAsia="Arial" w:hAnsi="Arial"/>
                <w:sz w:val="18"/>
                <w:szCs w:val="18"/>
                <w:color w:val="auto"/>
              </w:rPr>
              <w:t>Diversified credit (d)</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160,829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160,829</w:t>
            </w:r>
          </w:p>
        </w:tc>
        <w:tc>
          <w:tcPr>
            <w:tcW w:w="0" w:type="dxa"/>
            <w:vAlign w:val="bottom"/>
          </w:tcPr>
          <w:p>
            <w:pPr>
              <w:spacing w:after="0"/>
              <w:rPr>
                <w:sz w:val="1"/>
                <w:szCs w:val="1"/>
                <w:color w:val="auto"/>
              </w:rPr>
            </w:pPr>
          </w:p>
        </w:tc>
      </w:tr>
      <w:tr>
        <w:trPr>
          <w:trHeight w:val="227"/>
        </w:trPr>
        <w:tc>
          <w:tcPr>
            <w:tcW w:w="4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Alternative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gridSpan w:val="2"/>
          </w:tcPr>
          <w:p>
            <w:pPr>
              <w:ind w:left="340"/>
              <w:spacing w:after="0"/>
              <w:rPr>
                <w:sz w:val="20"/>
                <w:szCs w:val="20"/>
                <w:color w:val="auto"/>
              </w:rPr>
            </w:pPr>
            <w:r>
              <w:rPr>
                <w:rFonts w:ascii="Arial" w:cs="Arial" w:eastAsia="Arial" w:hAnsi="Arial"/>
                <w:sz w:val="18"/>
                <w:szCs w:val="18"/>
                <w:color w:val="auto"/>
              </w:rPr>
              <w:t>Global diversified assets (e)</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117,290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117,290</w:t>
            </w:r>
          </w:p>
        </w:tc>
        <w:tc>
          <w:tcPr>
            <w:tcW w:w="0" w:type="dxa"/>
            <w:vAlign w:val="bottom"/>
          </w:tcPr>
          <w:p>
            <w:pPr>
              <w:spacing w:after="0"/>
              <w:rPr>
                <w:sz w:val="1"/>
                <w:szCs w:val="1"/>
                <w:color w:val="auto"/>
              </w:rPr>
            </w:pPr>
          </w:p>
        </w:tc>
      </w:tr>
      <w:tr>
        <w:trPr>
          <w:trHeight w:val="227"/>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Global real estate investment trusts (f)</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60,083</w:t>
            </w:r>
          </w:p>
        </w:tc>
        <w:tc>
          <w:tcPr>
            <w:tcW w:w="0" w:type="dxa"/>
            <w:vAlign w:val="bottom"/>
          </w:tcPr>
          <w:p>
            <w:pPr>
              <w:spacing w:after="0"/>
              <w:rPr>
                <w:sz w:val="1"/>
                <w:szCs w:val="1"/>
                <w:color w:val="auto"/>
              </w:rPr>
            </w:pPr>
          </w:p>
        </w:tc>
      </w:tr>
      <w:tr>
        <w:trPr>
          <w:trHeight w:val="226"/>
        </w:trPr>
        <w:tc>
          <w:tcPr>
            <w:tcW w:w="42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Global infrastructure (g)</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70,851</w:t>
            </w:r>
          </w:p>
        </w:tc>
        <w:tc>
          <w:tcPr>
            <w:tcW w:w="0" w:type="dxa"/>
            <w:vAlign w:val="bottom"/>
          </w:tcPr>
          <w:p>
            <w:pPr>
              <w:spacing w:after="0"/>
              <w:rPr>
                <w:sz w:val="1"/>
                <w:szCs w:val="1"/>
                <w:color w:val="auto"/>
              </w:rPr>
            </w:pPr>
          </w:p>
        </w:tc>
      </w:tr>
      <w:tr>
        <w:trPr>
          <w:trHeight w:val="241"/>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pension plan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1,078,345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1,100,245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pension plan assets at their fair values as of December 31, 2019:</w:t>
      </w:r>
    </w:p>
    <w:p>
      <w:pPr>
        <w:spacing w:after="0" w:line="11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80" w:type="dxa"/>
            <w:vAlign w:val="bottom"/>
            <w:gridSpan w:val="3"/>
          </w:tcPr>
          <w:p>
            <w:pPr>
              <w:ind w:left="18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Investments Using</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2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144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3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markets of identical</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4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NAV as a Practical</w:t>
            </w: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2"/>
              </w:rPr>
              <w:t>assets</w:t>
            </w:r>
          </w:p>
        </w:tc>
        <w:tc>
          <w:tcPr>
            <w:tcW w:w="140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observable inputs</w:t>
            </w:r>
          </w:p>
        </w:tc>
        <w:tc>
          <w:tcPr>
            <w:tcW w:w="1440" w:type="dxa"/>
            <w:vAlign w:val="bottom"/>
            <w:gridSpan w:val="3"/>
          </w:tcPr>
          <w:p>
            <w:pPr>
              <w:ind w:left="60"/>
              <w:spacing w:after="0" w:line="133" w:lineRule="exact"/>
              <w:rPr>
                <w:sz w:val="20"/>
                <w:szCs w:val="20"/>
                <w:color w:val="auto"/>
              </w:rPr>
            </w:pPr>
            <w:r>
              <w:rPr>
                <w:rFonts w:ascii="Arial" w:cs="Arial" w:eastAsia="Arial" w:hAnsi="Arial"/>
                <w:sz w:val="14"/>
                <w:szCs w:val="14"/>
                <w:b w:val="1"/>
                <w:bCs w:val="1"/>
                <w:color w:val="auto"/>
                <w:w w:val="99"/>
              </w:rPr>
              <w:t>unobservable inputs</w:t>
            </w:r>
          </w:p>
        </w:tc>
        <w:tc>
          <w:tcPr>
            <w:tcW w:w="2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Expedient</w:t>
            </w:r>
          </w:p>
        </w:tc>
        <w:tc>
          <w:tcPr>
            <w:tcW w:w="360" w:type="dxa"/>
            <w:vAlign w:val="bottom"/>
          </w:tcPr>
          <w:p>
            <w:pPr>
              <w:spacing w:after="0"/>
              <w:rPr>
                <w:sz w:val="11"/>
                <w:szCs w:val="11"/>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0" w:type="dxa"/>
            <w:vAlign w:val="bottom"/>
          </w:tcPr>
          <w:p>
            <w:pPr>
              <w:spacing w:after="0"/>
              <w:rPr>
                <w:sz w:val="1"/>
                <w:szCs w:val="1"/>
                <w:color w:val="auto"/>
              </w:rPr>
            </w:pPr>
          </w:p>
        </w:tc>
      </w:tr>
      <w:tr>
        <w:trPr>
          <w:trHeight w:val="226"/>
        </w:trPr>
        <w:tc>
          <w:tcPr>
            <w:tcW w:w="4200" w:type="dxa"/>
            <w:vAlign w:val="bottom"/>
          </w:tcPr>
          <w:p>
            <w:pPr>
              <w:ind w:left="10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all-cap (a)</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248,222</w:t>
            </w:r>
          </w:p>
        </w:tc>
        <w:tc>
          <w:tcPr>
            <w:tcW w:w="0" w:type="dxa"/>
            <w:vAlign w:val="bottom"/>
          </w:tcPr>
          <w:p>
            <w:pPr>
              <w:spacing w:after="0"/>
              <w:rPr>
                <w:sz w:val="1"/>
                <w:szCs w:val="1"/>
                <w:color w:val="auto"/>
              </w:rPr>
            </w:pPr>
          </w:p>
        </w:tc>
      </w:tr>
      <w:tr>
        <w:trPr>
          <w:trHeight w:val="226"/>
        </w:trPr>
        <w:tc>
          <w:tcPr>
            <w:tcW w:w="4200" w:type="dxa"/>
            <w:vAlign w:val="bottom"/>
          </w:tcPr>
          <w:p>
            <w:pPr>
              <w:ind w:left="10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government/agency</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264,066</w:t>
            </w:r>
          </w:p>
        </w:tc>
        <w:tc>
          <w:tcPr>
            <w:tcW w:w="0" w:type="dxa"/>
            <w:vAlign w:val="bottom"/>
          </w:tcPr>
          <w:p>
            <w:pPr>
              <w:spacing w:after="0"/>
              <w:rPr>
                <w:sz w:val="1"/>
                <w:szCs w:val="1"/>
                <w:color w:val="auto"/>
              </w:rPr>
            </w:pPr>
          </w:p>
        </w:tc>
      </w:tr>
      <w:tr>
        <w:trPr>
          <w:trHeight w:val="226"/>
        </w:trPr>
        <w:tc>
          <w:tcPr>
            <w:tcW w:w="4200" w:type="dxa"/>
            <w:vAlign w:val="bottom"/>
          </w:tcPr>
          <w:p>
            <w:pPr>
              <w:ind w:left="340"/>
              <w:spacing w:after="0"/>
              <w:rPr>
                <w:sz w:val="20"/>
                <w:szCs w:val="20"/>
                <w:color w:val="auto"/>
              </w:rPr>
            </w:pPr>
            <w:r>
              <w:rPr>
                <w:rFonts w:ascii="Arial" w:cs="Arial" w:eastAsia="Arial" w:hAnsi="Arial"/>
                <w:sz w:val="18"/>
                <w:szCs w:val="18"/>
                <w:color w:val="auto"/>
              </w:rPr>
              <w:t>Corporate bonds (b)</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136,896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136,896</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government/corporate bonds (c)</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32,407</w:t>
            </w:r>
          </w:p>
        </w:tc>
        <w:tc>
          <w:tcPr>
            <w:tcW w:w="0" w:type="dxa"/>
            <w:vAlign w:val="bottom"/>
          </w:tcPr>
          <w:p>
            <w:pPr>
              <w:spacing w:after="0"/>
              <w:rPr>
                <w:sz w:val="1"/>
                <w:szCs w:val="1"/>
                <w:color w:val="auto"/>
              </w:rPr>
            </w:pPr>
          </w:p>
        </w:tc>
      </w:tr>
      <w:tr>
        <w:trPr>
          <w:trHeight w:val="226"/>
        </w:trPr>
        <w:tc>
          <w:tcPr>
            <w:tcW w:w="4200" w:type="dxa"/>
            <w:vAlign w:val="bottom"/>
          </w:tcPr>
          <w:p>
            <w:pPr>
              <w:ind w:left="460"/>
              <w:spacing w:after="0"/>
              <w:rPr>
                <w:sz w:val="20"/>
                <w:szCs w:val="20"/>
                <w:color w:val="auto"/>
              </w:rPr>
            </w:pPr>
            <w:r>
              <w:rPr>
                <w:rFonts w:ascii="Arial" w:cs="Arial" w:eastAsia="Arial" w:hAnsi="Arial"/>
                <w:sz w:val="18"/>
                <w:szCs w:val="18"/>
                <w:color w:val="auto"/>
              </w:rPr>
              <w:t>Diversified credit (d)</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103,793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103,793</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Alternative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tcPr>
          <w:p>
            <w:pPr>
              <w:ind w:left="340"/>
              <w:spacing w:after="0"/>
              <w:rPr>
                <w:sz w:val="20"/>
                <w:szCs w:val="20"/>
                <w:color w:val="auto"/>
              </w:rPr>
            </w:pPr>
            <w:r>
              <w:rPr>
                <w:rFonts w:ascii="Arial" w:cs="Arial" w:eastAsia="Arial" w:hAnsi="Arial"/>
                <w:sz w:val="18"/>
                <w:szCs w:val="18"/>
                <w:color w:val="auto"/>
              </w:rPr>
              <w:t>Global diversified assets (e)</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146,681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146,681</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real estate investment trusts (f)</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53,159</w:t>
            </w:r>
          </w:p>
        </w:tc>
        <w:tc>
          <w:tcPr>
            <w:tcW w:w="0" w:type="dxa"/>
            <w:vAlign w:val="bottom"/>
          </w:tcPr>
          <w:p>
            <w:pPr>
              <w:spacing w:after="0"/>
              <w:rPr>
                <w:sz w:val="1"/>
                <w:szCs w:val="1"/>
                <w:color w:val="auto"/>
              </w:rPr>
            </w:pPr>
          </w:p>
        </w:tc>
      </w:tr>
      <w:tr>
        <w:trPr>
          <w:trHeight w:val="226"/>
        </w:trPr>
        <w:tc>
          <w:tcPr>
            <w:tcW w:w="4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Global infrastructure (g)</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54,026</w:t>
            </w:r>
          </w:p>
        </w:tc>
        <w:tc>
          <w:tcPr>
            <w:tcW w:w="0" w:type="dxa"/>
            <w:vAlign w:val="bottom"/>
          </w:tcPr>
          <w:p>
            <w:pPr>
              <w:spacing w:after="0"/>
              <w:rPr>
                <w:sz w:val="1"/>
                <w:szCs w:val="1"/>
                <w:color w:val="auto"/>
              </w:rPr>
            </w:pPr>
          </w:p>
        </w:tc>
      </w:tr>
      <w:tr>
        <w:trPr>
          <w:trHeight w:val="24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pension plan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1,039,879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1,053,438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480" w:right="120" w:hanging="313"/>
        <w:spacing w:after="0" w:line="297" w:lineRule="auto"/>
        <w:tabs>
          <w:tab w:leader="none" w:pos="474" w:val="left"/>
        </w:tabs>
        <w:numPr>
          <w:ilvl w:val="0"/>
          <w:numId w:val="45"/>
        </w:numPr>
        <w:rPr>
          <w:rFonts w:ascii="Arial" w:cs="Arial" w:eastAsia="Arial" w:hAnsi="Arial"/>
          <w:sz w:val="17"/>
          <w:szCs w:val="17"/>
          <w:color w:val="auto"/>
        </w:rPr>
      </w:pPr>
      <w:r>
        <w:rPr>
          <w:rFonts w:ascii="Arial" w:cs="Arial" w:eastAsia="Arial" w:hAnsi="Arial"/>
          <w:sz w:val="17"/>
          <w:szCs w:val="17"/>
          <w:color w:val="auto"/>
        </w:rPr>
        <w:t>Certain investments that are measured at fair value using the net asset value per share (or its equivalent) practical expedient have not been categorized in the fair value hierarchy but are included to reconcile to the amounts presented in our Obligations and Funded Status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403225</wp:posOffset>
            </wp:positionV>
            <wp:extent cx="194945" cy="169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6" w:name="page87"/>
    <w:bookmarkEnd w:id="86"/>
    <w:p>
      <w:pPr>
        <w:jc w:val="center"/>
        <w:ind w:right="-19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7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2" w:lineRule="exact"/>
        <w:rPr>
          <w:sz w:val="20"/>
          <w:szCs w:val="20"/>
          <w:color w:val="auto"/>
        </w:rPr>
      </w:pPr>
    </w:p>
    <w:p>
      <w:pPr>
        <w:ind w:left="620" w:hanging="436"/>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category comprises equity funds that primarily track the MSCI World Index or MSCI All Country World Index.</w:t>
      </w:r>
    </w:p>
    <w:p>
      <w:pPr>
        <w:spacing w:after="0" w:line="59" w:lineRule="exact"/>
        <w:rPr>
          <w:rFonts w:ascii="Arial" w:cs="Arial" w:eastAsia="Arial" w:hAnsi="Arial"/>
          <w:sz w:val="18"/>
          <w:szCs w:val="18"/>
          <w:color w:val="auto"/>
        </w:rPr>
      </w:pPr>
    </w:p>
    <w:p>
      <w:pPr>
        <w:ind w:left="620" w:hanging="436"/>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category comprises fixed income funds primarily invested in investment grade and high yield bonds.</w:t>
      </w:r>
    </w:p>
    <w:p>
      <w:pPr>
        <w:spacing w:after="0" w:line="59" w:lineRule="exact"/>
        <w:rPr>
          <w:rFonts w:ascii="Arial" w:cs="Arial" w:eastAsia="Arial" w:hAnsi="Arial"/>
          <w:sz w:val="18"/>
          <w:szCs w:val="18"/>
          <w:color w:val="auto"/>
        </w:rPr>
      </w:pPr>
    </w:p>
    <w:p>
      <w:pPr>
        <w:ind w:left="620" w:hanging="436"/>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category comprises fixed income funds primarily invested in Canadian and other international bonds.</w:t>
      </w:r>
    </w:p>
    <w:p>
      <w:pPr>
        <w:spacing w:after="0" w:line="59" w:lineRule="exact"/>
        <w:rPr>
          <w:rFonts w:ascii="Arial" w:cs="Arial" w:eastAsia="Arial" w:hAnsi="Arial"/>
          <w:sz w:val="18"/>
          <w:szCs w:val="18"/>
          <w:color w:val="auto"/>
        </w:rPr>
      </w:pPr>
    </w:p>
    <w:p>
      <w:pPr>
        <w:ind w:left="620" w:hanging="436"/>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category comprises fixed income funds primarily invested in high yield bonds, loans, securitized debt, and emerging market debt.</w:t>
      </w:r>
    </w:p>
    <w:p>
      <w:pPr>
        <w:spacing w:after="0" w:line="71" w:lineRule="exact"/>
        <w:rPr>
          <w:rFonts w:ascii="Arial" w:cs="Arial" w:eastAsia="Arial" w:hAnsi="Arial"/>
          <w:sz w:val="17"/>
          <w:szCs w:val="17"/>
          <w:color w:val="auto"/>
        </w:rPr>
      </w:pPr>
    </w:p>
    <w:p>
      <w:pPr>
        <w:ind w:left="620" w:hanging="436"/>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category comprises diversified funds invested across alternative asset classes.</w:t>
      </w:r>
    </w:p>
    <w:p>
      <w:pPr>
        <w:spacing w:after="0" w:line="59" w:lineRule="exact"/>
        <w:rPr>
          <w:rFonts w:ascii="Arial" w:cs="Arial" w:eastAsia="Arial" w:hAnsi="Arial"/>
          <w:sz w:val="18"/>
          <w:szCs w:val="18"/>
          <w:color w:val="auto"/>
        </w:rPr>
      </w:pPr>
    </w:p>
    <w:p>
      <w:pPr>
        <w:ind w:left="620" w:hanging="436"/>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category comprises equity funds primarily invested in publicly traded real estate securities.</w:t>
      </w:r>
    </w:p>
    <w:p>
      <w:pPr>
        <w:spacing w:after="0" w:line="59" w:lineRule="exact"/>
        <w:rPr>
          <w:rFonts w:ascii="Arial" w:cs="Arial" w:eastAsia="Arial" w:hAnsi="Arial"/>
          <w:sz w:val="18"/>
          <w:szCs w:val="18"/>
          <w:color w:val="auto"/>
        </w:rPr>
      </w:pPr>
    </w:p>
    <w:p>
      <w:pPr>
        <w:ind w:left="620" w:hanging="436"/>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category comprises equity funds primarily invested in publicly traded listed infrastructure securities.</w:t>
      </w:r>
    </w:p>
    <w:p>
      <w:pPr>
        <w:spacing w:after="0" w:line="2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 of the Level 1 assets was based on quoted prices in active markets for the identical assets. The fair value of the Level 2 assets was determined by management based on an assessment of valuations provided by asset management entities and was calculated by aggregating market prices for all underlying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Investment objectives for our domestic plan assets are:</w:t>
      </w:r>
    </w:p>
    <w:p>
      <w:pPr>
        <w:spacing w:after="0" w:line="246" w:lineRule="exact"/>
        <w:rPr>
          <w:sz w:val="20"/>
          <w:szCs w:val="20"/>
          <w:color w:val="auto"/>
        </w:rPr>
      </w:pPr>
    </w:p>
    <w:p>
      <w:pPr>
        <w:ind w:left="640" w:hanging="314"/>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ensure high correlation between the value of plan assets and liabilities;</w:t>
      </w:r>
    </w:p>
    <w:p>
      <w:pPr>
        <w:spacing w:after="0" w:line="17" w:lineRule="exact"/>
        <w:rPr>
          <w:rFonts w:ascii="Arial" w:cs="Arial" w:eastAsia="Arial" w:hAnsi="Arial"/>
          <w:sz w:val="18"/>
          <w:szCs w:val="18"/>
          <w:color w:val="auto"/>
        </w:rPr>
      </w:pPr>
    </w:p>
    <w:p>
      <w:pPr>
        <w:ind w:left="640" w:hanging="314"/>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maintain careful control of the risk level within each asset class; and</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focus on a long-term return objective.</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that there are no significant concentrations of risk within our plan assets as of December 31, 2020. We comply with the rules and regulations promulgated under the Employee Retirement Income Security Act of 1974 (“ERISA”) and we prohibit investments and investment strategies not allowed by ERISA. We do not permit direct purchases of our Company’s securities or the use of derivatives for the purpose of speculation. We invest the assets of non-domestic plans in compliance with laws and regulations applicable to those plans.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and Plan Termination</w:t>
      </w:r>
    </w:p>
    <w:p>
      <w:pPr>
        <w:spacing w:after="0" w:line="106" w:lineRule="exact"/>
        <w:rPr>
          <w:sz w:val="20"/>
          <w:szCs w:val="20"/>
          <w:color w:val="auto"/>
        </w:rPr>
      </w:pPr>
    </w:p>
    <w:p>
      <w:pPr>
        <w:spacing w:after="0" w:line="330" w:lineRule="auto"/>
        <w:rPr>
          <w:sz w:val="20"/>
          <w:szCs w:val="20"/>
          <w:color w:val="auto"/>
        </w:rPr>
      </w:pPr>
      <w:r>
        <w:rPr>
          <w:rFonts w:ascii="Arial" w:cs="Arial" w:eastAsia="Arial" w:hAnsi="Arial"/>
          <w:sz w:val="16"/>
          <w:szCs w:val="16"/>
          <w:color w:val="auto"/>
        </w:rPr>
        <w:t>Our policy is to fund domestic pension liabilities in accordance with the limits imposed by the ERISA, federal income tax laws and the funding requirements of the Pension Protection Act of 2006. We fund non-domestic pension liabilities in accordance with laws and regulations applicable to those plans.</w:t>
      </w:r>
    </w:p>
    <w:p>
      <w:pPr>
        <w:spacing w:after="0" w:line="80"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auto"/>
        </w:rPr>
        <w:t>We made total contributions to the pension plans of $2,862 during 2020. In 2019, we made total contributions of $3,660 to the pension plans. For 2021, minimum funding requirements for our pension plans are approximately $1,611.</w:t>
      </w:r>
    </w:p>
    <w:p>
      <w:pPr>
        <w:spacing w:after="0" w:line="126"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Total benefit payments expected to be paid to plan participants, including pension benefits funded from the plans and other benefits funded from Company assets, are as follows:</w:t>
      </w:r>
    </w:p>
    <w:p>
      <w:pPr>
        <w:spacing w:after="0" w:line="80"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25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Expected Benefit Payments</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1"/>
        </w:trPr>
        <w:tc>
          <w:tcPr>
            <w:tcW w:w="25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7"/>
              </w:rPr>
              <w:t>2026-2030</w:t>
            </w: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Benefits</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369,540</w:t>
            </w:r>
          </w:p>
        </w:tc>
      </w:tr>
      <w:tr>
        <w:trPr>
          <w:trHeight w:val="225"/>
        </w:trPr>
        <w:tc>
          <w:tcPr>
            <w:tcW w:w="2520" w:type="dxa"/>
            <w:vAlign w:val="bottom"/>
          </w:tcPr>
          <w:p>
            <w:pPr>
              <w:ind w:left="20"/>
              <w:spacing w:after="0"/>
              <w:rPr>
                <w:sz w:val="20"/>
                <w:szCs w:val="20"/>
                <w:color w:val="auto"/>
              </w:rPr>
            </w:pPr>
            <w:r>
              <w:rPr>
                <w:rFonts w:ascii="Arial" w:cs="Arial" w:eastAsia="Arial" w:hAnsi="Arial"/>
                <w:sz w:val="18"/>
                <w:szCs w:val="18"/>
                <w:color w:val="auto"/>
              </w:rPr>
              <w:t>Other Benefits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64,235</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Plans</w:t>
      </w:r>
    </w:p>
    <w:p>
      <w:pPr>
        <w:spacing w:after="0" w:line="106"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Company sponsors several defined contribution plans to provide retirement benefits to employees. Contributions to The Hershey Company 401(k) Plan and similar plans for non-domestic employees are based on a portion of eligible pay up to a defined maximum. All matching contributions were made in cash. Expense associated with the defined contribution plans was $52,793 in 2020, $47,651 in 2019 and $47,959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393065</wp:posOffset>
            </wp:positionV>
            <wp:extent cx="194945" cy="169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87" w:name="page88"/>
    <w:bookmarkEnd w:id="87"/>
    <w:p>
      <w:pPr>
        <w:jc w:val="center"/>
        <w:ind w:right="-15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295" w:lineRule="exact"/>
        <w:rPr>
          <w:sz w:val="20"/>
          <w:szCs w:val="20"/>
          <w:color w:val="auto"/>
        </w:rPr>
      </w:pPr>
    </w:p>
    <w:p>
      <w:pPr>
        <w:ind w:left="640" w:hanging="31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Non-qualified stock options ("stock options");</w:t>
      </w:r>
    </w:p>
    <w:p>
      <w:pPr>
        <w:spacing w:after="0" w:line="17" w:lineRule="exact"/>
        <w:rPr>
          <w:rFonts w:ascii="Arial" w:cs="Arial" w:eastAsia="Arial" w:hAnsi="Arial"/>
          <w:sz w:val="18"/>
          <w:szCs w:val="18"/>
          <w:color w:val="auto"/>
        </w:rPr>
      </w:pPr>
    </w:p>
    <w:p>
      <w:pPr>
        <w:ind w:left="640" w:hanging="31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Performance stock units ("PSUs") and performance stock;</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Restricted stock units ("RSUs") and restricted stock; and</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2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As of December 31, 2020, 65.8 million shares were authorized and approved by our stockholders for grants under the EICP. The EICP also provides for the deferral of stock-based compensation awards by participants if approved by the Compensation and Executive Organization Committee of our Board and if in accordance with an applicable deferred compensation plan of the Company. Currently, the Compensation and Executive Organization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41" w:lineRule="exact"/>
        <w:rPr>
          <w:sz w:val="20"/>
          <w:szCs w:val="20"/>
          <w:color w:val="auto"/>
        </w:rPr>
      </w:pPr>
    </w:p>
    <w:p>
      <w:pPr>
        <w:jc w:val="both"/>
        <w:ind w:right="540"/>
        <w:spacing w:after="0" w:line="241" w:lineRule="auto"/>
        <w:rPr>
          <w:sz w:val="20"/>
          <w:szCs w:val="20"/>
          <w:color w:val="auto"/>
        </w:rPr>
      </w:pPr>
      <w:r>
        <w:rPr>
          <w:rFonts w:ascii="Arial" w:cs="Arial" w:eastAsia="Arial" w:hAnsi="Arial"/>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36"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18"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93"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2018</w:t>
            </w:r>
          </w:p>
        </w:tc>
      </w:tr>
      <w:tr>
        <w:trPr>
          <w:trHeight w:val="221"/>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compensation expense</w:t>
            </w:r>
          </w:p>
        </w:tc>
        <w:tc>
          <w:tcPr>
            <w:tcW w:w="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49,286</w:t>
            </w:r>
          </w:p>
        </w:tc>
      </w:tr>
      <w:tr>
        <w:trPr>
          <w:trHeight w:val="225"/>
        </w:trPr>
        <w:tc>
          <w:tcPr>
            <w:tcW w:w="5000" w:type="dxa"/>
            <w:vAlign w:val="bottom"/>
            <w:gridSpan w:val="2"/>
          </w:tcPr>
          <w:p>
            <w:pPr>
              <w:ind w:left="100"/>
              <w:spacing w:after="0"/>
              <w:rPr>
                <w:sz w:val="20"/>
                <w:szCs w:val="20"/>
                <w:color w:val="auto"/>
              </w:rPr>
            </w:pPr>
            <w:r>
              <w:rPr>
                <w:rFonts w:ascii="Arial" w:cs="Arial" w:eastAsia="Arial" w:hAnsi="Arial"/>
                <w:sz w:val="18"/>
                <w:szCs w:val="18"/>
                <w:color w:val="auto"/>
              </w:rPr>
              <w:t>Related income tax benefit</w:t>
            </w: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9,463</w:t>
            </w:r>
          </w:p>
        </w:tc>
      </w:tr>
    </w:tbl>
    <w:p>
      <w:pPr>
        <w:spacing w:after="0" w:line="24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Compensation expenses for stock compensation plans are primarily included in selling, marketing and administrative expense. As of December 31, 2020, total stock-based compensation expense related to non-vested awards not yet recognized was $60,198 and the weighted-average period over which this amount is expected to be recognized was approximately 1.9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452755</wp:posOffset>
            </wp:positionV>
            <wp:extent cx="194945" cy="169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8" w:name="page89"/>
    <w:bookmarkEnd w:id="88"/>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year ended December 31, 2020 is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jc w:val="center"/>
              <w:ind w:right="51"/>
              <w:spacing w:after="0"/>
              <w:rPr>
                <w:sz w:val="20"/>
                <w:szCs w:val="20"/>
                <w:color w:val="auto"/>
              </w:rPr>
            </w:pPr>
            <w:r>
              <w:rPr>
                <w:rFonts w:ascii="Arial" w:cs="Arial" w:eastAsia="Arial" w:hAnsi="Arial"/>
                <w:sz w:val="18"/>
                <w:szCs w:val="18"/>
                <w:b w:val="1"/>
                <w:bCs w:val="1"/>
                <w:color w:val="auto"/>
                <w:w w:val="88"/>
              </w:rPr>
              <w:t>Weighted-Average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17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Aggregate Intrinsic</w:t>
            </w:r>
          </w:p>
        </w:tc>
        <w:tc>
          <w:tcPr>
            <w:tcW w:w="0" w:type="dxa"/>
            <w:vAlign w:val="bottom"/>
          </w:tcPr>
          <w:p>
            <w:pPr>
              <w:spacing w:after="0"/>
              <w:rPr>
                <w:sz w:val="1"/>
                <w:szCs w:val="1"/>
                <w:color w:val="auto"/>
              </w:rPr>
            </w:pPr>
          </w:p>
        </w:tc>
      </w:tr>
      <w:tr>
        <w:trPr>
          <w:trHeight w:val="173"/>
        </w:trPr>
        <w:tc>
          <w:tcPr>
            <w:tcW w:w="4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 Options</w:t>
            </w:r>
          </w:p>
        </w:tc>
        <w:tc>
          <w:tcPr>
            <w:tcW w:w="1520" w:type="dxa"/>
            <w:vAlign w:val="bottom"/>
            <w:vMerge w:val="restart"/>
          </w:tcPr>
          <w:p>
            <w:pPr>
              <w:jc w:val="right"/>
              <w:ind w:right="411"/>
              <w:spacing w:after="0"/>
              <w:rPr>
                <w:sz w:val="20"/>
                <w:szCs w:val="20"/>
                <w:color w:val="auto"/>
              </w:rPr>
            </w:pPr>
            <w:r>
              <w:rPr>
                <w:rFonts w:ascii="Arial" w:cs="Arial" w:eastAsia="Arial" w:hAnsi="Arial"/>
                <w:sz w:val="18"/>
                <w:szCs w:val="18"/>
                <w:b w:val="1"/>
                <w:bCs w:val="1"/>
                <w:color w:val="auto"/>
              </w:rPr>
              <w:t>Shares</w:t>
            </w:r>
          </w:p>
        </w:tc>
        <w:tc>
          <w:tcPr>
            <w:tcW w:w="1700" w:type="dxa"/>
            <w:vAlign w:val="bottom"/>
          </w:tcPr>
          <w:p>
            <w:pPr>
              <w:jc w:val="center"/>
              <w:ind w:right="11"/>
              <w:spacing w:after="0" w:line="173" w:lineRule="exact"/>
              <w:rPr>
                <w:sz w:val="20"/>
                <w:szCs w:val="20"/>
                <w:color w:val="auto"/>
              </w:rPr>
            </w:pPr>
            <w:r>
              <w:rPr>
                <w:rFonts w:ascii="Arial" w:cs="Arial" w:eastAsia="Arial" w:hAnsi="Arial"/>
                <w:sz w:val="18"/>
                <w:szCs w:val="18"/>
                <w:b w:val="1"/>
                <w:bCs w:val="1"/>
                <w:color w:val="auto"/>
                <w:w w:val="88"/>
              </w:rPr>
              <w:t>Exercise Price (per</w:t>
            </w:r>
          </w:p>
        </w:tc>
        <w:tc>
          <w:tcPr>
            <w:tcW w:w="16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1"/>
              </w:rPr>
              <w:t>Remaining</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640" w:type="dxa"/>
            <w:vAlign w:val="bottom"/>
            <w:tcBorders>
              <w:bottom w:val="single" w:sz="8" w:color="auto"/>
            </w:tcBorders>
            <w:vMerge w:val="continue"/>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8"/>
              </w:rPr>
              <w:t>share)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Contractual Term</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the period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2,420,461</w:t>
            </w: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$97.80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5.7 years</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15,260</w:t>
            </w: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$157.32</w:t>
            </w:r>
          </w:p>
        </w:tc>
        <w:tc>
          <w:tcPr>
            <w:tcW w:w="1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(553,131)</w:t>
            </w: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$92.70</w:t>
            </w: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(42,779)</w:t>
            </w:r>
          </w:p>
        </w:tc>
        <w:tc>
          <w:tcPr>
            <w:tcW w:w="170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$102.44</w:t>
            </w:r>
          </w:p>
        </w:tc>
        <w:tc>
          <w:tcPr>
            <w:tcW w:w="16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1,839,811</w:t>
            </w: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$99.72</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4.9 years</w:t>
            </w:r>
          </w:p>
        </w:tc>
        <w:tc>
          <w:tcPr>
            <w:tcW w:w="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96,873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40" w:type="dxa"/>
            <w:vAlign w:val="bottom"/>
          </w:tcPr>
          <w:p>
            <w:pPr>
              <w:ind w:left="20"/>
              <w:spacing w:after="0" w:line="200" w:lineRule="exact"/>
              <w:rPr>
                <w:sz w:val="20"/>
                <w:szCs w:val="20"/>
                <w:color w:val="auto"/>
              </w:rPr>
            </w:pPr>
            <w:r>
              <w:rPr>
                <w:rFonts w:ascii="Arial" w:cs="Arial" w:eastAsia="Arial" w:hAnsi="Arial"/>
                <w:sz w:val="18"/>
                <w:szCs w:val="18"/>
                <w:color w:val="auto"/>
              </w:rPr>
              <w:t>Options exercisable as of December 31, 2020</w:t>
            </w:r>
          </w:p>
        </w:tc>
        <w:tc>
          <w:tcPr>
            <w:tcW w:w="1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1,406,063</w:t>
            </w:r>
          </w:p>
        </w:tc>
        <w:tc>
          <w:tcPr>
            <w:tcW w:w="17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$98.29</w:t>
            </w:r>
          </w:p>
        </w:tc>
        <w:tc>
          <w:tcPr>
            <w:tcW w:w="1640" w:type="dxa"/>
            <w:vAlign w:val="bottom"/>
          </w:tcPr>
          <w:p>
            <w:pPr>
              <w:jc w:val="center"/>
              <w:spacing w:after="0" w:line="200" w:lineRule="exact"/>
              <w:rPr>
                <w:sz w:val="20"/>
                <w:szCs w:val="20"/>
                <w:color w:val="auto"/>
              </w:rPr>
            </w:pPr>
            <w:r>
              <w:rPr>
                <w:rFonts w:ascii="Arial" w:cs="Arial" w:eastAsia="Arial" w:hAnsi="Arial"/>
                <w:sz w:val="18"/>
                <w:szCs w:val="18"/>
                <w:color w:val="auto"/>
                <w:w w:val="86"/>
              </w:rPr>
              <w:t>4.2 years</w:t>
            </w:r>
          </w:p>
        </w:tc>
        <w:tc>
          <w:tcPr>
            <w:tcW w:w="440" w:type="dxa"/>
            <w:vAlign w:val="bottom"/>
          </w:tcPr>
          <w:p>
            <w:pPr>
              <w:jc w:val="right"/>
              <w:ind w:right="151"/>
              <w:spacing w:after="0" w:line="200"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0" w:lineRule="exact"/>
              <w:rPr>
                <w:sz w:val="20"/>
                <w:szCs w:val="20"/>
                <w:color w:val="auto"/>
              </w:rPr>
            </w:pPr>
            <w:r>
              <w:rPr>
                <w:rFonts w:ascii="Arial" w:cs="Arial" w:eastAsia="Arial" w:hAnsi="Arial"/>
                <w:sz w:val="18"/>
                <w:szCs w:val="18"/>
                <w:color w:val="auto"/>
              </w:rPr>
              <w:t>75,977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right="580"/>
        <w:spacing w:after="0" w:line="282" w:lineRule="auto"/>
        <w:rPr>
          <w:sz w:val="20"/>
          <w:szCs w:val="20"/>
          <w:color w:val="auto"/>
        </w:rPr>
      </w:pPr>
      <w:r>
        <w:rPr>
          <w:rFonts w:ascii="Arial" w:cs="Arial" w:eastAsia="Arial" w:hAnsi="Arial"/>
          <w:sz w:val="17"/>
          <w:szCs w:val="17"/>
          <w:color w:val="auto"/>
        </w:rPr>
        <w:t>The weighted-average fair value of options granted was $21.31, $15.25 and $15.58 per share in 2020, 2019 and 2018, respectively. The fair value was estimated on the date of grant using a Black-Scholes option-pricing model and the following weighted-average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2018</w:t>
            </w:r>
          </w:p>
        </w:tc>
      </w:tr>
      <w:tr>
        <w:trPr>
          <w:trHeight w:val="221"/>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6"/>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17.5 %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9"/>
              </w:rPr>
              <w:t>17.0 %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16.6 %</w:t>
            </w:r>
          </w:p>
        </w:tc>
      </w:tr>
      <w:tr>
        <w:trPr>
          <w:trHeight w:val="227"/>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162" w:lineRule="exact"/>
        <w:rPr>
          <w:sz w:val="20"/>
          <w:szCs w:val="20"/>
          <w:color w:val="auto"/>
        </w:rPr>
      </w:pPr>
    </w:p>
    <w:p>
      <w:pPr>
        <w:ind w:left="640" w:right="400" w:hanging="314"/>
        <w:spacing w:after="0" w:line="253"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"Dividend yields" means the sum of dividends declared for the four most recent quarterly periods, divided by the average price of our Common Stock for the comparable periods;</w:t>
      </w:r>
    </w:p>
    <w:p>
      <w:pPr>
        <w:spacing w:after="0" w:line="1" w:lineRule="exact"/>
        <w:rPr>
          <w:rFonts w:ascii="Arial" w:cs="Arial" w:eastAsia="Arial" w:hAnsi="Arial"/>
          <w:sz w:val="18"/>
          <w:szCs w:val="18"/>
          <w:color w:val="auto"/>
        </w:rPr>
      </w:pPr>
    </w:p>
    <w:p>
      <w:pPr>
        <w:ind w:left="640" w:hanging="314"/>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 volatility" means the historical volatility of our Common Stock over the expected term of each grant;</w:t>
      </w:r>
    </w:p>
    <w:p>
      <w:pPr>
        <w:spacing w:after="0" w:line="6" w:lineRule="exact"/>
        <w:rPr>
          <w:rFonts w:ascii="Arial" w:cs="Arial" w:eastAsia="Arial" w:hAnsi="Arial"/>
          <w:sz w:val="18"/>
          <w:szCs w:val="18"/>
          <w:color w:val="auto"/>
        </w:rPr>
      </w:pPr>
    </w:p>
    <w:p>
      <w:pPr>
        <w:ind w:left="640" w:right="320" w:hanging="314"/>
        <w:spacing w:after="0" w:line="247"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"Risk-free interest rates" means the U.S. Treasury yield curve rate in effect at the time of grant for periods within the contractual life of the stock option; and</w:t>
      </w:r>
    </w:p>
    <w:p>
      <w:pPr>
        <w:ind w:left="640" w:hanging="314"/>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 term" means the period of time that stock options granted are expected to be outstanding based on historical data.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$32,121, $115,786 and $38,382 in 2020, 2019 and 2018, respectively.</w:t>
      </w:r>
    </w:p>
    <w:p>
      <w:pPr>
        <w:spacing w:after="0" w:line="166"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As of December 31, 2020, there was $2,138 of total unrecognized compensation expense related to non-vested stock option awards granted under the EICP, which we expect to recognize over a weighted-average period of 1.3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December 31, 2020:</w:t>
      </w:r>
    </w:p>
    <w:p>
      <w:pPr>
        <w:spacing w:after="0" w:line="12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Options Outstanding</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849"/>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2"/>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ind w:left="440"/>
              <w:spacing w:after="0" w:line="133" w:lineRule="exact"/>
              <w:rPr>
                <w:sz w:val="20"/>
                <w:szCs w:val="20"/>
                <w:color w:val="auto"/>
              </w:rPr>
            </w:pPr>
            <w:r>
              <w:rPr>
                <w:rFonts w:ascii="Arial" w:cs="Arial" w:eastAsia="Arial" w:hAnsi="Arial"/>
                <w:sz w:val="14"/>
                <w:szCs w:val="14"/>
                <w:b w:val="1"/>
                <w:bCs w:val="1"/>
                <w:color w:val="auto"/>
              </w:rPr>
              <w:t>Weighted-</w:t>
            </w: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1"/>
                <w:szCs w:val="11"/>
                <w:color w:val="auto"/>
              </w:rPr>
            </w:pPr>
          </w:p>
        </w:tc>
        <w:tc>
          <w:tcPr>
            <w:tcW w:w="158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Weighted-</w:t>
            </w:r>
          </w:p>
        </w:tc>
        <w:tc>
          <w:tcPr>
            <w:tcW w:w="154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1"/>
                <w:szCs w:val="11"/>
                <w:color w:val="auto"/>
              </w:rPr>
            </w:pPr>
          </w:p>
        </w:tc>
        <w:tc>
          <w:tcPr>
            <w:tcW w:w="150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2"/>
              </w:rPr>
              <w:t>Remaining</w:t>
            </w:r>
          </w:p>
        </w:tc>
        <w:tc>
          <w:tcPr>
            <w:tcW w:w="1580" w:type="dxa"/>
            <w:vAlign w:val="bottom"/>
            <w:gridSpan w:val="2"/>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1"/>
                <w:szCs w:val="11"/>
                <w:color w:val="auto"/>
              </w:rPr>
            </w:pPr>
          </w:p>
        </w:tc>
        <w:tc>
          <w:tcPr>
            <w:tcW w:w="1440" w:type="dxa"/>
            <w:vAlign w:val="bottom"/>
          </w:tcPr>
          <w:p>
            <w:pPr>
              <w:jc w:val="right"/>
              <w:ind w:right="199"/>
              <w:spacing w:after="0" w:line="133" w:lineRule="exact"/>
              <w:rPr>
                <w:sz w:val="20"/>
                <w:szCs w:val="20"/>
                <w:color w:val="auto"/>
              </w:rPr>
            </w:pPr>
            <w:r>
              <w:rPr>
                <w:rFonts w:ascii="Arial" w:cs="Arial" w:eastAsia="Arial" w:hAnsi="Arial"/>
                <w:sz w:val="14"/>
                <w:szCs w:val="14"/>
                <w:b w:val="1"/>
                <w:bCs w:val="1"/>
                <w:color w:val="auto"/>
              </w:rPr>
              <w:t>Outstanding as</w:t>
            </w:r>
          </w:p>
        </w:tc>
        <w:tc>
          <w:tcPr>
            <w:tcW w:w="120" w:type="dxa"/>
            <w:vAlign w:val="bottom"/>
          </w:tcPr>
          <w:p>
            <w:pPr>
              <w:spacing w:after="0"/>
              <w:rPr>
                <w:sz w:val="11"/>
                <w:szCs w:val="11"/>
                <w:color w:val="auto"/>
              </w:rPr>
            </w:pPr>
          </w:p>
        </w:tc>
        <w:tc>
          <w:tcPr>
            <w:tcW w:w="158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5"/>
              </w:rPr>
              <w:t>Contractual</w:t>
            </w:r>
          </w:p>
        </w:tc>
        <w:tc>
          <w:tcPr>
            <w:tcW w:w="1580" w:type="dxa"/>
            <w:vAlign w:val="bottom"/>
            <w:gridSpan w:val="2"/>
          </w:tcPr>
          <w:p>
            <w:pPr>
              <w:ind w:left="480"/>
              <w:spacing w:after="0" w:line="133" w:lineRule="exact"/>
              <w:rPr>
                <w:sz w:val="20"/>
                <w:szCs w:val="20"/>
                <w:color w:val="auto"/>
              </w:rPr>
            </w:pPr>
            <w:r>
              <w:rPr>
                <w:rFonts w:ascii="Arial" w:cs="Arial" w:eastAsia="Arial" w:hAnsi="Arial"/>
                <w:sz w:val="14"/>
                <w:szCs w:val="14"/>
                <w:b w:val="1"/>
                <w:bCs w:val="1"/>
                <w:color w:val="auto"/>
              </w:rPr>
              <w:t>Average</w:t>
            </w:r>
          </w:p>
        </w:tc>
        <w:tc>
          <w:tcPr>
            <w:tcW w:w="1540" w:type="dxa"/>
            <w:vAlign w:val="bottom"/>
          </w:tcPr>
          <w:p>
            <w:pPr>
              <w:jc w:val="right"/>
              <w:ind w:right="180"/>
              <w:spacing w:after="0" w:line="133" w:lineRule="exact"/>
              <w:rPr>
                <w:sz w:val="20"/>
                <w:szCs w:val="20"/>
                <w:color w:val="auto"/>
              </w:rPr>
            </w:pPr>
            <w:r>
              <w:rPr>
                <w:rFonts w:ascii="Arial" w:cs="Arial" w:eastAsia="Arial" w:hAnsi="Arial"/>
                <w:sz w:val="14"/>
                <w:szCs w:val="14"/>
                <w:b w:val="1"/>
                <w:bCs w:val="1"/>
                <w:color w:val="auto"/>
              </w:rPr>
              <w:t>Exercisable as of</w:t>
            </w:r>
          </w:p>
        </w:tc>
        <w:tc>
          <w:tcPr>
            <w:tcW w:w="120" w:type="dxa"/>
            <w:vAlign w:val="bottom"/>
          </w:tcPr>
          <w:p>
            <w:pPr>
              <w:spacing w:after="0"/>
              <w:rPr>
                <w:sz w:val="11"/>
                <w:szCs w:val="11"/>
                <w:color w:val="auto"/>
              </w:rPr>
            </w:pPr>
          </w:p>
        </w:tc>
        <w:tc>
          <w:tcPr>
            <w:tcW w:w="1500" w:type="dxa"/>
            <w:vAlign w:val="bottom"/>
          </w:tcPr>
          <w:p>
            <w:pPr>
              <w:jc w:val="right"/>
              <w:ind w:right="449"/>
              <w:spacing w:after="0" w:line="133"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3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of 12/31/20</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12/31/20</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1"/>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$34.89 - $96.65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451,518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447,523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26"/>
        </w:trPr>
        <w:tc>
          <w:tcPr>
            <w:tcW w:w="3040" w:type="dxa"/>
            <w:vAlign w:val="bottom"/>
          </w:tcPr>
          <w:p>
            <w:pPr>
              <w:jc w:val="center"/>
              <w:ind w:left="15"/>
              <w:spacing w:after="0"/>
              <w:rPr>
                <w:sz w:val="20"/>
                <w:szCs w:val="20"/>
                <w:color w:val="auto"/>
              </w:rPr>
            </w:pPr>
            <w:r>
              <w:rPr>
                <w:rFonts w:ascii="Arial" w:cs="Arial" w:eastAsia="Arial" w:hAnsi="Arial"/>
                <w:sz w:val="18"/>
                <w:szCs w:val="18"/>
                <w:color w:val="auto"/>
                <w:w w:val="89"/>
              </w:rPr>
              <w:t>$96.66 - $105.91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699,982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$101.70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409,235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88"/>
              </w:rPr>
              <w:t>$105.92 - $157.32</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688,311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549,305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21"/>
        </w:trPr>
        <w:tc>
          <w:tcPr>
            <w:tcW w:w="3040" w:type="dxa"/>
            <w:vAlign w:val="bottom"/>
          </w:tcPr>
          <w:p>
            <w:pPr>
              <w:jc w:val="center"/>
              <w:ind w:left="15"/>
              <w:spacing w:after="0"/>
              <w:rPr>
                <w:sz w:val="20"/>
                <w:szCs w:val="20"/>
                <w:color w:val="auto"/>
              </w:rPr>
            </w:pPr>
            <w:r>
              <w:rPr>
                <w:rFonts w:ascii="Arial" w:cs="Arial" w:eastAsia="Arial" w:hAnsi="Arial"/>
                <w:sz w:val="18"/>
                <w:szCs w:val="18"/>
                <w:color w:val="auto"/>
                <w:w w:val="89"/>
              </w:rPr>
              <w:t>$34.89 - $157.32</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1,839,811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$99.72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1,406,063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482600</wp:posOffset>
            </wp:positionV>
            <wp:extent cx="194945" cy="169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23"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Under the EICP, we grant PSUs to selected executives and other key employees. Vesting is contingent upon the achievement of certain performance objectives. We grant PSUs over 3-year performance cycles. If we meet targets for financial measures at the end of the applicable 3-year performance cycle, we award a resulting number of shares of our Common Stock to the participants. The number of shares may be increased to the maximum or reduced to the</w:t>
      </w:r>
    </w:p>
    <w:p>
      <w:pPr>
        <w:spacing w:after="0"/>
        <w:rPr>
          <w:sz w:val="20"/>
          <w:szCs w:val="20"/>
          <w:color w:val="auto"/>
        </w:rPr>
      </w:pPr>
      <w:r>
        <w:rPr>
          <w:rFonts w:ascii="Arial" w:cs="Arial" w:eastAsia="Arial" w:hAnsi="Arial"/>
          <w:sz w:val="18"/>
          <w:szCs w:val="18"/>
          <w:color w:val="auto"/>
        </w:rPr>
        <w:t>minimum threshold based on the results of these performance metrics in accordance with the terms established at the time of the award</w:t>
      </w:r>
      <w:r>
        <w:rPr>
          <w:rFonts w:ascii="Arial" w:cs="Arial" w:eastAsia="Arial" w:hAnsi="Arial"/>
          <w:sz w:val="21"/>
          <w:szCs w:val="21"/>
          <w:color w:val="0070C0"/>
        </w:rPr>
        <w:t>.</w:t>
      </w:r>
    </w:p>
    <w:p>
      <w:pPr>
        <w:spacing w:after="0" w:line="161"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PSUs granted in 2020, 2019, and 2018 can range from 0% to 250% of the targeted amounts.</w:t>
      </w:r>
    </w:p>
    <w:p>
      <w:pPr>
        <w:spacing w:after="0" w:line="11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recognize the compensation expense associated with PSUs ratably over the 3-year term. Compensation expense is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40"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In 2020, 2019 and 2018, we awarded RSUs to certain executive officers and other key employees under the EICP. We also awarded RSUs quarterly to non-employee directors.</w:t>
      </w:r>
    </w:p>
    <w:p>
      <w:pPr>
        <w:spacing w:after="0" w:line="126" w:lineRule="exact"/>
        <w:rPr>
          <w:sz w:val="20"/>
          <w:szCs w:val="20"/>
          <w:color w:val="auto"/>
        </w:rPr>
      </w:pPr>
    </w:p>
    <w:p>
      <w:pPr>
        <w:jc w:val="both"/>
        <w:ind w:right="380"/>
        <w:spacing w:after="0" w:line="257" w:lineRule="auto"/>
        <w:rPr>
          <w:sz w:val="20"/>
          <w:szCs w:val="20"/>
          <w:color w:val="auto"/>
        </w:rPr>
      </w:pPr>
      <w:r>
        <w:rPr>
          <w:rFonts w:ascii="Arial" w:cs="Arial" w:eastAsia="Arial" w:hAnsi="Arial"/>
          <w:sz w:val="18"/>
          <w:szCs w:val="18"/>
          <w:color w:val="auto"/>
        </w:rPr>
        <w:t>We recognize the compensation expense associated with employee RSUs over a specified award vesting period based on the grant date fair value of our Common Stock. We recognize expense for employee RSUs based on the straight-line method. The compensation expense associated with non-employee director RSUs is recognized ratably over the vesting period, net of estimated forfeitures.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December 31, 2020 is as follows:</w:t>
      </w:r>
    </w:p>
    <w:p>
      <w:pPr>
        <w:spacing w:after="0" w:line="10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7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Performance Stock Units and Restricted Stock Units</w:t>
            </w:r>
          </w:p>
        </w:tc>
        <w:tc>
          <w:tcPr>
            <w:tcW w:w="100" w:type="dxa"/>
            <w:vAlign w:val="bottom"/>
            <w:vMerge w:val="restart"/>
          </w:tcPr>
          <w:p>
            <w:pPr>
              <w:spacing w:after="0"/>
              <w:rPr>
                <w:sz w:val="16"/>
                <w:szCs w:val="16"/>
                <w:color w:val="auto"/>
              </w:rPr>
            </w:pPr>
          </w:p>
        </w:tc>
        <w:tc>
          <w:tcPr>
            <w:tcW w:w="164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Number of units</w:t>
            </w:r>
          </w:p>
        </w:tc>
        <w:tc>
          <w:tcPr>
            <w:tcW w:w="120" w:type="dxa"/>
            <w:vAlign w:val="bottom"/>
          </w:tcPr>
          <w:p>
            <w:pPr>
              <w:spacing w:after="0"/>
              <w:rPr>
                <w:sz w:val="16"/>
                <w:szCs w:val="16"/>
                <w:color w:val="auto"/>
              </w:rPr>
            </w:pPr>
          </w:p>
        </w:tc>
        <w:tc>
          <w:tcPr>
            <w:tcW w:w="3520" w:type="dxa"/>
            <w:vAlign w:val="bottom"/>
          </w:tcPr>
          <w:p>
            <w:pPr>
              <w:jc w:val="right"/>
              <w:ind w:right="180"/>
              <w:spacing w:after="0"/>
              <w:rPr>
                <w:sz w:val="20"/>
                <w:szCs w:val="20"/>
                <w:color w:val="auto"/>
              </w:rPr>
            </w:pPr>
            <w:r>
              <w:rPr>
                <w:rFonts w:ascii="Arial" w:cs="Arial" w:eastAsia="Arial" w:hAnsi="Arial"/>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1"/>
        </w:trPr>
        <w:tc>
          <w:tcPr>
            <w:tcW w:w="5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520" w:type="dxa"/>
            <w:vAlign w:val="bottom"/>
            <w:tcBorders>
              <w:bottom w:val="single" w:sz="8" w:color="auto"/>
            </w:tcBorders>
          </w:tcPr>
          <w:p>
            <w:pPr>
              <w:jc w:val="right"/>
              <w:ind w:right="860"/>
              <w:spacing w:after="0"/>
              <w:rPr>
                <w:sz w:val="20"/>
                <w:szCs w:val="20"/>
                <w:color w:val="auto"/>
              </w:rPr>
            </w:pPr>
            <w:r>
              <w:rPr>
                <w:rFonts w:ascii="Arial" w:cs="Arial" w:eastAsia="Arial" w:hAnsi="Arial"/>
                <w:sz w:val="16"/>
                <w:szCs w:val="16"/>
                <w:b w:val="1"/>
                <w:bCs w:val="1"/>
                <w:color w:val="auto"/>
              </w:rPr>
              <w:t>equity awards (per unit)</w:t>
            </w:r>
          </w:p>
        </w:tc>
        <w:tc>
          <w:tcPr>
            <w:tcW w:w="0" w:type="dxa"/>
            <w:vAlign w:val="bottom"/>
          </w:tcPr>
          <w:p>
            <w:pPr>
              <w:spacing w:after="0"/>
              <w:rPr>
                <w:sz w:val="1"/>
                <w:szCs w:val="1"/>
                <w:color w:val="auto"/>
              </w:rPr>
            </w:pPr>
          </w:p>
        </w:tc>
      </w:tr>
      <w:tr>
        <w:trPr>
          <w:trHeight w:val="222"/>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1,089,916</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0" w:type="dxa"/>
            <w:vAlign w:val="bottom"/>
          </w:tcPr>
          <w:p>
            <w:pPr>
              <w:spacing w:after="0"/>
              <w:rPr>
                <w:sz w:val="1"/>
                <w:szCs w:val="1"/>
                <w:color w:val="auto"/>
              </w:rPr>
            </w:pPr>
          </w:p>
        </w:tc>
      </w:tr>
      <w:tr>
        <w:trPr>
          <w:trHeight w:val="22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353,037</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$161.30</w:t>
            </w:r>
          </w:p>
        </w:tc>
        <w:tc>
          <w:tcPr>
            <w:tcW w:w="0" w:type="dxa"/>
            <w:vAlign w:val="bottom"/>
          </w:tcPr>
          <w:p>
            <w:pPr>
              <w:spacing w:after="0"/>
              <w:rPr>
                <w:sz w:val="1"/>
                <w:szCs w:val="1"/>
                <w:color w:val="auto"/>
              </w:rPr>
            </w:pPr>
          </w:p>
        </w:tc>
      </w:tr>
      <w:tr>
        <w:trPr>
          <w:trHeight w:val="227"/>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128,431</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$140.39</w:t>
            </w:r>
          </w:p>
        </w:tc>
        <w:tc>
          <w:tcPr>
            <w:tcW w:w="0" w:type="dxa"/>
            <w:vAlign w:val="bottom"/>
          </w:tcPr>
          <w:p>
            <w:pPr>
              <w:spacing w:after="0"/>
              <w:rPr>
                <w:sz w:val="1"/>
                <w:szCs w:val="1"/>
                <w:color w:val="auto"/>
              </w:rPr>
            </w:pPr>
          </w:p>
        </w:tc>
      </w:tr>
      <w:tr>
        <w:trPr>
          <w:trHeight w:val="22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tcPr>
          <w:p>
            <w:pPr>
              <w:jc w:val="right"/>
              <w:spacing w:after="0"/>
              <w:rPr>
                <w:sz w:val="20"/>
                <w:szCs w:val="20"/>
                <w:color w:val="auto"/>
              </w:rPr>
            </w:pPr>
            <w:r>
              <w:rPr>
                <w:rFonts w:ascii="Arial" w:cs="Arial" w:eastAsia="Arial" w:hAnsi="Arial"/>
                <w:sz w:val="18"/>
                <w:szCs w:val="18"/>
                <w:color w:val="auto"/>
              </w:rPr>
              <w:t>(378,913)</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$109.99</w:t>
            </w:r>
          </w:p>
        </w:tc>
        <w:tc>
          <w:tcPr>
            <w:tcW w:w="0" w:type="dxa"/>
            <w:vAlign w:val="bottom"/>
          </w:tcPr>
          <w:p>
            <w:pPr>
              <w:spacing w:after="0"/>
              <w:rPr>
                <w:sz w:val="1"/>
                <w:szCs w:val="1"/>
                <w:color w:val="auto"/>
              </w:rPr>
            </w:pPr>
          </w:p>
        </w:tc>
      </w:tr>
      <w:tr>
        <w:trPr>
          <w:trHeight w:val="227"/>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(139,139)</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21"/>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Outstanding at end of year</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1,053,332</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$135.11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54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Units granted</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353,037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493,828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457,315</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Weighted-average fair value at date of grant</w:t>
            </w:r>
          </w:p>
        </w:tc>
        <w:tc>
          <w:tcPr>
            <w:tcW w:w="460" w:type="dxa"/>
            <w:vAlign w:val="bottom"/>
            <w:vMerge w:val="restart"/>
          </w:tcPr>
          <w:p>
            <w:pPr>
              <w:jc w:val="right"/>
              <w:ind w:right="191"/>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161.30</w:t>
            </w:r>
          </w:p>
        </w:tc>
        <w:tc>
          <w:tcPr>
            <w:tcW w:w="80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115.94</w:t>
            </w:r>
          </w:p>
        </w:tc>
        <w:tc>
          <w:tcPr>
            <w:tcW w:w="80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97.86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5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Monte Carlo simulation assumptions: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gridSpan w:val="2"/>
          </w:tcPr>
          <w:p>
            <w:pPr>
              <w:ind w:left="420"/>
              <w:spacing w:after="0"/>
              <w:rPr>
                <w:sz w:val="20"/>
                <w:szCs w:val="20"/>
                <w:color w:val="auto"/>
              </w:rPr>
            </w:pPr>
            <w:r>
              <w:rPr>
                <w:rFonts w:ascii="Arial" w:cs="Arial" w:eastAsia="Arial" w:hAnsi="Arial"/>
                <w:sz w:val="18"/>
                <w:szCs w:val="18"/>
                <w:color w:val="auto"/>
              </w:rPr>
              <w:t>Estimated values</w:t>
            </w:r>
          </w:p>
        </w:tc>
        <w:tc>
          <w:tcPr>
            <w:tcW w:w="4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80.08</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48.40</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29.17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 yields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gridSpan w:val="2"/>
          </w:tcPr>
          <w:p>
            <w:pPr>
              <w:ind w:left="420"/>
              <w:spacing w:after="0"/>
              <w:rPr>
                <w:sz w:val="20"/>
                <w:szCs w:val="20"/>
                <w:color w:val="auto"/>
              </w:rPr>
            </w:pPr>
            <w:r>
              <w:rPr>
                <w:rFonts w:ascii="Arial" w:cs="Arial" w:eastAsia="Arial" w:hAnsi="Arial"/>
                <w:sz w:val="18"/>
                <w:szCs w:val="18"/>
                <w:color w:val="auto"/>
              </w:rPr>
              <w:t>Expected volatility</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483235</wp:posOffset>
            </wp:positionV>
            <wp:extent cx="194945" cy="169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right="340" w:hanging="314"/>
        <w:spacing w:after="0" w:line="253"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"Estimated values" means the fair value for the market-based total shareholder return component of each PSU at the date of grant using a Monte Carlo simulation model;</w:t>
      </w:r>
    </w:p>
    <w:p>
      <w:pPr>
        <w:spacing w:after="0" w:line="1" w:lineRule="exact"/>
        <w:rPr>
          <w:rFonts w:ascii="Arial" w:cs="Arial" w:eastAsia="Arial" w:hAnsi="Arial"/>
          <w:sz w:val="18"/>
          <w:szCs w:val="18"/>
          <w:color w:val="auto"/>
        </w:rPr>
      </w:pPr>
    </w:p>
    <w:p>
      <w:pPr>
        <w:ind w:left="640" w:right="260" w:hanging="314"/>
        <w:spacing w:after="0" w:line="247"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"Dividend yields" means the sum of dividends declared for the four most recently quarterly periods, divided by the average price of our Common Stock for the comparable periods;</w:t>
      </w:r>
    </w:p>
    <w:p>
      <w:pPr>
        <w:ind w:left="640" w:hanging="314"/>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"Expected volatility" means the historical volatility of our Common Stock over the expected term of each grant.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$56,294, $51,739 and $28,752 in 2020, 2019 and 2018, respectively.</w:t>
      </w:r>
    </w:p>
    <w:p>
      <w:pPr>
        <w:spacing w:after="0" w:line="166"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Deferred PSUs, deferred RSUs and deferred stock units representing directors’ fees totaled 254,269 units as of December 31, 2020. Each unit is equivalent to one share of the Company’s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7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Our organizational structure is designed to ensure continued focus on North America, coupled with an emphasis on profitable growth in our focus international markets. Our business is primarily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91%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09" w:lineRule="exact"/>
        <w:rPr>
          <w:sz w:val="20"/>
          <w:szCs w:val="20"/>
          <w:color w:val="auto"/>
        </w:rPr>
      </w:pPr>
    </w:p>
    <w:p>
      <w:pPr>
        <w:ind w:left="640" w:right="180" w:hanging="314"/>
        <w:spacing w:after="0" w:line="260" w:lineRule="auto"/>
        <w:tabs>
          <w:tab w:leader="none" w:pos="635"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6" w:lineRule="exact"/>
        <w:rPr>
          <w:rFonts w:ascii="Arial" w:cs="Arial" w:eastAsia="Arial" w:hAnsi="Arial"/>
          <w:sz w:val="18"/>
          <w:szCs w:val="18"/>
          <w:b w:val="1"/>
          <w:bCs w:val="1"/>
          <w:i w:val="1"/>
          <w:iCs w:val="1"/>
          <w:color w:val="auto"/>
        </w:rPr>
      </w:pPr>
    </w:p>
    <w:p>
      <w:pPr>
        <w:ind w:left="640" w:right="20" w:hanging="314"/>
        <w:spacing w:after="0" w:line="290" w:lineRule="auto"/>
        <w:tabs>
          <w:tab w:leader="none" w:pos="635" w:val="left"/>
        </w:tabs>
        <w:numPr>
          <w:ilvl w:val="0"/>
          <w:numId w:val="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Other is a combination of all other operating segments that are not individually material,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11"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2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Accounting policies associated with our operating segments are generally the same as those described in </w:t>
      </w:r>
      <w:hyperlink w:anchor="page57">
        <w:r>
          <w:rPr>
            <w:rFonts w:ascii="Arial" w:cs="Arial" w:eastAsia="Arial" w:hAnsi="Arial"/>
            <w:sz w:val="18"/>
            <w:szCs w:val="18"/>
            <w:u w:val="single" w:color="auto"/>
            <w:color w:val="0000FF"/>
          </w:rPr>
          <w:t>Note 1</w:t>
        </w:r>
      </w:hyperlink>
      <w:r>
        <w:rPr>
          <w:rFonts w:ascii="Arial" w:cs="Arial" w:eastAsia="Arial" w:hAnsi="Arial"/>
          <w:sz w:val="18"/>
          <w:szCs w:val="18"/>
          <w:color w:val="auto"/>
        </w:rPr>
        <w:t>.</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418465</wp:posOffset>
            </wp:positionV>
            <wp:extent cx="194945" cy="169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00" w:type="dxa"/>
            <w:vAlign w:val="bottom"/>
            <w:gridSpan w:val="2"/>
          </w:tcPr>
          <w:p>
            <w:pPr>
              <w:spacing w:after="0"/>
              <w:rPr>
                <w:sz w:val="20"/>
                <w:szCs w:val="20"/>
                <w:color w:val="auto"/>
              </w:rPr>
            </w:pPr>
            <w:r>
              <w:rPr>
                <w:rFonts w:ascii="Arial" w:cs="Arial" w:eastAsia="Arial" w:hAnsi="Arial"/>
                <w:sz w:val="18"/>
                <w:szCs w:val="18"/>
                <w:color w:val="auto"/>
              </w:rPr>
              <w:t>Our segment net sales and earnings were as follows: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27"/>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2018</w:t>
            </w:r>
          </w:p>
        </w:tc>
      </w:tr>
      <w:tr>
        <w:trPr>
          <w:trHeight w:val="221"/>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North America</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7,416,697</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7,081,764</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6,901,607</w:t>
            </w:r>
          </w:p>
        </w:tc>
      </w:tr>
      <w:tr>
        <w:trPr>
          <w:trHeight w:val="227"/>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and 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889,462</w:t>
            </w:r>
          </w:p>
        </w:tc>
      </w:tr>
      <w:tr>
        <w:trPr>
          <w:trHeight w:val="221"/>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8,149,719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7,986,252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7,791,069</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3"/>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Segment income:</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2,321,823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2,125,861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2,020,082</w:t>
            </w:r>
          </w:p>
        </w:tc>
      </w:tr>
      <w:tr>
        <w:trPr>
          <w:trHeight w:val="226"/>
        </w:trPr>
        <w:tc>
          <w:tcPr>
            <w:tcW w:w="6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International and Other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73,762</w:t>
            </w:r>
          </w:p>
        </w:tc>
      </w:tr>
      <w:tr>
        <w:trPr>
          <w:trHeight w:val="221"/>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2,350,415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2,221,563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2,093,844</w:t>
            </w:r>
          </w:p>
        </w:tc>
      </w:tr>
      <w:tr>
        <w:trPr>
          <w:trHeight w:val="22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Unallocated corporate expense (1)</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520,632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532,539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528,887</w:t>
            </w:r>
          </w:p>
        </w:tc>
      </w:tr>
      <w:tr>
        <w:trPr>
          <w:trHeight w:val="227"/>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 mark-to-market losses (gains) on commodity derivatives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(168,263)</w:t>
            </w:r>
          </w:p>
        </w:tc>
      </w:tr>
      <w:tr>
        <w:trPr>
          <w:trHeight w:val="226"/>
        </w:trPr>
        <w:tc>
          <w:tcPr>
            <w:tcW w:w="6400" w:type="dxa"/>
            <w:vAlign w:val="bottom"/>
            <w:gridSpan w:val="2"/>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Long-lived and intangible asset impairment charges (see </w:t>
            </w:r>
            <w:hyperlink w:anchor="page71">
              <w:r>
                <w:rPr>
                  <w:rFonts w:ascii="Arial" w:cs="Arial" w:eastAsia="Arial" w:hAnsi="Arial"/>
                  <w:sz w:val="18"/>
                  <w:szCs w:val="18"/>
                  <w:u w:val="single" w:color="auto"/>
                  <w:color w:val="0000FF"/>
                </w:rPr>
                <w:t>Note 6</w:t>
              </w:r>
            </w:hyperlink>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112,485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57,729</w:t>
            </w:r>
          </w:p>
        </w:tc>
      </w:tr>
      <w:tr>
        <w:trPr>
          <w:trHeight w:val="227"/>
        </w:trPr>
        <w:tc>
          <w:tcPr>
            <w:tcW w:w="6400" w:type="dxa"/>
            <w:vAlign w:val="bottom"/>
            <w:gridSpan w:val="2"/>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Costs associated with business realignment activities (see </w:t>
            </w:r>
            <w:hyperlink w:anchor="page77">
              <w:r>
                <w:rPr>
                  <w:rFonts w:ascii="Arial" w:cs="Arial" w:eastAsia="Arial" w:hAnsi="Arial"/>
                  <w:sz w:val="18"/>
                  <w:szCs w:val="18"/>
                  <w:u w:val="single" w:color="auto"/>
                  <w:color w:val="0000FF"/>
                </w:rPr>
                <w:t>Note 9</w:t>
              </w:r>
            </w:hyperlink>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51,827</w:t>
            </w:r>
          </w:p>
        </w:tc>
      </w:tr>
      <w:tr>
        <w:trPr>
          <w:trHeight w:val="21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1,782,698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1,595,952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1,623,664</w:t>
            </w:r>
          </w:p>
        </w:tc>
      </w:tr>
      <w:tr>
        <w:trPr>
          <w:trHeight w:val="227"/>
        </w:trPr>
        <w:tc>
          <w:tcPr>
            <w:tcW w:w="6400" w:type="dxa"/>
            <w:vAlign w:val="bottom"/>
            <w:gridSpan w:val="2"/>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Interest expense, net (see </w:t>
            </w:r>
            <w:hyperlink w:anchor="page67">
              <w:r>
                <w:rPr>
                  <w:rFonts w:ascii="Arial" w:cs="Arial" w:eastAsia="Arial" w:hAnsi="Arial"/>
                  <w:sz w:val="18"/>
                  <w:szCs w:val="18"/>
                  <w:u w:val="single" w:color="auto"/>
                  <w:color w:val="0000FF"/>
                </w:rPr>
                <w:t>Note 4</w:t>
              </w:r>
            </w:hyperlink>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138,837</w:t>
            </w:r>
          </w:p>
        </w:tc>
      </w:tr>
      <w:tr>
        <w:trPr>
          <w:trHeight w:val="226"/>
        </w:trPr>
        <w:tc>
          <w:tcPr>
            <w:tcW w:w="6400" w:type="dxa"/>
            <w:vAlign w:val="bottom"/>
            <w:tcBorders>
              <w:bottom w:val="single" w:sz="8" w:color="CCEEFF"/>
            </w:tcBorders>
            <w:gridSpan w:val="2"/>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Other (income) expense, net (see </w:t>
            </w:r>
            <w:hyperlink w:anchor="page97">
              <w:r>
                <w:rPr>
                  <w:rFonts w:ascii="Arial" w:cs="Arial" w:eastAsia="Arial" w:hAnsi="Arial"/>
                  <w:sz w:val="18"/>
                  <w:szCs w:val="18"/>
                  <w:u w:val="single" w:color="auto"/>
                  <w:color w:val="0000FF"/>
                </w:rPr>
                <w:t>Note 17</w:t>
              </w:r>
            </w:hyperlink>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74,766</w:t>
            </w:r>
          </w:p>
        </w:tc>
      </w:tr>
      <w:tr>
        <w:trPr>
          <w:trHeight w:val="24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1,380,784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1,410,061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320" w:right="300" w:hanging="313"/>
        <w:spacing w:after="0" w:line="253" w:lineRule="auto"/>
        <w:tabs>
          <w:tab w:leader="none" w:pos="31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losses (gains) on commodity derivatives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1"/>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Net gains on mark-to-market valuation of commodity derivative positions recognized in income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(69,379)</w:t>
            </w:r>
          </w:p>
        </w:tc>
        <w:tc>
          <w:tcPr>
            <w:tcW w:w="0" w:type="dxa"/>
            <w:vAlign w:val="bottom"/>
          </w:tcPr>
          <w:p>
            <w:pPr>
              <w:spacing w:after="0"/>
              <w:rPr>
                <w:sz w:val="1"/>
                <w:szCs w:val="1"/>
                <w:color w:val="auto"/>
              </w:rPr>
            </w:pPr>
          </w:p>
        </w:tc>
      </w:tr>
      <w:tr>
        <w:trPr>
          <w:trHeight w:val="174"/>
        </w:trPr>
        <w:tc>
          <w:tcPr>
            <w:tcW w:w="7160" w:type="dxa"/>
            <w:vAlign w:val="bottom"/>
            <w:gridSpan w:val="2"/>
          </w:tcPr>
          <w:p>
            <w:pPr>
              <w:ind w:left="20"/>
              <w:spacing w:after="0" w:line="175" w:lineRule="exact"/>
              <w:rPr>
                <w:sz w:val="20"/>
                <w:szCs w:val="20"/>
                <w:color w:val="auto"/>
              </w:rPr>
            </w:pPr>
            <w:r>
              <w:rPr>
                <w:rFonts w:ascii="Arial" w:cs="Arial" w:eastAsia="Arial" w:hAnsi="Arial"/>
                <w:sz w:val="18"/>
                <w:szCs w:val="18"/>
                <w:color w:val="auto"/>
                <w:w w:val="95"/>
              </w:rPr>
              <w:t>Net gains (losses) on commodity derivative positions reclassified from unallocated to segment</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6,837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(98,884)</w:t>
            </w:r>
          </w:p>
        </w:tc>
        <w:tc>
          <w:tcPr>
            <w:tcW w:w="0" w:type="dxa"/>
            <w:vAlign w:val="bottom"/>
          </w:tcPr>
          <w:p>
            <w:pPr>
              <w:spacing w:after="0"/>
              <w:rPr>
                <w:sz w:val="1"/>
                <w:szCs w:val="1"/>
                <w:color w:val="auto"/>
              </w:rPr>
            </w:pPr>
          </w:p>
        </w:tc>
      </w:tr>
      <w:tr>
        <w:trPr>
          <w:trHeight w:val="225"/>
        </w:trPr>
        <w:tc>
          <w:tcPr>
            <w:tcW w:w="7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1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7"/>
                <w:szCs w:val="17"/>
                <w:color w:val="auto"/>
                <w:w w:val="99"/>
              </w:rPr>
              <w:t>Net losses (gains) on mark-to-market valuation of commodity derivative positions recognized in</w:t>
            </w:r>
          </w:p>
        </w:tc>
        <w:tc>
          <w:tcPr>
            <w:tcW w:w="28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(28,651)</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(168,263)</w:t>
            </w:r>
          </w:p>
        </w:tc>
        <w:tc>
          <w:tcPr>
            <w:tcW w:w="0" w:type="dxa"/>
            <w:vAlign w:val="bottom"/>
          </w:tcPr>
          <w:p>
            <w:pPr>
              <w:spacing w:after="0"/>
              <w:rPr>
                <w:sz w:val="1"/>
                <w:szCs w:val="1"/>
                <w:color w:val="auto"/>
              </w:rPr>
            </w:pPr>
          </w:p>
        </w:tc>
      </w:tr>
      <w:tr>
        <w:trPr>
          <w:trHeight w:val="219"/>
        </w:trPr>
        <w:tc>
          <w:tcPr>
            <w:tcW w:w="7160" w:type="dxa"/>
            <w:vAlign w:val="bottom"/>
            <w:tcBorders>
              <w:bottom w:val="single" w:sz="8" w:color="CCEEFF"/>
            </w:tcBorders>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unallocated derivative losses (gains)</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right="200"/>
        <w:spacing w:after="0" w:line="304" w:lineRule="auto"/>
        <w:rPr>
          <w:sz w:val="20"/>
          <w:szCs w:val="20"/>
          <w:color w:val="auto"/>
        </w:rPr>
      </w:pPr>
      <w:r>
        <w:rPr>
          <w:rFonts w:ascii="Arial" w:cs="Arial" w:eastAsia="Arial" w:hAnsi="Arial"/>
          <w:sz w:val="16"/>
          <w:szCs w:val="16"/>
          <w:color w:val="auto"/>
        </w:rPr>
        <w:t>As of December 31, 2020, the cumulative amount of mark-to-market gains on commodity derivatives that have been recognized in our consolidated cost of sales and not yet allocated to reportable segments was $62,537. Based on our forecasts of the timing of the recognition of the underlying hedged items, we expect to reclassify net pretax gains on commodity derivatives of $40,766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393065</wp:posOffset>
            </wp:positionV>
            <wp:extent cx="194945" cy="169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2018</w:t>
            </w:r>
          </w:p>
        </w:tc>
      </w:tr>
      <w:tr>
        <w:trPr>
          <w:trHeight w:val="221"/>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160" w:type="dxa"/>
            <w:vAlign w:val="bottom"/>
            <w:shd w:val="clear" w:color="auto" w:fill="CCEEFF"/>
          </w:tcPr>
          <w:p>
            <w:pPr>
              <w:jc w:val="right"/>
              <w:ind w:right="95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222,153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220,513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205,340</w:t>
            </w:r>
          </w:p>
        </w:tc>
      </w:tr>
      <w:tr>
        <w:trPr>
          <w:trHeight w:val="22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International and Other</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28,693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35,656</w:t>
            </w:r>
          </w:p>
        </w:tc>
      </w:tr>
      <w:tr>
        <w:trPr>
          <w:trHeight w:val="227"/>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(1)</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54,148</w:t>
            </w:r>
          </w:p>
        </w:tc>
      </w:tr>
      <w:tr>
        <w:trPr>
          <w:trHeight w:val="221"/>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294,907</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291,544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295,144</w:t>
            </w: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20" w:right="300" w:hanging="313"/>
        <w:spacing w:after="0" w:line="267" w:lineRule="auto"/>
        <w:tabs>
          <w:tab w:leader="none" w:pos="314"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Corporate includes non-cash asset-related accelerated depreciation and amortization related to business realignment activities, as discussed in </w:t>
      </w:r>
      <w:hyperlink w:anchor="page77">
        <w:r>
          <w:rPr>
            <w:rFonts w:ascii="Arial" w:cs="Arial" w:eastAsia="Arial" w:hAnsi="Arial"/>
            <w:sz w:val="18"/>
            <w:szCs w:val="18"/>
            <w:u w:val="single" w:color="auto"/>
            <w:color w:val="0000FF"/>
          </w:rPr>
          <w:t>Note 9</w:t>
        </w:r>
      </w:hyperlink>
      <w:r>
        <w:rPr>
          <w:rFonts w:ascii="Arial" w:cs="Arial" w:eastAsia="Arial" w:hAnsi="Arial"/>
          <w:sz w:val="18"/>
          <w:szCs w:val="18"/>
          <w:color w:val="auto"/>
        </w:rPr>
        <w:t>. Such amounts are not included within our measure of segment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net sales and long-lived assets disaggregated by geographical region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2018</w:t>
            </w:r>
          </w:p>
        </w:tc>
      </w:tr>
      <w:tr>
        <w:trPr>
          <w:trHeight w:val="221"/>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7,042,804</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6,722,617</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6,535,675</w:t>
            </w:r>
          </w:p>
        </w:tc>
      </w:tr>
      <w:tr>
        <w:trPr>
          <w:trHeight w:val="227"/>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1,106,915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1,263,635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1,255,394</w:t>
            </w:r>
          </w:p>
        </w:tc>
      </w:tr>
      <w:tr>
        <w:trPr>
          <w:trHeight w:val="221"/>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8,149,719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7,986,252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7,791,069</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3"/>
        </w:trPr>
        <w:tc>
          <w:tcPr>
            <w:tcW w:w="5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Long-lived assets: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1,836,114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1,717,606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1,668,186</w:t>
            </w:r>
          </w:p>
        </w:tc>
      </w:tr>
      <w:tr>
        <w:trPr>
          <w:trHeight w:val="226"/>
        </w:trPr>
        <w:tc>
          <w:tcPr>
            <w:tcW w:w="5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449,141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462,108</w:t>
            </w:r>
          </w:p>
        </w:tc>
      </w:tr>
      <w:tr>
        <w:trPr>
          <w:trHeight w:val="246"/>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2,285,255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2,153,139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2,130,294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majority of our products are confectionery or confectionery-based and include chocolate and non-chocolate confectionery products, gum and mint refreshment products, spreads, snack bites and mixes, as well as pantry items such as baking ingredients, toppings and sundae syrups. Our snacks portfolio includes ready-to-eat popcorn, baked and trans fat free snacks, protein bars and other better-for-you snacks. Additional information regarding our net sales disaggregated by product line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 December 31,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2018</w:t>
            </w:r>
          </w:p>
        </w:tc>
      </w:tr>
      <w:tr>
        <w:trPr>
          <w:trHeight w:val="221"/>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Confectionery and confectionery-based portfolio</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7,628,926</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7,553,954</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7,453,364</w:t>
            </w:r>
          </w:p>
        </w:tc>
      </w:tr>
      <w:tr>
        <w:trPr>
          <w:trHeight w:val="227"/>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Snacks portfolio</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520,793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432,298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337,705</w:t>
            </w:r>
          </w:p>
        </w:tc>
      </w:tr>
      <w:tr>
        <w:trPr>
          <w:trHeight w:val="221"/>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8,149,719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7,986,252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7,791,069</w:t>
            </w: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AND NONCONTROLLING INTEREST</w:t>
      </w:r>
    </w:p>
    <w:p>
      <w:pPr>
        <w:spacing w:after="0" w:line="17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had 1,055,000,000 authorized shares of capital stock as of December 31, 2020. Of this total, 900,000,000 shares were designated as Common Stock, 150,000,000 shares were designated as Class B Common Stock ("Class B Stock") and 5,000,000 shares were designated as Preferred Stock. Each class has a par value of one dollar per share.</w:t>
      </w:r>
    </w:p>
    <w:p>
      <w:pPr>
        <w:spacing w:after="0" w:line="13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Holders of the Common Stock and the Class B Stock generally vote together without regard to class on matters submitted to stockholders, including the election of directors. The holders of Common Stock have 1 vote per share and the holders of Class B Common Stock have 10 votes per share. However, the Common Stock holders, voting separately as a class, are entitled to elect one-sixth of the Board. With respect to dividend rights, the Common Stock holders are entitled to cash dividends 10% higher than those declared and paid on the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416560</wp:posOffset>
            </wp:positionV>
            <wp:extent cx="194945" cy="169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jc w:val="center"/>
        <w:ind w:right="-15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Class B Stock can be converted into Common Stock on a share-for-share basis at any time. During 2020 and 2019 no shares of Class B Stock were converted into Common Stock. During 2018, 6,000 shares of Class B Stock were converted into Common Stock.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60" w:type="dxa"/>
            <w:vAlign w:val="bottom"/>
            <w:gridSpan w:val="4"/>
          </w:tcPr>
          <w:p>
            <w:pPr>
              <w:spacing w:after="0"/>
              <w:rPr>
                <w:sz w:val="20"/>
                <w:szCs w:val="20"/>
                <w:color w:val="auto"/>
              </w:rPr>
            </w:pPr>
            <w:r>
              <w:rPr>
                <w:rFonts w:ascii="Arial" w:cs="Arial" w:eastAsia="Arial" w:hAnsi="Arial"/>
                <w:sz w:val="18"/>
                <w:szCs w:val="18"/>
                <w:color w:val="auto"/>
                <w:w w:val="89"/>
              </w:rPr>
              <w:t>Changes in the outstanding shares of Common Stock for the past three years were as follows: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80" w:type="dxa"/>
            <w:vAlign w:val="bottom"/>
          </w:tcPr>
          <w:p>
            <w:pPr>
              <w:spacing w:after="0"/>
              <w:rPr>
                <w:sz w:val="24"/>
                <w:szCs w:val="24"/>
                <w:color w:val="auto"/>
              </w:rPr>
            </w:pPr>
          </w:p>
        </w:tc>
        <w:tc>
          <w:tcPr>
            <w:tcW w:w="6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 issued</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221,553,025</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359,901,744</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359,901,744</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Treasury shares at beginning of year</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(12,723,592)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(150,172,840)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(149,040,927)</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6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Stock repurchases:</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6680" w:type="dxa"/>
            <w:vAlign w:val="bottom"/>
            <w:gridSpan w:val="3"/>
          </w:tcPr>
          <w:p>
            <w:pPr>
              <w:ind w:left="420"/>
              <w:spacing w:after="0" w:line="175" w:lineRule="exact"/>
              <w:rPr>
                <w:sz w:val="20"/>
                <w:szCs w:val="20"/>
                <w:color w:val="auto"/>
              </w:rPr>
            </w:pPr>
            <w:r>
              <w:rPr>
                <w:rFonts w:ascii="Arial" w:cs="Arial" w:eastAsia="Arial" w:hAnsi="Arial"/>
                <w:sz w:val="18"/>
                <w:szCs w:val="18"/>
                <w:color w:val="auto"/>
                <w:w w:val="99"/>
              </w:rPr>
              <w:t>Shares repurchased in the open market under pre-approved share repurchase</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(951,138)</w:t>
            </w: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(1,386,193)</w:t>
            </w: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(1,406,093)</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6680" w:type="dxa"/>
            <w:vAlign w:val="bottom"/>
            <w:gridSpan w:val="3"/>
          </w:tcPr>
          <w:p>
            <w:pPr>
              <w:ind w:left="340"/>
              <w:spacing w:after="0"/>
              <w:rPr>
                <w:sz w:val="20"/>
                <w:szCs w:val="20"/>
                <w:color w:val="auto"/>
              </w:rPr>
            </w:pPr>
            <w:r>
              <w:rPr>
                <w:rFonts w:ascii="Arial" w:cs="Arial" w:eastAsia="Arial" w:hAnsi="Arial"/>
                <w:sz w:val="18"/>
                <w:szCs w:val="18"/>
                <w:color w:val="auto"/>
              </w:rPr>
              <w:t>programs</w:t>
            </w: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6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Shares repurchased directly from the Milton Hershey School Trust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6680" w:type="dxa"/>
            <w:vAlign w:val="bottom"/>
            <w:gridSpan w:val="3"/>
          </w:tcPr>
          <w:p>
            <w:pPr>
              <w:ind w:left="420"/>
              <w:spacing w:after="0" w:line="175" w:lineRule="exact"/>
              <w:rPr>
                <w:sz w:val="20"/>
                <w:szCs w:val="20"/>
                <w:color w:val="auto"/>
              </w:rPr>
            </w:pPr>
            <w:r>
              <w:rPr>
                <w:rFonts w:ascii="Arial" w:cs="Arial" w:eastAsia="Arial" w:hAnsi="Arial"/>
                <w:sz w:val="18"/>
                <w:szCs w:val="18"/>
                <w:color w:val="auto"/>
              </w:rPr>
              <w:t>Shares repurchased to replace Treasury Stock issued for stock options and</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(2,674,349)</w:t>
            </w: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(615,719)</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6680" w:type="dxa"/>
            <w:vAlign w:val="bottom"/>
            <w:gridSpan w:val="3"/>
          </w:tcPr>
          <w:p>
            <w:pPr>
              <w:ind w:left="340"/>
              <w:spacing w:after="0"/>
              <w:rPr>
                <w:sz w:val="20"/>
                <w:szCs w:val="20"/>
                <w:color w:val="auto"/>
              </w:rPr>
            </w:pPr>
            <w:r>
              <w:rPr>
                <w:rFonts w:ascii="Arial" w:cs="Arial" w:eastAsia="Arial" w:hAnsi="Arial"/>
                <w:sz w:val="18"/>
                <w:szCs w:val="18"/>
                <w:color w:val="auto"/>
              </w:rPr>
              <w:t>incentive compensation</w:t>
            </w: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6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 issuances:</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Shares issued for stock options and incentive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798,832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3,161,071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1,339,899</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Retirement of treasury shares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138,348,719</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Treasury shares at end of year</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(13,325,898)</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(12,723,592)</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(150,172,840)</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 in Common Stock due to retirement of treasury shares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(138,348,719)</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6680" w:type="dxa"/>
            <w:vAlign w:val="bottom"/>
            <w:gridSpan w:val="3"/>
          </w:tcPr>
          <w:p>
            <w:pPr>
              <w:ind w:left="100"/>
              <w:spacing w:after="0"/>
              <w:rPr>
                <w:sz w:val="20"/>
                <w:szCs w:val="20"/>
                <w:color w:val="auto"/>
              </w:rPr>
            </w:pPr>
            <w:r>
              <w:rPr>
                <w:rFonts w:ascii="Arial" w:cs="Arial" w:eastAsia="Arial" w:hAnsi="Arial"/>
                <w:sz w:val="18"/>
                <w:szCs w:val="18"/>
                <w:color w:val="auto"/>
              </w:rPr>
              <w:t>Net shares outstanding at end of year</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208,227,127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208,829,433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209,728,904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authorized to purchase our outstanding shares in open market and privately negotiated transactions. The programs have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of Treasury Shares</w:t>
      </w:r>
    </w:p>
    <w:p>
      <w:pPr>
        <w:spacing w:after="0" w:line="172"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During 2019, we retired 138,348,719 shares or $6,423,267 of the Company’s treasury shares previously repurchased. Under the applicable state law, these shares resume the status of authorized and unissued shares upon retirement. In accordance with our accounting policy, we record any excess of repurchase price over par value to retained earnings. As a result, our retained earnings were reduced by $6,284,919 during 2019. This transaction was approved by the Board on October 11, 2019.</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Hershey Trust Company</w:t>
      </w:r>
    </w:p>
    <w:p>
      <w:pPr>
        <w:spacing w:after="0" w:line="92"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Hershey Trust Company, as trustee for the Milton Hershey School Trust (the "Trust") and as direct owner of investment shares, held 123,600 shares of our Common Stock as of December 31, 2020. As trustee for the Trust, Hershey Trust Company held 60,612,012 shares of the Class B Common Stock as of December 31, 2020, and was entitled to cast approximately 80% of all of the votes entitled to be cast on matters requiring the vote of both classes of our common stock voting together. Hershey Trust Company, as trustee for the Trust, or any successor trustee, or Milton Hershey School, as appropriate, must approve any issuance of shares of Common Stock or other action that would result in it not continuing to have voting control of our Company.</w:t>
      </w:r>
    </w:p>
    <w:p>
      <w:pPr>
        <w:spacing w:after="0" w:line="44"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In November 2018, the Company entered into a Stock Purchase Agreement with Hershey Trust Company, as trustee for the Trust, pursuant to which the Company purchased 450,000 shares of the Company’s common stock from the Trust at a price equal to $106.30 per share, for a total purchase price of $47,835.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567055</wp:posOffset>
            </wp:positionV>
            <wp:extent cx="194945" cy="169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4" w:name="page95"/>
    <w:bookmarkEnd w:id="94"/>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106" w:lineRule="exact"/>
        <w:rPr>
          <w:sz w:val="20"/>
          <w:szCs w:val="20"/>
          <w:color w:val="auto"/>
        </w:rPr>
      </w:pPr>
    </w:p>
    <w:p>
      <w:pPr>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We currently own a 50% controlling interest in LSFC, a joint venture established in 2007 in China for the purpose of manufacturing and selling product to the joint venture partners. As discussed in </w:t>
      </w:r>
      <w:hyperlink w:anchor="page76">
        <w:r>
          <w:rPr>
            <w:rFonts w:ascii="Arial" w:cs="Arial" w:eastAsia="Arial" w:hAnsi="Arial"/>
            <w:sz w:val="18"/>
            <w:szCs w:val="18"/>
            <w:u w:val="single" w:color="auto"/>
            <w:color w:val="0000FF"/>
          </w:rPr>
          <w:t>Note 8</w:t>
        </w:r>
      </w:hyperlink>
      <w:r>
        <w:rPr>
          <w:rFonts w:ascii="Arial" w:cs="Arial" w:eastAsia="Arial" w:hAnsi="Arial"/>
          <w:sz w:val="18"/>
          <w:szCs w:val="18"/>
          <w:color w:val="auto"/>
        </w:rPr>
        <w:t>, in October 2020, we entered into a definitive agreement to divest LSFC. The sale of LSFC was completed in January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340" w:type="dxa"/>
            <w:vAlign w:val="bottom"/>
          </w:tcPr>
          <w:p>
            <w:pPr>
              <w:spacing w:after="0"/>
              <w:rPr>
                <w:sz w:val="20"/>
                <w:szCs w:val="20"/>
                <w:color w:val="auto"/>
              </w:rPr>
            </w:pPr>
            <w:r>
              <w:rPr>
                <w:rFonts w:ascii="Arial" w:cs="Arial" w:eastAsia="Arial" w:hAnsi="Arial"/>
                <w:sz w:val="18"/>
                <w:szCs w:val="18"/>
                <w:color w:val="auto"/>
              </w:rPr>
              <w:t>A roll-forward showing the 2020 activity relating to the noncontrolling interest follows:</w:t>
            </w: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4"/>
        </w:trPr>
        <w:tc>
          <w:tcPr>
            <w:tcW w:w="934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Noncontrolling Interest</w:t>
            </w:r>
          </w:p>
        </w:tc>
      </w:tr>
      <w:tr>
        <w:trPr>
          <w:trHeight w:val="221"/>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74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551"/>
              <w:spacing w:after="0"/>
              <w:rPr>
                <w:sz w:val="20"/>
                <w:szCs w:val="20"/>
                <w:color w:val="auto"/>
              </w:rPr>
            </w:pPr>
            <w:r>
              <w:rPr>
                <w:rFonts w:ascii="Arial" w:cs="Arial" w:eastAsia="Arial" w:hAnsi="Arial"/>
                <w:sz w:val="18"/>
                <w:szCs w:val="18"/>
                <w:color w:val="auto"/>
                <w:w w:val="88"/>
              </w:rPr>
              <w:t>5,772</w:t>
            </w:r>
          </w:p>
        </w:tc>
      </w:tr>
      <w:tr>
        <w:trPr>
          <w:trHeight w:val="226"/>
        </w:trPr>
        <w:tc>
          <w:tcPr>
            <w:tcW w:w="934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740" w:type="dxa"/>
            <w:vAlign w:val="bottom"/>
          </w:tcPr>
          <w:p>
            <w:pPr>
              <w:spacing w:after="0"/>
              <w:rPr>
                <w:sz w:val="19"/>
                <w:szCs w:val="19"/>
                <w:color w:val="auto"/>
              </w:rPr>
            </w:pPr>
          </w:p>
        </w:tc>
        <w:tc>
          <w:tcPr>
            <w:tcW w:w="1160" w:type="dxa"/>
            <w:vAlign w:val="bottom"/>
          </w:tcPr>
          <w:p>
            <w:pPr>
              <w:jc w:val="center"/>
              <w:ind w:left="511"/>
              <w:spacing w:after="0"/>
              <w:rPr>
                <w:sz w:val="20"/>
                <w:szCs w:val="20"/>
                <w:color w:val="auto"/>
              </w:rPr>
            </w:pPr>
            <w:r>
              <w:rPr>
                <w:rFonts w:ascii="Arial" w:cs="Arial" w:eastAsia="Arial" w:hAnsi="Arial"/>
                <w:sz w:val="18"/>
                <w:szCs w:val="18"/>
                <w:color w:val="auto"/>
                <w:w w:val="91"/>
              </w:rPr>
              <w:t>(3,295)</w:t>
            </w:r>
          </w:p>
        </w:tc>
      </w:tr>
      <w:tr>
        <w:trPr>
          <w:trHeight w:val="227"/>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 foreign currency translation adjustments</w:t>
            </w:r>
          </w:p>
        </w:tc>
        <w:tc>
          <w:tcPr>
            <w:tcW w:w="7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51"/>
              <w:spacing w:after="0"/>
              <w:rPr>
                <w:sz w:val="20"/>
                <w:szCs w:val="20"/>
                <w:color w:val="auto"/>
              </w:rPr>
            </w:pPr>
            <w:r>
              <w:rPr>
                <w:rFonts w:ascii="Arial" w:cs="Arial" w:eastAsia="Arial" w:hAnsi="Arial"/>
                <w:sz w:val="18"/>
                <w:szCs w:val="18"/>
                <w:color w:val="auto"/>
                <w:w w:val="88"/>
              </w:rPr>
              <w:t>1,054</w:t>
            </w:r>
          </w:p>
        </w:tc>
      </w:tr>
      <w:tr>
        <w:trPr>
          <w:trHeight w:val="221"/>
        </w:trPr>
        <w:tc>
          <w:tcPr>
            <w:tcW w:w="934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7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551"/>
              <w:spacing w:after="0"/>
              <w:rPr>
                <w:sz w:val="20"/>
                <w:szCs w:val="20"/>
                <w:color w:val="auto"/>
              </w:rPr>
            </w:pPr>
            <w:r>
              <w:rPr>
                <w:rFonts w:ascii="Arial" w:cs="Arial" w:eastAsia="Arial" w:hAnsi="Arial"/>
                <w:sz w:val="18"/>
                <w:szCs w:val="18"/>
                <w:color w:val="auto"/>
                <w:w w:val="88"/>
              </w:rPr>
              <w:t>3,531</w:t>
            </w:r>
          </w:p>
        </w:tc>
      </w:tr>
      <w:tr>
        <w:trPr>
          <w:trHeight w:val="20"/>
        </w:trPr>
        <w:tc>
          <w:tcPr>
            <w:tcW w:w="9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right="60"/>
        <w:spacing w:after="0" w:line="267" w:lineRule="auto"/>
        <w:rPr>
          <w:rFonts w:ascii="Arial" w:cs="Arial" w:eastAsia="Arial" w:hAnsi="Arial"/>
          <w:sz w:val="18"/>
          <w:szCs w:val="18"/>
          <w:color w:val="0000FF"/>
        </w:rPr>
      </w:pPr>
      <w:hyperlink w:anchor="page77">
        <w:r>
          <w:rPr>
            <w:rFonts w:ascii="Arial" w:cs="Arial" w:eastAsia="Arial" w:hAnsi="Arial"/>
            <w:sz w:val="18"/>
            <w:szCs w:val="18"/>
            <w:color w:val="auto"/>
          </w:rPr>
          <w:t xml:space="preserve">The 2020 net loss attributable to the noncontrolling interest reflects the 50% allocation of LSFC-related business realignment and impairment costs (see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77">
        <w:r>
          <w:rPr>
            <w:rFonts w:ascii="Arial" w:cs="Arial" w:eastAsia="Arial" w:hAnsi="Arial"/>
            <w:sz w:val="18"/>
            <w:szCs w:val="18"/>
            <w:u w:val="single" w:color="auto"/>
            <w:color w:val="0000FF"/>
          </w:rPr>
          <w:t>9</w:t>
        </w:r>
        <w:r>
          <w:rPr>
            <w:rFonts w:ascii="Arial" w:cs="Arial" w:eastAsia="Arial" w:hAnsi="Arial"/>
            <w:sz w:val="18"/>
            <w:szCs w:val="18"/>
            <w:color w:val="000000"/>
          </w:rPr>
          <w:t>).</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0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enter into certain obligations for the purchase of raw materials. These obligations are primarily in the form of forward contracts for the purchase of raw materials from third-party brokers and dealers. These contracts minimize the effect of future price fluctuations by fixing the price of part or all of these purchase obligations. Total obligations consisted of fixed price contracts for the purchase of commodities and unpriced contracts that were valued using market prices as of December 31, 2020.</w:t>
      </w:r>
    </w:p>
    <w:p>
      <w:pPr>
        <w:spacing w:after="0" w:line="140"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The cost of commodities associated with the unpriced contracts is variable as market prices change over future periods. We mitigate the variability of these costs to the extent that we have entered into commodities futures contracts or other commodity derivative instruments to hedge our costs for those periods. Increases or decreases in market prices are offset by gains or losses on commodities futures contracts or other commodity derivative instruments. Taking delivery of and making payments for the specific commodities for use in the manufacture of finished goods satisfies our obligations under the forward purchase contracts. For each of the three years in the period ended December 31, 2020, we satisfied these obligations by taking delivery of and making payment for the specific commodities.</w:t>
      </w:r>
    </w:p>
    <w:p>
      <w:pPr>
        <w:spacing w:after="0" w:line="14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As of December 31, 2020, we had entered into agreements for the purchase of raw materials with various suppliers. Subject to meeting our quality standards, the purchase obligations covered by these agreements were as follows as of December 31, 2020: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2025</w:t>
            </w:r>
          </w:p>
        </w:tc>
      </w:tr>
      <w:tr>
        <w:trPr>
          <w:trHeight w:val="221"/>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contingencies</w:t>
      </w:r>
    </w:p>
    <w:p>
      <w:pPr>
        <w:spacing w:after="0" w:line="10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special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672465</wp:posOffset>
            </wp:positionV>
            <wp:extent cx="194945" cy="169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jc w:val="center"/>
        <w:ind w:right="-15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0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w:t>
      </w:r>
    </w:p>
    <w:p>
      <w:pPr>
        <w:spacing w:after="0" w:line="8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December 31, 2020, the Company employed approximately 15,200 full-time and 1,680 part-time employees worldwide. Collective bargaining agreements covered approximately 6,285 employees, or approximately 37% of the Company’s employees worldwide. During 2021, agreements will be negotiated for certain employees at four facilities outside of the United States, comprising approximately 70% of total employees under collective bargaining agreements. We currently expect that we will be able to renegotiate such agreements on satisfactory terms when they expire.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418465</wp:posOffset>
            </wp:positionV>
            <wp:extent cx="194945" cy="169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6" w:name="page97"/>
    <w:bookmarkEnd w:id="96"/>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6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24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20"/>
              <w:spacing w:after="0" w:line="156" w:lineRule="exact"/>
              <w:rPr>
                <w:sz w:val="20"/>
                <w:szCs w:val="20"/>
                <w:color w:val="auto"/>
              </w:rPr>
            </w:pPr>
            <w:r>
              <w:rPr>
                <w:rFonts w:ascii="Arial" w:cs="Arial" w:eastAsia="Arial" w:hAnsi="Arial"/>
                <w:sz w:val="16"/>
                <w:szCs w:val="16"/>
                <w:b w:val="1"/>
                <w:bCs w:val="1"/>
                <w:color w:val="auto"/>
              </w:rPr>
              <w:t>Class B</w:t>
            </w:r>
          </w:p>
        </w:tc>
        <w:tc>
          <w:tcPr>
            <w:tcW w:w="10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6"/>
                <w:szCs w:val="16"/>
                <w:b w:val="1"/>
                <w:bCs w:val="1"/>
                <w:color w:val="auto"/>
                <w:w w:val="98"/>
              </w:rPr>
              <w:t>Common Stock</w:t>
            </w: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20"/>
              <w:spacing w:after="0" w:line="156" w:lineRule="exact"/>
              <w:rPr>
                <w:sz w:val="20"/>
                <w:szCs w:val="20"/>
                <w:color w:val="auto"/>
              </w:rPr>
            </w:pPr>
            <w:r>
              <w:rPr>
                <w:rFonts w:ascii="Arial" w:cs="Arial" w:eastAsia="Arial" w:hAnsi="Arial"/>
                <w:sz w:val="16"/>
                <w:szCs w:val="16"/>
                <w:b w:val="1"/>
                <w:bCs w:val="1"/>
                <w:color w:val="auto"/>
                <w:w w:val="98"/>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40"/>
              <w:spacing w:after="0" w:line="156" w:lineRule="exact"/>
              <w:rPr>
                <w:sz w:val="20"/>
                <w:szCs w:val="20"/>
                <w:color w:val="auto"/>
              </w:rPr>
            </w:pPr>
            <w:r>
              <w:rPr>
                <w:rFonts w:ascii="Arial" w:cs="Arial" w:eastAsia="Arial" w:hAnsi="Arial"/>
                <w:sz w:val="16"/>
                <w:szCs w:val="16"/>
                <w:b w:val="1"/>
                <w:bCs w:val="1"/>
                <w:color w:val="auto"/>
                <w:w w:val="98"/>
              </w:rPr>
              <w:t>Class B</w:t>
            </w:r>
          </w:p>
        </w:tc>
        <w:tc>
          <w:tcPr>
            <w:tcW w:w="0" w:type="dxa"/>
            <w:vAlign w:val="bottom"/>
          </w:tcPr>
          <w:p>
            <w:pPr>
              <w:spacing w:after="0"/>
              <w:rPr>
                <w:sz w:val="1"/>
                <w:szCs w:val="1"/>
                <w:color w:val="auto"/>
              </w:rPr>
            </w:pPr>
          </w:p>
        </w:tc>
      </w:tr>
      <w:tr>
        <w:trPr>
          <w:trHeight w:val="211"/>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0"/>
              </w:rPr>
              <w:t>Common Stock</w:t>
            </w:r>
          </w:p>
        </w:tc>
        <w:tc>
          <w:tcPr>
            <w:tcW w:w="1220" w:type="dxa"/>
            <w:vAlign w:val="bottom"/>
            <w:gridSpan w:val="3"/>
            <w:vMerge w:val="continue"/>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1"/>
              </w:rPr>
              <w:t>Common Stock</w:t>
            </w:r>
          </w:p>
        </w:tc>
        <w:tc>
          <w:tcPr>
            <w:tcW w:w="1220" w:type="dxa"/>
            <w:vAlign w:val="bottom"/>
            <w:gridSpan w:val="3"/>
            <w:vMerge w:val="continue"/>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Common Stock</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140"/>
              <w:spacing w:after="0"/>
              <w:rPr>
                <w:sz w:val="20"/>
                <w:szCs w:val="20"/>
                <w:color w:val="auto"/>
              </w:rPr>
            </w:pPr>
            <w:r>
              <w:rPr>
                <w:rFonts w:ascii="Arial" w:cs="Arial" w:eastAsia="Arial" w:hAnsi="Arial"/>
                <w:sz w:val="16"/>
                <w:szCs w:val="16"/>
                <w:color w:val="auto"/>
              </w:rPr>
              <w:t>Numerator: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6"/>
              </w:rPr>
              <w:t>Allocation of distributed earnings (cash dividends paid)</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445,685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151,789</w:t>
            </w:r>
          </w:p>
        </w:tc>
        <w:tc>
          <w:tcPr>
            <w:tcW w:w="0" w:type="dxa"/>
            <w:vAlign w:val="bottom"/>
          </w:tcPr>
          <w:p>
            <w:pPr>
              <w:spacing w:after="0"/>
              <w:rPr>
                <w:sz w:val="1"/>
                <w:szCs w:val="1"/>
                <w:color w:val="auto"/>
              </w:rPr>
            </w:pPr>
          </w:p>
        </w:tc>
      </w:tr>
      <w:tr>
        <w:trPr>
          <w:trHeight w:val="211"/>
        </w:trPr>
        <w:tc>
          <w:tcPr>
            <w:tcW w:w="396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Allocation of undistributed earnings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464,802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173,174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393,731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145,649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449,372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165,669</w:t>
            </w:r>
          </w:p>
        </w:tc>
        <w:tc>
          <w:tcPr>
            <w:tcW w:w="0" w:type="dxa"/>
            <w:vAlign w:val="bottom"/>
          </w:tcPr>
          <w:p>
            <w:pPr>
              <w:spacing w:after="0"/>
              <w:rPr>
                <w:sz w:val="1"/>
                <w:szCs w:val="1"/>
                <w:color w:val="auto"/>
              </w:rPr>
            </w:pPr>
          </w:p>
        </w:tc>
      </w:tr>
      <w:tr>
        <w:trPr>
          <w:trHeight w:val="209"/>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931,815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839,416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860,104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317,458</w:t>
            </w:r>
          </w:p>
        </w:tc>
        <w:tc>
          <w:tcPr>
            <w:tcW w:w="0" w:type="dxa"/>
            <w:vAlign w:val="bottom"/>
          </w:tcPr>
          <w:p>
            <w:pPr>
              <w:spacing w:after="0"/>
              <w:rPr>
                <w:sz w:val="1"/>
                <w:szCs w:val="1"/>
                <w:color w:val="auto"/>
              </w:rPr>
            </w:pPr>
          </w:p>
        </w:tc>
      </w:tr>
      <w:tr>
        <w:trPr>
          <w:trHeight w:val="147"/>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weighted-average shares—basic</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29"/>
        </w:trPr>
        <w:tc>
          <w:tcPr>
            <w:tcW w:w="3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Earnings Per Share—basic</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Diluted 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220"/>
              <w:spacing w:after="0"/>
              <w:rPr>
                <w:sz w:val="20"/>
                <w:szCs w:val="20"/>
                <w:color w:val="auto"/>
              </w:rPr>
            </w:pPr>
            <w:r>
              <w:rPr>
                <w:rFonts w:ascii="Arial" w:cs="Arial" w:eastAsia="Arial" w:hAnsi="Arial"/>
                <w:sz w:val="16"/>
                <w:szCs w:val="16"/>
                <w:color w:val="auto"/>
                <w:w w:val="98"/>
              </w:rPr>
              <w:t>Allocation of total earnings used in basic computation</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931,815</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346,893</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839,416</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310,276</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860,104</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317,458</w:t>
            </w:r>
          </w:p>
        </w:tc>
        <w:tc>
          <w:tcPr>
            <w:tcW w:w="0" w:type="dxa"/>
            <w:vAlign w:val="bottom"/>
          </w:tcPr>
          <w:p>
            <w:pPr>
              <w:spacing w:after="0"/>
              <w:rPr>
                <w:sz w:val="1"/>
                <w:szCs w:val="1"/>
                <w:color w:val="auto"/>
              </w:rPr>
            </w:pPr>
          </w:p>
        </w:tc>
      </w:tr>
      <w:tr>
        <w:trPr>
          <w:trHeight w:val="166"/>
        </w:trPr>
        <w:tc>
          <w:tcPr>
            <w:tcW w:w="3960" w:type="dxa"/>
            <w:vAlign w:val="bottom"/>
            <w:gridSpan w:val="2"/>
            <w:shd w:val="clear" w:color="auto" w:fill="CCEEFF"/>
          </w:tcPr>
          <w:p>
            <w:pPr>
              <w:ind w:left="220"/>
              <w:spacing w:after="0" w:line="166" w:lineRule="exact"/>
              <w:rPr>
                <w:sz w:val="20"/>
                <w:szCs w:val="20"/>
                <w:color w:val="auto"/>
              </w:rPr>
            </w:pPr>
            <w:r>
              <w:rPr>
                <w:rFonts w:ascii="Arial" w:cs="Arial" w:eastAsia="Arial" w:hAnsi="Arial"/>
                <w:sz w:val="16"/>
                <w:szCs w:val="16"/>
                <w:color w:val="auto"/>
                <w:w w:val="96"/>
              </w:rPr>
              <w:t>Reallocation of total earnings as a result of conversion</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346,893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310,276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317,458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of Class B common stock to Common stock</w:t>
            </w: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1,278,708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1,149,692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309,390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1,177,562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316,655</w:t>
            </w:r>
          </w:p>
        </w:tc>
        <w:tc>
          <w:tcPr>
            <w:tcW w:w="0" w:type="dxa"/>
            <w:vAlign w:val="bottom"/>
          </w:tcPr>
          <w:p>
            <w:pPr>
              <w:spacing w:after="0"/>
              <w:rPr>
                <w:sz w:val="1"/>
                <w:szCs w:val="1"/>
                <w:color w:val="auto"/>
              </w:rPr>
            </w:pPr>
          </w:p>
        </w:tc>
      </w:tr>
      <w:tr>
        <w:trPr>
          <w:trHeight w:val="147"/>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147,832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148,841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149,379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60" w:type="dxa"/>
            <w:vAlign w:val="bottom"/>
            <w:gridSpan w:val="2"/>
          </w:tcPr>
          <w:p>
            <w:pPr>
              <w:ind w:left="340"/>
              <w:spacing w:after="0" w:line="164" w:lineRule="exact"/>
              <w:rPr>
                <w:sz w:val="20"/>
                <w:szCs w:val="20"/>
                <w:color w:val="auto"/>
              </w:rPr>
            </w:pPr>
            <w:r>
              <w:rPr>
                <w:rFonts w:ascii="Arial" w:cs="Arial" w:eastAsia="Arial" w:hAnsi="Arial"/>
                <w:sz w:val="16"/>
                <w:szCs w:val="16"/>
                <w:color w:val="auto"/>
              </w:rPr>
              <w:t>Conversion of Class B common stock to Common</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960" w:type="dxa"/>
            <w:vAlign w:val="bottom"/>
            <w:gridSpan w:val="2"/>
          </w:tcPr>
          <w:p>
            <w:pPr>
              <w:ind w:left="340"/>
              <w:spacing w:after="0"/>
              <w:rPr>
                <w:sz w:val="20"/>
                <w:szCs w:val="20"/>
                <w:color w:val="auto"/>
              </w:rPr>
            </w:pPr>
            <w:r>
              <w:rPr>
                <w:rFonts w:ascii="Arial" w:cs="Arial" w:eastAsia="Arial" w:hAnsi="Arial"/>
                <w:sz w:val="16"/>
                <w:szCs w:val="16"/>
                <w:color w:val="auto"/>
              </w:rPr>
              <w:t>shares outstanding</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Employee stock options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960" w:type="dxa"/>
            <w:vAlign w:val="bottom"/>
            <w:gridSpan w:val="2"/>
          </w:tcPr>
          <w:p>
            <w:pPr>
              <w:ind w:left="340"/>
              <w:spacing w:after="0"/>
              <w:rPr>
                <w:sz w:val="20"/>
                <w:szCs w:val="20"/>
                <w:color w:val="auto"/>
              </w:rPr>
            </w:pPr>
            <w:r>
              <w:rPr>
                <w:rFonts w:ascii="Arial" w:cs="Arial" w:eastAsia="Arial" w:hAnsi="Arial"/>
                <w:sz w:val="16"/>
                <w:szCs w:val="16"/>
                <w:color w:val="auto"/>
              </w:rPr>
              <w:t>Performance and restricted stock units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weighted-average shares—diluted</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47"/>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color w:val="auto"/>
        </w:rPr>
        <w:t>The earnings per share calculations for the years ended December 31, 2020, 2019 and 2018 excluded 15, 1,476 and 4,196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409575</wp:posOffset>
            </wp:positionV>
            <wp:extent cx="194945" cy="169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7" w:name="page98"/>
    <w:bookmarkEnd w:id="97"/>
    <w:p>
      <w:pPr>
        <w:jc w:val="center"/>
        <w:ind w:right="-15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NET</w:t>
      </w:r>
    </w:p>
    <w:p>
      <w:pPr>
        <w:spacing w:after="0" w:line="172" w:lineRule="exact"/>
        <w:rPr>
          <w:sz w:val="20"/>
          <w:szCs w:val="20"/>
          <w:color w:val="auto"/>
        </w:rPr>
      </w:pPr>
    </w:p>
    <w:p>
      <w:pPr>
        <w:ind w:right="740"/>
        <w:spacing w:after="0" w:line="26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For the years ended December 31,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68"/>
        </w:trPr>
        <w:tc>
          <w:tcPr>
            <w:tcW w:w="6060" w:type="dxa"/>
            <w:vAlign w:val="bottom"/>
            <w:gridSpan w:val="4"/>
            <w:shd w:val="clear" w:color="auto" w:fill="CCEEFF"/>
          </w:tcPr>
          <w:p>
            <w:pPr>
              <w:ind w:left="20"/>
              <w:spacing w:after="0" w:line="169" w:lineRule="exact"/>
              <w:rPr>
                <w:sz w:val="20"/>
                <w:szCs w:val="20"/>
                <w:color w:val="auto"/>
              </w:rPr>
            </w:pPr>
            <w:r>
              <w:rPr>
                <w:rFonts w:ascii="Arial" w:cs="Arial" w:eastAsia="Arial" w:hAnsi="Arial"/>
                <w:sz w:val="18"/>
                <w:szCs w:val="18"/>
                <w:color w:val="auto"/>
                <w:w w:val="94"/>
              </w:rPr>
              <w:t>Write-down of equity investments in partnerships qualifying for historic and solar</w:t>
            </w:r>
          </w:p>
        </w:tc>
        <w:tc>
          <w:tcPr>
            <w:tcW w:w="38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125,579</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50,457</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50,329</w:t>
            </w:r>
          </w:p>
        </w:tc>
        <w:tc>
          <w:tcPr>
            <w:tcW w:w="0" w:type="dxa"/>
            <w:vAlign w:val="bottom"/>
          </w:tcPr>
          <w:p>
            <w:pPr>
              <w:spacing w:after="0"/>
              <w:rPr>
                <w:sz w:val="1"/>
                <w:szCs w:val="1"/>
                <w:color w:val="auto"/>
              </w:rPr>
            </w:pPr>
          </w:p>
        </w:tc>
      </w:tr>
      <w:tr>
        <w:trPr>
          <w:trHeight w:val="186"/>
        </w:trPr>
        <w:tc>
          <w:tcPr>
            <w:tcW w:w="6060" w:type="dxa"/>
            <w:vAlign w:val="bottom"/>
            <w:gridSpan w:val="4"/>
            <w:shd w:val="clear" w:color="auto" w:fill="CCEEFF"/>
          </w:tcPr>
          <w:p>
            <w:pPr>
              <w:ind w:left="20"/>
              <w:spacing w:after="0" w:line="186" w:lineRule="exact"/>
              <w:rPr>
                <w:rFonts w:ascii="Arial" w:cs="Arial" w:eastAsia="Arial" w:hAnsi="Arial"/>
                <w:sz w:val="18"/>
                <w:szCs w:val="18"/>
                <w:color w:val="auto"/>
              </w:rPr>
            </w:pPr>
            <w:r>
              <w:rPr>
                <w:rFonts w:ascii="Arial" w:cs="Arial" w:eastAsia="Arial" w:hAnsi="Arial"/>
                <w:sz w:val="18"/>
                <w:szCs w:val="18"/>
                <w:color w:val="auto"/>
              </w:rPr>
              <w:t xml:space="preserve">tax credits (see </w:t>
            </w:r>
            <w:r>
              <w:rPr>
                <w:rFonts w:ascii="Arial" w:cs="Arial" w:eastAsia="Arial" w:hAnsi="Arial"/>
                <w:sz w:val="18"/>
                <w:szCs w:val="18"/>
                <w:color w:val="0000FF"/>
              </w:rPr>
              <w:t xml:space="preserve">Note </w:t>
            </w:r>
            <w:hyperlink w:anchor="page78">
              <w:r>
                <w:rPr>
                  <w:rFonts w:ascii="Arial" w:cs="Arial" w:eastAsia="Arial" w:hAnsi="Arial"/>
                  <w:sz w:val="18"/>
                  <w:szCs w:val="18"/>
                  <w:color w:val="0000FF"/>
                </w:rPr>
                <w:t>10</w:t>
              </w:r>
            </w:hyperlink>
            <w:r>
              <w:rPr>
                <w:rFonts w:ascii="Arial" w:cs="Arial" w:eastAsia="Arial" w:hAnsi="Arial"/>
                <w:sz w:val="18"/>
                <w:szCs w:val="18"/>
                <w:color w:val="0000FF"/>
              </w:rPr>
              <w:t>)</w:t>
            </w:r>
          </w:p>
        </w:tc>
        <w:tc>
          <w:tcPr>
            <w:tcW w:w="38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4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060" w:type="dxa"/>
            <w:vAlign w:val="bottom"/>
            <w:gridSpan w:val="4"/>
          </w:tcPr>
          <w:p>
            <w:pPr>
              <w:ind w:left="20"/>
              <w:spacing w:after="0" w:line="175" w:lineRule="exact"/>
              <w:rPr>
                <w:sz w:val="20"/>
                <w:szCs w:val="20"/>
                <w:color w:val="auto"/>
              </w:rPr>
            </w:pPr>
            <w:r>
              <w:rPr>
                <w:rFonts w:ascii="Arial" w:cs="Arial" w:eastAsia="Arial" w:hAnsi="Arial"/>
                <w:sz w:val="18"/>
                <w:szCs w:val="18"/>
                <w:color w:val="auto"/>
                <w:w w:val="94"/>
              </w:rPr>
              <w:t>Non-service cost components of net periodic benefit cost relating to pension and</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12,560</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20,415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20,672</w:t>
            </w:r>
          </w:p>
        </w:tc>
        <w:tc>
          <w:tcPr>
            <w:tcW w:w="0" w:type="dxa"/>
            <w:vAlign w:val="bottom"/>
          </w:tcPr>
          <w:p>
            <w:pPr>
              <w:spacing w:after="0"/>
              <w:rPr>
                <w:sz w:val="1"/>
                <w:szCs w:val="1"/>
                <w:color w:val="auto"/>
              </w:rPr>
            </w:pPr>
          </w:p>
        </w:tc>
      </w:tr>
      <w:tr>
        <w:trPr>
          <w:trHeight w:val="225"/>
        </w:trPr>
        <w:tc>
          <w:tcPr>
            <w:tcW w:w="6060" w:type="dxa"/>
            <w:vAlign w:val="bottom"/>
            <w:gridSpan w:val="4"/>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other post-retirement benefit plans (see </w:t>
            </w:r>
            <w:hyperlink w:anchor="page82">
              <w:r>
                <w:rPr>
                  <w:rFonts w:ascii="Arial" w:cs="Arial" w:eastAsia="Arial" w:hAnsi="Arial"/>
                  <w:sz w:val="18"/>
                  <w:szCs w:val="18"/>
                  <w:u w:val="single" w:color="auto"/>
                  <w:color w:val="0000FF"/>
                </w:rPr>
                <w:t>Note 11</w:t>
              </w:r>
            </w:hyperlink>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21"/>
        </w:trPr>
        <w:tc>
          <w:tcPr>
            <w:tcW w:w="606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138,327</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71,043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635000</wp:posOffset>
            </wp:positionV>
            <wp:extent cx="194945" cy="169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8" w:name="page99"/>
    <w:bookmarkEnd w:id="98"/>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BALANCE SHEET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71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Pr>
          <w:p>
            <w:pPr>
              <w:spacing w:after="0"/>
              <w:rPr>
                <w:sz w:val="18"/>
                <w:szCs w:val="18"/>
                <w:color w:val="auto"/>
              </w:rPr>
            </w:pPr>
          </w:p>
        </w:tc>
        <w:tc>
          <w:tcPr>
            <w:tcW w:w="1440" w:type="dxa"/>
            <w:vAlign w:val="bottom"/>
          </w:tcPr>
          <w:p>
            <w:pPr>
              <w:jc w:val="right"/>
              <w:ind w:right="70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ind w:right="700"/>
              <w:spacing w:after="0"/>
              <w:rPr>
                <w:sz w:val="20"/>
                <w:szCs w:val="20"/>
                <w:color w:val="auto"/>
              </w:rPr>
            </w:pPr>
            <w:r>
              <w:rPr>
                <w:rFonts w:ascii="Arial" w:cs="Arial" w:eastAsia="Arial" w:hAnsi="Arial"/>
                <w:sz w:val="16"/>
                <w:szCs w:val="16"/>
                <w:b w:val="1"/>
                <w:bCs w:val="1"/>
                <w:color w:val="auto"/>
              </w:rPr>
              <w:t>2019</w:t>
            </w:r>
          </w:p>
        </w:tc>
      </w:tr>
      <w:tr>
        <w:trPr>
          <w:trHeight w:val="209"/>
        </w:trPr>
        <w:tc>
          <w:tcPr>
            <w:tcW w:w="70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Inventories:</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11"/>
        </w:trPr>
        <w:tc>
          <w:tcPr>
            <w:tcW w:w="7140" w:type="dxa"/>
            <w:vAlign w:val="bottom"/>
            <w:gridSpan w:val="2"/>
          </w:tcPr>
          <w:p>
            <w:pPr>
              <w:ind w:left="220"/>
              <w:spacing w:after="0"/>
              <w:rPr>
                <w:sz w:val="20"/>
                <w:szCs w:val="20"/>
                <w:color w:val="auto"/>
              </w:rPr>
            </w:pPr>
            <w:r>
              <w:rPr>
                <w:rFonts w:ascii="Arial" w:cs="Arial" w:eastAsia="Arial" w:hAnsi="Arial"/>
                <w:sz w:val="16"/>
                <w:szCs w:val="16"/>
                <w:color w:val="auto"/>
              </w:rPr>
              <w:t>Raw materials</w:t>
            </w: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388,600</w:t>
            </w:r>
          </w:p>
        </w:tc>
        <w:tc>
          <w:tcPr>
            <w:tcW w:w="100" w:type="dxa"/>
            <w:vAlign w:val="bottom"/>
          </w:tcPr>
          <w:p>
            <w:pPr>
              <w:spacing w:after="0"/>
              <w:rPr>
                <w:sz w:val="18"/>
                <w:szCs w:val="18"/>
                <w:color w:val="auto"/>
              </w:rPr>
            </w:pP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271,125</w:t>
            </w:r>
          </w:p>
        </w:tc>
      </w:tr>
      <w:tr>
        <w:trPr>
          <w:trHeight w:val="216"/>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Goods in process</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104,841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98,842</w:t>
            </w:r>
          </w:p>
        </w:tc>
      </w:tr>
      <w:tr>
        <w:trPr>
          <w:trHeight w:val="211"/>
        </w:trPr>
        <w:tc>
          <w:tcPr>
            <w:tcW w:w="7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Finished goods</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645,664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614,698</w:t>
            </w:r>
          </w:p>
        </w:tc>
      </w:tr>
      <w:tr>
        <w:trPr>
          <w:trHeight w:val="209"/>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Inventories at FIFO</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1,139,105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984,665</w:t>
            </w:r>
          </w:p>
        </w:tc>
      </w:tr>
      <w:tr>
        <w:trPr>
          <w:trHeight w:val="211"/>
        </w:trPr>
        <w:tc>
          <w:tcPr>
            <w:tcW w:w="7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Adjustment to LIFO</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(174,898)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(169,414)</w:t>
            </w:r>
          </w:p>
        </w:tc>
      </w:tr>
      <w:tr>
        <w:trPr>
          <w:trHeight w:val="234"/>
        </w:trPr>
        <w:tc>
          <w:tcPr>
            <w:tcW w:w="7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Total inventories</w:t>
            </w:r>
          </w:p>
        </w:tc>
        <w:tc>
          <w:tcPr>
            <w:tcW w:w="5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964,207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815,251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3"/>
        </w:trPr>
        <w:tc>
          <w:tcPr>
            <w:tcW w:w="7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3"/>
        </w:trPr>
        <w:tc>
          <w:tcPr>
            <w:tcW w:w="714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Prepaid expenses and other:</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1"/>
        </w:trPr>
        <w:tc>
          <w:tcPr>
            <w:tcW w:w="7140" w:type="dxa"/>
            <w:vAlign w:val="bottom"/>
            <w:gridSpan w:val="2"/>
          </w:tcPr>
          <w:p>
            <w:pPr>
              <w:ind w:left="220"/>
              <w:spacing w:after="0"/>
              <w:rPr>
                <w:sz w:val="20"/>
                <w:szCs w:val="20"/>
                <w:color w:val="auto"/>
              </w:rPr>
            </w:pPr>
            <w:r>
              <w:rPr>
                <w:rFonts w:ascii="Arial" w:cs="Arial" w:eastAsia="Arial" w:hAnsi="Arial"/>
                <w:sz w:val="16"/>
                <w:szCs w:val="16"/>
                <w:color w:val="auto"/>
              </w:rPr>
              <w:t>Prepaid expenses</w:t>
            </w: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95,669</w:t>
            </w:r>
          </w:p>
        </w:tc>
        <w:tc>
          <w:tcPr>
            <w:tcW w:w="100" w:type="dxa"/>
            <w:vAlign w:val="bottom"/>
          </w:tcPr>
          <w:p>
            <w:pPr>
              <w:spacing w:after="0"/>
              <w:rPr>
                <w:sz w:val="18"/>
                <w:szCs w:val="18"/>
                <w:color w:val="auto"/>
              </w:rPr>
            </w:pP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84,058</w:t>
            </w:r>
          </w:p>
        </w:tc>
      </w:tr>
      <w:tr>
        <w:trPr>
          <w:trHeight w:val="213"/>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5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158,809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156,022</w:t>
            </w:r>
          </w:p>
        </w:tc>
      </w:tr>
      <w:tr>
        <w:trPr>
          <w:trHeight w:val="209"/>
        </w:trPr>
        <w:tc>
          <w:tcPr>
            <w:tcW w:w="7140" w:type="dxa"/>
            <w:vAlign w:val="bottom"/>
            <w:gridSpan w:val="2"/>
          </w:tcPr>
          <w:p>
            <w:pPr>
              <w:ind w:left="100"/>
              <w:spacing w:after="0"/>
              <w:rPr>
                <w:sz w:val="20"/>
                <w:szCs w:val="20"/>
                <w:color w:val="auto"/>
              </w:rPr>
            </w:pPr>
            <w:r>
              <w:rPr>
                <w:rFonts w:ascii="Arial" w:cs="Arial" w:eastAsia="Arial" w:hAnsi="Arial"/>
                <w:sz w:val="16"/>
                <w:szCs w:val="16"/>
                <w:color w:val="auto"/>
              </w:rPr>
              <w:t>Total prepaid expenses and other</w:t>
            </w:r>
          </w:p>
        </w:tc>
        <w:tc>
          <w:tcPr>
            <w:tcW w:w="5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254,478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240,080</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13"/>
        </w:trPr>
        <w:tc>
          <w:tcPr>
            <w:tcW w:w="7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211"/>
        </w:trPr>
        <w:tc>
          <w:tcPr>
            <w:tcW w:w="7140" w:type="dxa"/>
            <w:vAlign w:val="bottom"/>
            <w:gridSpan w:val="2"/>
          </w:tcPr>
          <w:p>
            <w:pPr>
              <w:ind w:left="100"/>
              <w:spacing w:after="0"/>
              <w:rPr>
                <w:sz w:val="20"/>
                <w:szCs w:val="20"/>
                <w:color w:val="auto"/>
              </w:rPr>
            </w:pPr>
            <w:r>
              <w:rPr>
                <w:rFonts w:ascii="Arial" w:cs="Arial" w:eastAsia="Arial" w:hAnsi="Arial"/>
                <w:sz w:val="16"/>
                <w:szCs w:val="16"/>
                <w:b w:val="1"/>
                <w:bCs w:val="1"/>
                <w:color w:val="auto"/>
              </w:rPr>
              <w:t>Property, plant and equipment:</w:t>
            </w: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Land</w:t>
            </w:r>
          </w:p>
        </w:tc>
        <w:tc>
          <w:tcPr>
            <w:tcW w:w="5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105,627</w:t>
            </w:r>
          </w:p>
        </w:tc>
      </w:tr>
      <w:tr>
        <w:trPr>
          <w:trHeight w:val="211"/>
        </w:trPr>
        <w:tc>
          <w:tcPr>
            <w:tcW w:w="7140" w:type="dxa"/>
            <w:vAlign w:val="bottom"/>
            <w:gridSpan w:val="2"/>
          </w:tcPr>
          <w:p>
            <w:pPr>
              <w:ind w:left="220"/>
              <w:spacing w:after="0"/>
              <w:rPr>
                <w:sz w:val="20"/>
                <w:szCs w:val="20"/>
                <w:color w:val="auto"/>
              </w:rPr>
            </w:pPr>
            <w:r>
              <w:rPr>
                <w:rFonts w:ascii="Arial" w:cs="Arial" w:eastAsia="Arial" w:hAnsi="Arial"/>
                <w:sz w:val="16"/>
                <w:szCs w:val="16"/>
                <w:color w:val="auto"/>
              </w:rPr>
              <w:t>Buildings</w:t>
            </w: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1,387,106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1,298,985</w:t>
            </w:r>
          </w:p>
        </w:tc>
      </w:tr>
      <w:tr>
        <w:trPr>
          <w:trHeight w:val="216"/>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Machinery and equipment</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3,169,754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3,120,003</w:t>
            </w:r>
          </w:p>
        </w:tc>
      </w:tr>
      <w:tr>
        <w:trPr>
          <w:trHeight w:val="211"/>
        </w:trPr>
        <w:tc>
          <w:tcPr>
            <w:tcW w:w="7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Construction in progress</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276,514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209,788</w:t>
            </w:r>
          </w:p>
        </w:tc>
      </w:tr>
      <w:tr>
        <w:trPr>
          <w:trHeight w:val="209"/>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Property, plant and equipment, gross</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4,964,887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4,734,403</w:t>
            </w:r>
          </w:p>
        </w:tc>
      </w:tr>
      <w:tr>
        <w:trPr>
          <w:trHeight w:val="211"/>
        </w:trPr>
        <w:tc>
          <w:tcPr>
            <w:tcW w:w="7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Accumulated depreciation</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(2,679,632)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(2,581,264)</w:t>
            </w:r>
          </w:p>
        </w:tc>
      </w:tr>
      <w:tr>
        <w:trPr>
          <w:trHeight w:val="234"/>
        </w:trPr>
        <w:tc>
          <w:tcPr>
            <w:tcW w:w="7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Property, plant and equipment, net</w:t>
            </w:r>
          </w:p>
        </w:tc>
        <w:tc>
          <w:tcPr>
            <w:tcW w:w="5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2,285,255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2,153,139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3"/>
        </w:trPr>
        <w:tc>
          <w:tcPr>
            <w:tcW w:w="7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3"/>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1"/>
        </w:trPr>
        <w:tc>
          <w:tcPr>
            <w:tcW w:w="7140" w:type="dxa"/>
            <w:vAlign w:val="bottom"/>
            <w:gridSpan w:val="2"/>
          </w:tcPr>
          <w:p>
            <w:pPr>
              <w:ind w:left="220"/>
              <w:spacing w:after="0"/>
              <w:rPr>
                <w:sz w:val="20"/>
                <w:szCs w:val="20"/>
                <w:color w:val="auto"/>
              </w:rPr>
            </w:pPr>
            <w:r>
              <w:rPr>
                <w:rFonts w:ascii="Arial" w:cs="Arial" w:eastAsia="Arial" w:hAnsi="Arial"/>
                <w:sz w:val="16"/>
                <w:szCs w:val="16"/>
                <w:color w:val="auto"/>
              </w:rPr>
              <w:t>Capitalized software, net</w:t>
            </w: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187,673</w:t>
            </w:r>
          </w:p>
        </w:tc>
        <w:tc>
          <w:tcPr>
            <w:tcW w:w="100" w:type="dxa"/>
            <w:vAlign w:val="bottom"/>
          </w:tcPr>
          <w:p>
            <w:pPr>
              <w:spacing w:after="0"/>
              <w:rPr>
                <w:sz w:val="18"/>
                <w:szCs w:val="18"/>
                <w:color w:val="auto"/>
              </w:rPr>
            </w:pP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153,842</w:t>
            </w:r>
          </w:p>
        </w:tc>
      </w:tr>
      <w:tr>
        <w:trPr>
          <w:trHeight w:val="216"/>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lease ROU assets</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224,268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220,678</w:t>
            </w:r>
          </w:p>
        </w:tc>
      </w:tr>
      <w:tr>
        <w:trPr>
          <w:trHeight w:val="211"/>
        </w:trPr>
        <w:tc>
          <w:tcPr>
            <w:tcW w:w="7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non-current assets</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143,946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137,480</w:t>
            </w:r>
          </w:p>
        </w:tc>
      </w:tr>
      <w:tr>
        <w:trPr>
          <w:trHeight w:val="234"/>
        </w:trPr>
        <w:tc>
          <w:tcPr>
            <w:tcW w:w="7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Total other non-current assets</w:t>
            </w:r>
          </w:p>
        </w:tc>
        <w:tc>
          <w:tcPr>
            <w:tcW w:w="5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555,887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512,000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3"/>
        </w:trPr>
        <w:tc>
          <w:tcPr>
            <w:tcW w:w="7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3"/>
        </w:trPr>
        <w:tc>
          <w:tcPr>
            <w:tcW w:w="714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Accrued liabilities:</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1"/>
        </w:trPr>
        <w:tc>
          <w:tcPr>
            <w:tcW w:w="7140" w:type="dxa"/>
            <w:vAlign w:val="bottom"/>
            <w:gridSpan w:val="2"/>
          </w:tcPr>
          <w:p>
            <w:pPr>
              <w:ind w:left="220"/>
              <w:spacing w:after="0"/>
              <w:rPr>
                <w:sz w:val="20"/>
                <w:szCs w:val="20"/>
                <w:color w:val="auto"/>
              </w:rPr>
            </w:pPr>
            <w:r>
              <w:rPr>
                <w:rFonts w:ascii="Arial" w:cs="Arial" w:eastAsia="Arial" w:hAnsi="Arial"/>
                <w:sz w:val="16"/>
                <w:szCs w:val="16"/>
                <w:color w:val="auto"/>
              </w:rPr>
              <w:t>Payroll, compensation and benefits</w:t>
            </w: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237,342</w:t>
            </w:r>
          </w:p>
        </w:tc>
        <w:tc>
          <w:tcPr>
            <w:tcW w:w="100" w:type="dxa"/>
            <w:vAlign w:val="bottom"/>
          </w:tcPr>
          <w:p>
            <w:pPr>
              <w:spacing w:after="0"/>
              <w:rPr>
                <w:sz w:val="18"/>
                <w:szCs w:val="18"/>
                <w:color w:val="auto"/>
              </w:rPr>
            </w:pP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230,518</w:t>
            </w:r>
          </w:p>
        </w:tc>
      </w:tr>
      <w:tr>
        <w:trPr>
          <w:trHeight w:val="216"/>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Advertising, promotion and product allowances</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309,537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279,440</w:t>
            </w:r>
          </w:p>
        </w:tc>
      </w:tr>
      <w:tr>
        <w:trPr>
          <w:trHeight w:val="211"/>
        </w:trPr>
        <w:tc>
          <w:tcPr>
            <w:tcW w:w="7140" w:type="dxa"/>
            <w:vAlign w:val="bottom"/>
            <w:gridSpan w:val="2"/>
          </w:tcPr>
          <w:p>
            <w:pPr>
              <w:ind w:left="220"/>
              <w:spacing w:after="0"/>
              <w:rPr>
                <w:sz w:val="20"/>
                <w:szCs w:val="20"/>
                <w:color w:val="auto"/>
              </w:rPr>
            </w:pPr>
            <w:r>
              <w:rPr>
                <w:rFonts w:ascii="Arial" w:cs="Arial" w:eastAsia="Arial" w:hAnsi="Arial"/>
                <w:sz w:val="16"/>
                <w:szCs w:val="16"/>
                <w:color w:val="auto"/>
              </w:rPr>
              <w:t>Operating lease liabilities</w:t>
            </w: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36,578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29,209</w:t>
            </w:r>
          </w:p>
        </w:tc>
      </w:tr>
      <w:tr>
        <w:trPr>
          <w:trHeight w:val="213"/>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5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198,309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163,205</w:t>
            </w:r>
          </w:p>
        </w:tc>
      </w:tr>
      <w:tr>
        <w:trPr>
          <w:trHeight w:val="209"/>
        </w:trPr>
        <w:tc>
          <w:tcPr>
            <w:tcW w:w="7140" w:type="dxa"/>
            <w:vAlign w:val="bottom"/>
            <w:gridSpan w:val="2"/>
          </w:tcPr>
          <w:p>
            <w:pPr>
              <w:ind w:left="100"/>
              <w:spacing w:after="0"/>
              <w:rPr>
                <w:sz w:val="20"/>
                <w:szCs w:val="20"/>
                <w:color w:val="auto"/>
              </w:rPr>
            </w:pPr>
            <w:r>
              <w:rPr>
                <w:rFonts w:ascii="Arial" w:cs="Arial" w:eastAsia="Arial" w:hAnsi="Arial"/>
                <w:sz w:val="16"/>
                <w:szCs w:val="16"/>
                <w:color w:val="auto"/>
              </w:rPr>
              <w:t>Total accrued liabilities</w:t>
            </w:r>
          </w:p>
        </w:tc>
        <w:tc>
          <w:tcPr>
            <w:tcW w:w="5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781,766</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702,372</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13"/>
        </w:trPr>
        <w:tc>
          <w:tcPr>
            <w:tcW w:w="7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211"/>
        </w:trPr>
        <w:tc>
          <w:tcPr>
            <w:tcW w:w="7140" w:type="dxa"/>
            <w:vAlign w:val="bottom"/>
            <w:gridSpan w:val="2"/>
          </w:tcPr>
          <w:p>
            <w:pPr>
              <w:ind w:left="100"/>
              <w:spacing w:after="0"/>
              <w:rPr>
                <w:sz w:val="20"/>
                <w:szCs w:val="20"/>
                <w:color w:val="auto"/>
              </w:rPr>
            </w:pPr>
            <w:r>
              <w:rPr>
                <w:rFonts w:ascii="Arial" w:cs="Arial" w:eastAsia="Arial" w:hAnsi="Arial"/>
                <w:sz w:val="16"/>
                <w:szCs w:val="16"/>
                <w:b w:val="1"/>
                <w:bCs w:val="1"/>
                <w:color w:val="auto"/>
              </w:rPr>
              <w:t>Other long-term liabilities:</w:t>
            </w: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Post-retirement benefits liabilities</w:t>
            </w:r>
          </w:p>
        </w:tc>
        <w:tc>
          <w:tcPr>
            <w:tcW w:w="5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211,206</w:t>
            </w:r>
          </w:p>
        </w:tc>
      </w:tr>
      <w:tr>
        <w:trPr>
          <w:trHeight w:val="211"/>
        </w:trPr>
        <w:tc>
          <w:tcPr>
            <w:tcW w:w="7140" w:type="dxa"/>
            <w:vAlign w:val="bottom"/>
            <w:gridSpan w:val="2"/>
          </w:tcPr>
          <w:p>
            <w:pPr>
              <w:ind w:left="220"/>
              <w:spacing w:after="0"/>
              <w:rPr>
                <w:sz w:val="20"/>
                <w:szCs w:val="20"/>
                <w:color w:val="auto"/>
              </w:rPr>
            </w:pPr>
            <w:r>
              <w:rPr>
                <w:rFonts w:ascii="Arial" w:cs="Arial" w:eastAsia="Arial" w:hAnsi="Arial"/>
                <w:sz w:val="16"/>
                <w:szCs w:val="16"/>
                <w:color w:val="auto"/>
              </w:rPr>
              <w:t>Pension benefits liabilities</w:t>
            </w: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70,727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58,773</w:t>
            </w:r>
          </w:p>
        </w:tc>
      </w:tr>
      <w:tr>
        <w:trPr>
          <w:trHeight w:val="216"/>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181,871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184,163</w:t>
            </w:r>
          </w:p>
        </w:tc>
      </w:tr>
      <w:tr>
        <w:trPr>
          <w:trHeight w:val="211"/>
        </w:trPr>
        <w:tc>
          <w:tcPr>
            <w:tcW w:w="7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207,329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201,635</w:t>
            </w:r>
          </w:p>
        </w:tc>
      </w:tr>
      <w:tr>
        <w:trPr>
          <w:trHeight w:val="234"/>
        </w:trPr>
        <w:tc>
          <w:tcPr>
            <w:tcW w:w="7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Total other long-term liabilities</w:t>
            </w:r>
          </w:p>
        </w:tc>
        <w:tc>
          <w:tcPr>
            <w:tcW w:w="5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683,434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655,777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3"/>
        </w:trPr>
        <w:tc>
          <w:tcPr>
            <w:tcW w:w="7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3"/>
        </w:trPr>
        <w:tc>
          <w:tcPr>
            <w:tcW w:w="714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Accumulated other comprehensive loss:</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1"/>
        </w:trPr>
        <w:tc>
          <w:tcPr>
            <w:tcW w:w="7140" w:type="dxa"/>
            <w:vAlign w:val="bottom"/>
            <w:gridSpan w:val="2"/>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(98,525)</w:t>
            </w:r>
          </w:p>
        </w:tc>
        <w:tc>
          <w:tcPr>
            <w:tcW w:w="100" w:type="dxa"/>
            <w:vAlign w:val="bottom"/>
          </w:tcPr>
          <w:p>
            <w:pPr>
              <w:spacing w:after="0"/>
              <w:rPr>
                <w:sz w:val="18"/>
                <w:szCs w:val="18"/>
                <w:color w:val="auto"/>
              </w:rPr>
            </w:pP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(83,704)</w:t>
            </w:r>
          </w:p>
        </w:tc>
      </w:tr>
      <w:tr>
        <w:trPr>
          <w:trHeight w:val="216"/>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Pension and post-retirement benefit plans, net of tax</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(194,205)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(189,187)</w:t>
            </w:r>
          </w:p>
        </w:tc>
      </w:tr>
      <w:tr>
        <w:trPr>
          <w:trHeight w:val="211"/>
        </w:trPr>
        <w:tc>
          <w:tcPr>
            <w:tcW w:w="7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Cash flow hedges, net of tax</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(45,352)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(51,075)</w:t>
            </w:r>
          </w:p>
        </w:tc>
      </w:tr>
      <w:tr>
        <w:trPr>
          <w:trHeight w:val="234"/>
        </w:trPr>
        <w:tc>
          <w:tcPr>
            <w:tcW w:w="7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Total accumulated other comprehensive loss</w:t>
            </w:r>
          </w:p>
        </w:tc>
        <w:tc>
          <w:tcPr>
            <w:tcW w:w="5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(338,082)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(323,966)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635000</wp:posOffset>
            </wp:positionV>
            <wp:extent cx="194945" cy="169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19. QUARTERLY DATA (Unaudited)</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3"/>
        </w:trPr>
        <w:tc>
          <w:tcPr>
            <w:tcW w:w="4840" w:type="dxa"/>
            <w:vAlign w:val="bottom"/>
            <w:gridSpan w:val="3"/>
          </w:tcPr>
          <w:p>
            <w:pPr>
              <w:spacing w:after="0"/>
              <w:rPr>
                <w:sz w:val="20"/>
                <w:szCs w:val="20"/>
                <w:color w:val="auto"/>
              </w:rPr>
            </w:pPr>
            <w:r>
              <w:rPr>
                <w:rFonts w:ascii="Arial" w:cs="Arial" w:eastAsia="Arial" w:hAnsi="Arial"/>
                <w:sz w:val="18"/>
                <w:szCs w:val="18"/>
                <w:color w:val="auto"/>
              </w:rPr>
              <w:t>Summary quarterly results were as follows:</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4"/>
        </w:trPr>
        <w:tc>
          <w:tcPr>
            <w:tcW w:w="80" w:type="dxa"/>
            <w:vAlign w:val="bottom"/>
          </w:tcPr>
          <w:p>
            <w:pPr>
              <w:spacing w:after="0"/>
              <w:rPr>
                <w:sz w:val="24"/>
                <w:szCs w:val="24"/>
                <w:color w:val="auto"/>
              </w:rPr>
            </w:pP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2020</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First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Second</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Third</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Fourth</w:t>
            </w:r>
          </w:p>
        </w:tc>
      </w:tr>
      <w:tr>
        <w:trPr>
          <w:trHeight w:val="221"/>
        </w:trPr>
        <w:tc>
          <w:tcPr>
            <w:tcW w:w="80" w:type="dxa"/>
            <w:vAlign w:val="bottom"/>
          </w:tcPr>
          <w:p>
            <w:pPr>
              <w:spacing w:after="0"/>
              <w:rPr>
                <w:sz w:val="19"/>
                <w:szCs w:val="19"/>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1,707,329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2,219,829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2,185,244</w:t>
            </w:r>
          </w:p>
        </w:tc>
      </w:tr>
      <w:tr>
        <w:trPr>
          <w:trHeight w:val="226"/>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866,622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792,552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1,080,024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962,071</w:t>
            </w:r>
          </w:p>
        </w:tc>
      </w:tr>
      <w:tr>
        <w:trPr>
          <w:trHeight w:val="227"/>
        </w:trPr>
        <w:tc>
          <w:tcPr>
            <w:tcW w:w="80" w:type="dxa"/>
            <w:vAlign w:val="bottom"/>
          </w:tcPr>
          <w:p>
            <w:pPr>
              <w:spacing w:after="0"/>
              <w:rPr>
                <w:sz w:val="19"/>
                <w:szCs w:val="19"/>
                <w:color w:val="auto"/>
              </w:rPr>
            </w:pP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income attributable to The Hershey Company</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291,387</w:t>
            </w:r>
          </w:p>
        </w:tc>
      </w:tr>
      <w:tr>
        <w:trPr>
          <w:trHeight w:val="226"/>
        </w:trPr>
        <w:tc>
          <w:tcPr>
            <w:tcW w:w="80" w:type="dxa"/>
            <w:vAlign w:val="bottom"/>
          </w:tcPr>
          <w:p>
            <w:pPr>
              <w:spacing w:after="0"/>
              <w:rPr>
                <w:sz w:val="19"/>
                <w:szCs w:val="19"/>
                <w:color w:val="auto"/>
              </w:rPr>
            </w:pPr>
          </w:p>
        </w:tc>
        <w:tc>
          <w:tcPr>
            <w:tcW w:w="4760" w:type="dxa"/>
            <w:vAlign w:val="bottom"/>
            <w:gridSpan w:val="2"/>
          </w:tcPr>
          <w:p>
            <w:pPr>
              <w:ind w:left="100"/>
              <w:spacing w:after="0"/>
              <w:rPr>
                <w:sz w:val="20"/>
                <w:szCs w:val="20"/>
                <w:color w:val="auto"/>
              </w:rPr>
            </w:pPr>
            <w:r>
              <w:rPr>
                <w:rFonts w:ascii="Arial" w:cs="Arial" w:eastAsia="Arial" w:hAnsi="Arial"/>
                <w:sz w:val="18"/>
                <w:szCs w:val="18"/>
                <w:color w:val="auto"/>
              </w:rPr>
              <w:t>Common stock:</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4760" w:type="dxa"/>
            <w:vAlign w:val="bottom"/>
            <w:gridSpan w:val="2"/>
            <w:shd w:val="clear" w:color="auto" w:fill="CCEEFF"/>
          </w:tcPr>
          <w:p>
            <w:pPr>
              <w:ind w:left="340"/>
              <w:spacing w:after="0" w:line="228"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3"/>
                <w:szCs w:val="23"/>
                <w:color w:val="auto"/>
                <w:vertAlign w:val="superscript"/>
              </w:rPr>
              <w:t>(a)</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7"/>
        </w:trPr>
        <w:tc>
          <w:tcPr>
            <w:tcW w:w="80" w:type="dxa"/>
            <w:vAlign w:val="bottom"/>
          </w:tcPr>
          <w:p>
            <w:pPr>
              <w:spacing w:after="0"/>
              <w:rPr>
                <w:sz w:val="19"/>
                <w:szCs w:val="19"/>
                <w:color w:val="auto"/>
              </w:rPr>
            </w:pPr>
          </w:p>
        </w:tc>
        <w:tc>
          <w:tcPr>
            <w:tcW w:w="4760" w:type="dxa"/>
            <w:vAlign w:val="bottom"/>
            <w:gridSpan w:val="2"/>
          </w:tcPr>
          <w:p>
            <w:pPr>
              <w:ind w:left="340"/>
              <w:spacing w:after="0" w:line="226"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3"/>
                <w:szCs w:val="23"/>
                <w:color w:val="auto"/>
                <w:vertAlign w:val="superscript"/>
              </w:rPr>
              <w:t>(a)</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7"/>
        </w:trPr>
        <w:tc>
          <w:tcPr>
            <w:tcW w:w="80" w:type="dxa"/>
            <w:vAlign w:val="bottom"/>
          </w:tcPr>
          <w:p>
            <w:pPr>
              <w:spacing w:after="0"/>
              <w:rPr>
                <w:sz w:val="19"/>
                <w:szCs w:val="19"/>
                <w:color w:val="auto"/>
              </w:rPr>
            </w:pPr>
          </w:p>
        </w:tc>
        <w:tc>
          <w:tcPr>
            <w:tcW w:w="4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per share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0.804</w:t>
            </w:r>
          </w:p>
        </w:tc>
      </w:tr>
      <w:tr>
        <w:trPr>
          <w:trHeight w:val="226"/>
        </w:trPr>
        <w:tc>
          <w:tcPr>
            <w:tcW w:w="80" w:type="dxa"/>
            <w:vAlign w:val="bottom"/>
          </w:tcPr>
          <w:p>
            <w:pPr>
              <w:spacing w:after="0"/>
              <w:rPr>
                <w:sz w:val="19"/>
                <w:szCs w:val="19"/>
                <w:color w:val="auto"/>
              </w:rPr>
            </w:pPr>
          </w:p>
        </w:tc>
        <w:tc>
          <w:tcPr>
            <w:tcW w:w="4760" w:type="dxa"/>
            <w:vAlign w:val="bottom"/>
            <w:gridSpan w:val="2"/>
          </w:tcPr>
          <w:p>
            <w:pPr>
              <w:ind w:left="100"/>
              <w:spacing w:after="0"/>
              <w:rPr>
                <w:sz w:val="20"/>
                <w:szCs w:val="20"/>
                <w:color w:val="auto"/>
              </w:rPr>
            </w:pPr>
            <w:r>
              <w:rPr>
                <w:rFonts w:ascii="Arial" w:cs="Arial" w:eastAsia="Arial" w:hAnsi="Arial"/>
                <w:sz w:val="18"/>
                <w:szCs w:val="18"/>
                <w:color w:val="auto"/>
              </w:rPr>
              <w:t>Class B common stock:</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4760" w:type="dxa"/>
            <w:vAlign w:val="bottom"/>
            <w:gridSpan w:val="2"/>
            <w:shd w:val="clear" w:color="auto" w:fill="CCEEFF"/>
          </w:tcPr>
          <w:p>
            <w:pPr>
              <w:ind w:left="340"/>
              <w:spacing w:after="0" w:line="228"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3"/>
                <w:szCs w:val="23"/>
                <w:color w:val="auto"/>
                <w:vertAlign w:val="superscript"/>
              </w:rPr>
              <w:t>(a)</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7"/>
        </w:trPr>
        <w:tc>
          <w:tcPr>
            <w:tcW w:w="80" w:type="dxa"/>
            <w:vAlign w:val="bottom"/>
          </w:tcPr>
          <w:p>
            <w:pPr>
              <w:spacing w:after="0"/>
              <w:rPr>
                <w:sz w:val="19"/>
                <w:szCs w:val="19"/>
                <w:color w:val="auto"/>
              </w:rPr>
            </w:pPr>
          </w:p>
        </w:tc>
        <w:tc>
          <w:tcPr>
            <w:tcW w:w="4760" w:type="dxa"/>
            <w:vAlign w:val="bottom"/>
            <w:gridSpan w:val="2"/>
          </w:tcPr>
          <w:p>
            <w:pPr>
              <w:ind w:left="340"/>
              <w:spacing w:after="0" w:line="226"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3"/>
                <w:szCs w:val="23"/>
                <w:color w:val="auto"/>
                <w:vertAlign w:val="superscript"/>
              </w:rPr>
              <w:t>(a)</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7"/>
        </w:trPr>
        <w:tc>
          <w:tcPr>
            <w:tcW w:w="80" w:type="dxa"/>
            <w:vAlign w:val="bottom"/>
          </w:tcPr>
          <w:p>
            <w:pPr>
              <w:spacing w:after="0"/>
              <w:rPr>
                <w:sz w:val="19"/>
                <w:szCs w:val="19"/>
                <w:color w:val="auto"/>
              </w:rPr>
            </w:pPr>
          </w:p>
        </w:tc>
        <w:tc>
          <w:tcPr>
            <w:tcW w:w="4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per share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0.731</w:t>
            </w:r>
          </w:p>
        </w:tc>
      </w:tr>
      <w:tr>
        <w:trPr>
          <w:trHeight w:val="226"/>
        </w:trPr>
        <w:tc>
          <w:tcPr>
            <w:tcW w:w="80" w:type="dxa"/>
            <w:vAlign w:val="bottom"/>
          </w:tcPr>
          <w:p>
            <w:pPr>
              <w:spacing w:after="0"/>
              <w:rPr>
                <w:sz w:val="19"/>
                <w:szCs w:val="19"/>
                <w:color w:val="auto"/>
              </w:rPr>
            </w:pPr>
          </w:p>
        </w:tc>
        <w:tc>
          <w:tcPr>
            <w:tcW w:w="4760" w:type="dxa"/>
            <w:vAlign w:val="bottom"/>
            <w:gridSpan w:val="2"/>
          </w:tcPr>
          <w:p>
            <w:pPr>
              <w:ind w:left="100"/>
              <w:spacing w:after="0"/>
              <w:rPr>
                <w:sz w:val="20"/>
                <w:szCs w:val="20"/>
                <w:color w:val="auto"/>
              </w:rPr>
            </w:pPr>
            <w:r>
              <w:rPr>
                <w:rFonts w:ascii="Arial" w:cs="Arial" w:eastAsia="Arial" w:hAnsi="Arial"/>
                <w:sz w:val="18"/>
                <w:szCs w:val="18"/>
                <w:color w:val="auto"/>
              </w:rPr>
              <w:t>Market price—common stock:</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47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High</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155.12</w:t>
            </w:r>
          </w:p>
        </w:tc>
      </w:tr>
      <w:tr>
        <w:trPr>
          <w:trHeight w:val="225"/>
        </w:trPr>
        <w:tc>
          <w:tcPr>
            <w:tcW w:w="80" w:type="dxa"/>
            <w:vAlign w:val="bottom"/>
          </w:tcPr>
          <w:p>
            <w:pPr>
              <w:spacing w:after="0"/>
              <w:rPr>
                <w:sz w:val="19"/>
                <w:szCs w:val="19"/>
                <w:color w:val="auto"/>
              </w:rPr>
            </w:pPr>
          </w:p>
        </w:tc>
        <w:tc>
          <w:tcPr>
            <w:tcW w:w="4760" w:type="dxa"/>
            <w:vAlign w:val="bottom"/>
            <w:gridSpan w:val="2"/>
          </w:tcPr>
          <w:p>
            <w:pPr>
              <w:ind w:left="740"/>
              <w:spacing w:after="0"/>
              <w:rPr>
                <w:sz w:val="20"/>
                <w:szCs w:val="20"/>
                <w:color w:val="auto"/>
              </w:rPr>
            </w:pPr>
            <w:r>
              <w:rPr>
                <w:rFonts w:ascii="Arial" w:cs="Arial" w:eastAsia="Arial" w:hAnsi="Arial"/>
                <w:sz w:val="18"/>
                <w:szCs w:val="18"/>
                <w:color w:val="auto"/>
              </w:rPr>
              <w:t>Low</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137.46</w:t>
            </w:r>
          </w:p>
        </w:tc>
      </w:tr>
    </w:tbl>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2019</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First</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Second</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Third</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Fourth</w:t>
            </w:r>
          </w:p>
        </w:tc>
      </w:tr>
      <w:tr>
        <w:trPr>
          <w:trHeight w:val="221"/>
        </w:trPr>
        <w:tc>
          <w:tcPr>
            <w:tcW w:w="4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1,767,217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2,068,125</w:t>
            </w:r>
          </w:p>
        </w:tc>
      </w:tr>
      <w:tr>
        <w:trPr>
          <w:trHeight w:val="226"/>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892,504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874,744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911,912</w:t>
            </w:r>
          </w:p>
        </w:tc>
      </w:tr>
      <w:tr>
        <w:trPr>
          <w:trHeight w:val="227"/>
        </w:trPr>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income attributable to The Hershey Company</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207,187</w:t>
            </w:r>
          </w:p>
        </w:tc>
      </w:tr>
      <w:tr>
        <w:trPr>
          <w:trHeight w:val="226"/>
        </w:trPr>
        <w:tc>
          <w:tcPr>
            <w:tcW w:w="4760" w:type="dxa"/>
            <w:vAlign w:val="bottom"/>
            <w:gridSpan w:val="2"/>
          </w:tcPr>
          <w:p>
            <w:pPr>
              <w:ind w:left="100"/>
              <w:spacing w:after="0"/>
              <w:rPr>
                <w:sz w:val="20"/>
                <w:szCs w:val="20"/>
                <w:color w:val="auto"/>
              </w:rPr>
            </w:pPr>
            <w:r>
              <w:rPr>
                <w:rFonts w:ascii="Arial" w:cs="Arial" w:eastAsia="Arial" w:hAnsi="Arial"/>
                <w:sz w:val="18"/>
                <w:szCs w:val="18"/>
                <w:color w:val="auto"/>
              </w:rPr>
              <w:t>Common stock:</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4760" w:type="dxa"/>
            <w:vAlign w:val="bottom"/>
            <w:gridSpan w:val="2"/>
            <w:shd w:val="clear" w:color="auto" w:fill="CCEEFF"/>
          </w:tcPr>
          <w:p>
            <w:pPr>
              <w:ind w:left="340"/>
              <w:spacing w:after="0" w:line="228"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3"/>
                <w:szCs w:val="23"/>
                <w:color w:val="auto"/>
                <w:vertAlign w:val="superscript"/>
              </w:rPr>
              <w:t>(a)</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7"/>
        </w:trPr>
        <w:tc>
          <w:tcPr>
            <w:tcW w:w="4760" w:type="dxa"/>
            <w:vAlign w:val="bottom"/>
            <w:gridSpan w:val="2"/>
          </w:tcPr>
          <w:p>
            <w:pPr>
              <w:ind w:left="340"/>
              <w:spacing w:after="0" w:line="226"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3"/>
                <w:szCs w:val="23"/>
                <w:color w:val="auto"/>
                <w:vertAlign w:val="superscript"/>
              </w:rPr>
              <w:t>(a)</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27"/>
        </w:trPr>
        <w:tc>
          <w:tcPr>
            <w:tcW w:w="4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per share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0.773</w:t>
            </w:r>
          </w:p>
        </w:tc>
      </w:tr>
      <w:tr>
        <w:trPr>
          <w:trHeight w:val="226"/>
        </w:trPr>
        <w:tc>
          <w:tcPr>
            <w:tcW w:w="4760" w:type="dxa"/>
            <w:vAlign w:val="bottom"/>
            <w:gridSpan w:val="2"/>
          </w:tcPr>
          <w:p>
            <w:pPr>
              <w:ind w:left="100"/>
              <w:spacing w:after="0"/>
              <w:rPr>
                <w:sz w:val="20"/>
                <w:szCs w:val="20"/>
                <w:color w:val="auto"/>
              </w:rPr>
            </w:pPr>
            <w:r>
              <w:rPr>
                <w:rFonts w:ascii="Arial" w:cs="Arial" w:eastAsia="Arial" w:hAnsi="Arial"/>
                <w:sz w:val="18"/>
                <w:szCs w:val="18"/>
                <w:color w:val="auto"/>
              </w:rPr>
              <w:t>Class B common stock:</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4760" w:type="dxa"/>
            <w:vAlign w:val="bottom"/>
            <w:gridSpan w:val="2"/>
            <w:shd w:val="clear" w:color="auto" w:fill="CCEEFF"/>
          </w:tcPr>
          <w:p>
            <w:pPr>
              <w:ind w:left="340"/>
              <w:spacing w:after="0" w:line="228"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3"/>
                <w:szCs w:val="23"/>
                <w:color w:val="auto"/>
                <w:vertAlign w:val="superscript"/>
              </w:rPr>
              <w:t>(a)</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r>
      <w:tr>
        <w:trPr>
          <w:trHeight w:val="227"/>
        </w:trPr>
        <w:tc>
          <w:tcPr>
            <w:tcW w:w="4760" w:type="dxa"/>
            <w:vAlign w:val="bottom"/>
            <w:gridSpan w:val="2"/>
          </w:tcPr>
          <w:p>
            <w:pPr>
              <w:ind w:left="340"/>
              <w:spacing w:after="0" w:line="226"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3"/>
                <w:szCs w:val="23"/>
                <w:color w:val="auto"/>
                <w:vertAlign w:val="superscript"/>
              </w:rPr>
              <w:t>(a)</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27"/>
        </w:trPr>
        <w:tc>
          <w:tcPr>
            <w:tcW w:w="4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per share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0.702</w:t>
            </w:r>
          </w:p>
        </w:tc>
      </w:tr>
      <w:tr>
        <w:trPr>
          <w:trHeight w:val="226"/>
        </w:trPr>
        <w:tc>
          <w:tcPr>
            <w:tcW w:w="4760" w:type="dxa"/>
            <w:vAlign w:val="bottom"/>
            <w:gridSpan w:val="2"/>
          </w:tcPr>
          <w:p>
            <w:pPr>
              <w:ind w:left="100"/>
              <w:spacing w:after="0"/>
              <w:rPr>
                <w:sz w:val="20"/>
                <w:szCs w:val="20"/>
                <w:color w:val="auto"/>
              </w:rPr>
            </w:pPr>
            <w:r>
              <w:rPr>
                <w:rFonts w:ascii="Arial" w:cs="Arial" w:eastAsia="Arial" w:hAnsi="Arial"/>
                <w:sz w:val="18"/>
                <w:szCs w:val="18"/>
                <w:color w:val="auto"/>
              </w:rPr>
              <w:t>Market price—common stock:</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47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High</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w:t>
            </w:r>
          </w:p>
        </w:tc>
      </w:tr>
      <w:tr>
        <w:trPr>
          <w:trHeight w:val="225"/>
        </w:trPr>
        <w:tc>
          <w:tcPr>
            <w:tcW w:w="4760" w:type="dxa"/>
            <w:vAlign w:val="bottom"/>
            <w:gridSpan w:val="2"/>
          </w:tcPr>
          <w:p>
            <w:pPr>
              <w:ind w:left="740"/>
              <w:spacing w:after="0"/>
              <w:rPr>
                <w:sz w:val="20"/>
                <w:szCs w:val="20"/>
                <w:color w:val="auto"/>
              </w:rPr>
            </w:pPr>
            <w:r>
              <w:rPr>
                <w:rFonts w:ascii="Arial" w:cs="Arial" w:eastAsia="Arial" w:hAnsi="Arial"/>
                <w:sz w:val="18"/>
                <w:szCs w:val="18"/>
                <w:color w:val="auto"/>
              </w:rPr>
              <w:t>Low</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140.29</w:t>
            </w:r>
          </w:p>
        </w:tc>
      </w:tr>
    </w:tbl>
    <w:p>
      <w:pPr>
        <w:spacing w:after="0" w:line="13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Quarterly income per share amounts do not total to the annual amount due to changes in weighted-average shares outstanding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431165</wp:posOffset>
            </wp:positionV>
            <wp:extent cx="194945" cy="169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0" w:name="page101"/>
    <w:bookmarkEnd w:id="100"/>
    <w:p>
      <w:pPr>
        <w:ind w:right="1380" w:firstLine="40"/>
        <w:spacing w:after="0" w:line="382"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81"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of the Securities Exchange Act of 1934 (the “Exchange Act”), as of December 31, 2020. Based on that evaluation, the Company’s Chief Executive Officer and Chief Financial Officer concluded that the Company’s disclosure controls and procedures were effective as of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Evaluation of Disclosure Controls and Procedures</w:t>
      </w:r>
    </w:p>
    <w:p>
      <w:pPr>
        <w:spacing w:after="0" w:line="10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the Company’s reports filed under the Exchange Act is accumulated and communicated to management, including the Company’s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Management's report on the Company's internal control over financial reporting appears on the following page. There were no changes in the Company’s internal control over financial reporting during the fourth quarter of 2020 that have materially affected, or are reasonably likely to materially affect, the Company’s internal control over financial reporting.</w:t>
      </w:r>
    </w:p>
    <w:p>
      <w:pPr>
        <w:spacing w:after="0" w:line="6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We have completed the implementation of certain processes, including our consolidated financial reporting platform in the second quarter of 2018, as well as our trade promotions and direct marketing systems in the first quarter of 2019. These transitions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404495</wp:posOffset>
            </wp:positionV>
            <wp:extent cx="194945" cy="169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41" w:right="359" w:bottom="1440" w:gutter="0" w:footer="0" w:header="0"/>
        </w:sectPr>
      </w:pPr>
    </w:p>
    <w:bookmarkStart w:id="101" w:name="page102"/>
    <w:bookmarkEnd w:id="101"/>
    <w:p>
      <w:pPr>
        <w:jc w:val="center"/>
        <w:ind w:righ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management of The Hershey Company is responsible for establishing and maintaining adequate internal control over financial reporting, as such term is defined in Exchange Act Rule 13a-15(f). The Company’s internal control system was designed to provide reasonable assurance to the Company’s management and Board of Directors regarding the preparation and fair presentation of published financial statements.</w:t>
      </w:r>
    </w:p>
    <w:p>
      <w:pPr>
        <w:spacing w:after="0" w:line="118"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2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The Company’s management, including the Company’s Chief Executive Officer and Chief Financial Officer, assessed the effectiveness of the Company’s internal control over financial reporting as of December 31, 2020.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 edition)</w:t>
      </w:r>
      <w:r>
        <w:rPr>
          <w:rFonts w:ascii="Arial" w:cs="Arial" w:eastAsia="Arial" w:hAnsi="Arial"/>
          <w:sz w:val="18"/>
          <w:szCs w:val="18"/>
          <w:color w:val="auto"/>
        </w:rPr>
        <w:t>. Based on this assessment, management concluded that, as of December 31, 2020, the Company’s internal control over financial reporting was effective based on those criteria.</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independent auditors have audited, and reported on, the Company’s internal control over financial reporting as of December 31, 2020.</w:t>
      </w:r>
    </w:p>
    <w:p>
      <w:pPr>
        <w:spacing w:after="0" w:line="2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443230</wp:posOffset>
            </wp:positionV>
            <wp:extent cx="194945" cy="169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1241" w:right="439" w:bottom="1440" w:gutter="0" w:footer="0" w:header="0"/>
        </w:sectPr>
      </w:pPr>
    </w:p>
    <w:bookmarkStart w:id="102" w:name="page103"/>
    <w:bookmarkEnd w:id="102"/>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59"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information regarding executive officers of the Company required by Item 401 of SEC Regulation S-K is incorporated herein by reference from the disclosure included under the caption “Supplemental Item. Information About Out Executive Officers” at the end of Part I of this Annual Report on Form 10-K.</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information required by Item 401 of SEC Regulation S-K concerning the directors and nominees for director of the Company, together with a discussion of the specific experience, qualifications, attributes and skills that led the Board to conclude that the director or nominee should serve as a director at this time, will be located in the Proxy Statement in the section entitled “Proposal No. 1 – Election of Directors,” which information is incorporated herein by reference.</w:t>
      </w:r>
    </w:p>
    <w:p>
      <w:pPr>
        <w:spacing w:after="0" w:line="14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Information regarding the identification of the Audit Committee as a separately-designated standing committee of the Board and information regarding the status of one or more members of the Audit Committee as an “audit committee financial expert” will be located in the Proxy Statement in the section entitled “Meetings and Committees of the Board – Committees of the Board,” which information is incorporated herein by reference.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are no inadvertent late filings under Section 16(a) of the Securities Exchange Act of 1934, as amended.</w:t>
      </w:r>
    </w:p>
    <w:p>
      <w:pPr>
        <w:spacing w:after="0" w:line="16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Information regarding our Code of Conduct applicable to our directors, officers and employees is located in Part I of this Annual Report on Form 10-K, under the heading “Available Information.”</w:t>
      </w:r>
    </w:p>
    <w:p>
      <w:pPr>
        <w:spacing w:after="0" w:line="213"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0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Information regarding the compensation of each of our named executive officers, including our Chief Executive Officer, will be located in the Proxy Statement in the section entitled “Compensation Discussion &amp; Analysis,” which information is incorporated herein by reference. Information regarding the compensation of our directors will be located in the Proxy Statement in the section entitled “Non-Employee Director Compensation,” which information is incorporated herein by reference.</w:t>
      </w:r>
    </w:p>
    <w:p>
      <w:pPr>
        <w:spacing w:after="0" w:line="140"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information required by Item 407(e)(4) of SEC Regulation S-K will be located in the Proxy Statement in the section entitled “Compensation Committee Interlocks and Insider Participation,” which information is incorporated herein by reference.</w:t>
      </w:r>
    </w:p>
    <w:p>
      <w:pPr>
        <w:spacing w:after="0" w:line="126"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information required by Item 407(e)(5) of SEC Regulation S-K will be located in the Proxy Statement in the section entitled “Compensation Committee Report,” which information is incorporated herein by reference.</w:t>
      </w:r>
    </w:p>
    <w:p>
      <w:pPr>
        <w:spacing w:after="0" w:line="200"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0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Information concerning ownership of our voting securities by certain beneficial owners, individual nominees for director, the named executive officers, including persons serving as our Chief Executive Officer and Chief Financial Officer, and directors and executive officers as a group, will be located in the Proxy Statement in the section entitled “Share Ownership of Directors, Management and Certain Beneficial Owners,” which information is incorporated herein by reference.</w:t>
      </w:r>
    </w:p>
    <w:p>
      <w:pPr>
        <w:spacing w:after="0" w:line="140"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Information regarding all of the Company’s equity compensation plans will be located in the Proxy Statement in the section entitled “Equity Compensation Plan Information,” which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409575</wp:posOffset>
            </wp:positionV>
            <wp:extent cx="194945" cy="169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03" w:name="page104"/>
    <w:bookmarkEnd w:id="103"/>
    <w:p>
      <w:pPr>
        <w:spacing w:after="0" w:line="54"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Information regarding transactions with related persons will be located in the Proxy Statement in the section entitled “Certain Transactions and Relationships,” which information is incorporated herein by reference. Information regarding director independence will be located in the Proxy Statement in the section entitled “Corporate Governance – Director Independence,” which information is incorporated herein by reference.</w:t>
      </w:r>
    </w:p>
    <w:p>
      <w:pPr>
        <w:spacing w:after="0" w:line="205"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1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Information regarding “Principal Accounting Fees and Services,” including the policy regarding pre-approval of audit and non-audit services performed by our Company’s independent auditors, will be located in the Proxy Statement in the section entitled “Information about our Independent Auditors,” which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414655</wp:posOffset>
            </wp:positionV>
            <wp:extent cx="194945" cy="169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4" w:name="page105"/>
    <w:bookmarkEnd w:id="104"/>
    <w:p>
      <w:pPr>
        <w:ind w:left="5400"/>
        <w:spacing w:after="0"/>
        <w:rPr>
          <w:sz w:val="20"/>
          <w:szCs w:val="20"/>
          <w:color w:val="auto"/>
        </w:rPr>
      </w:pPr>
      <w:r>
        <w:rPr>
          <w:rFonts w:ascii="Arial" w:cs="Arial" w:eastAsia="Arial" w:hAnsi="Arial"/>
          <w:sz w:val="18"/>
          <w:szCs w:val="18"/>
          <w:b w:val="1"/>
          <w:bCs w:val="1"/>
          <w:color w:val="auto"/>
        </w:rPr>
        <w:t>PART IV</w:t>
      </w:r>
    </w:p>
    <w:p>
      <w:pPr>
        <w:spacing w:after="0" w:line="25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24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15(a)(1): Financial Statements</w:t>
      </w:r>
    </w:p>
    <w:p>
      <w:pPr>
        <w:spacing w:after="0" w:line="106" w:lineRule="exact"/>
        <w:rPr>
          <w:sz w:val="20"/>
          <w:szCs w:val="20"/>
          <w:color w:val="auto"/>
        </w:rPr>
      </w:pPr>
    </w:p>
    <w:p>
      <w:pPr>
        <w:ind w:left="60" w:right="160"/>
        <w:spacing w:after="0" w:line="267" w:lineRule="auto"/>
        <w:rPr>
          <w:sz w:val="20"/>
          <w:szCs w:val="20"/>
          <w:color w:val="auto"/>
        </w:rPr>
      </w:pPr>
      <w:r>
        <w:rPr>
          <w:rFonts w:ascii="Arial" w:cs="Arial" w:eastAsia="Arial" w:hAnsi="Arial"/>
          <w:sz w:val="18"/>
          <w:szCs w:val="18"/>
          <w:color w:val="auto"/>
        </w:rPr>
        <w:t>The audited consolidated financial statements of The Hershey Company and its subsidiaries and the Report of Independent Registered Public Accounting Firm thereon, as required to be filed, are located under Item 8 of this Annual Report on Form 10-K.</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15(a)(2): Financial Statement Schedule</w:t>
      </w:r>
    </w:p>
    <w:p>
      <w:pPr>
        <w:spacing w:after="0" w:line="92" w:lineRule="exact"/>
        <w:rPr>
          <w:sz w:val="20"/>
          <w:szCs w:val="20"/>
          <w:color w:val="auto"/>
        </w:rPr>
      </w:pPr>
    </w:p>
    <w:p>
      <w:pPr>
        <w:ind w:left="60" w:right="80"/>
        <w:spacing w:after="0" w:line="267" w:lineRule="auto"/>
        <w:rPr>
          <w:sz w:val="20"/>
          <w:szCs w:val="20"/>
          <w:color w:val="auto"/>
        </w:rPr>
      </w:pPr>
      <w:r>
        <w:rPr>
          <w:rFonts w:ascii="Arial" w:cs="Arial" w:eastAsia="Arial" w:hAnsi="Arial"/>
          <w:sz w:val="18"/>
          <w:szCs w:val="18"/>
          <w:color w:val="auto"/>
        </w:rPr>
        <w:t>Schedule II—Valuation and Qualifying Accounts for The Hershey Company and its subsidiaries for the years ended December 31, 2020, 2019 and 2018 is filed as part of this Annual Report on Form 10-K as required by Item 15(c).</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omitted other schedules because they are not applicable or the required information is set forth in the consolidated financial statements or notes thereto.</w:t>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15(a)(3): Exhibits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as part of, or incorporated by reference into, this Annual Report on Form 10-K.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40" w:type="dxa"/>
            <w:vAlign w:val="bottom"/>
            <w:gridSpan w:val="5"/>
          </w:tcPr>
          <w:p>
            <w:pPr>
              <w:ind w:left="40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482"/>
        </w:trPr>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Exhibit Number</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80" w:type="dxa"/>
            <w:vAlign w:val="bottom"/>
            <w:gridSpan w:val="4"/>
          </w:tcPr>
          <w:p>
            <w:pPr>
              <w:ind w:left="1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70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100" w:type="dxa"/>
            <w:vAlign w:val="bottom"/>
          </w:tcPr>
          <w:p>
            <w:pPr>
              <w:jc w:val="center"/>
              <w:ind w:right="20"/>
              <w:spacing w:after="0" w:line="183" w:lineRule="exact"/>
              <w:rPr>
                <w:rFonts w:ascii="Arial" w:cs="Arial" w:eastAsia="Arial" w:hAnsi="Arial"/>
                <w:sz w:val="16"/>
                <w:szCs w:val="16"/>
                <w:u w:val="single" w:color="auto"/>
                <w:color w:val="0000FF"/>
                <w:w w:val="89"/>
              </w:rPr>
            </w:pPr>
            <w:hyperlink r:id="rId238">
              <w:r>
                <w:rPr>
                  <w:rFonts w:ascii="Arial" w:cs="Arial" w:eastAsia="Arial" w:hAnsi="Arial"/>
                  <w:sz w:val="16"/>
                  <w:szCs w:val="16"/>
                  <w:u w:val="single" w:color="auto"/>
                  <w:color w:val="0000FF"/>
                  <w:w w:val="89"/>
                </w:rPr>
                <w:t>3.1</w:t>
              </w:r>
            </w:hyperlink>
          </w:p>
        </w:tc>
        <w:tc>
          <w:tcPr>
            <w:tcW w:w="9980" w:type="dxa"/>
            <w:vAlign w:val="bottom"/>
            <w:gridSpan w:val="13"/>
          </w:tcPr>
          <w:p>
            <w:pPr>
              <w:ind w:left="40"/>
              <w:spacing w:after="0" w:line="183" w:lineRule="exact"/>
              <w:rPr>
                <w:rFonts w:ascii="Arial" w:cs="Arial" w:eastAsia="Arial" w:hAnsi="Arial"/>
                <w:sz w:val="16"/>
                <w:szCs w:val="16"/>
                <w:color w:val="0000FF"/>
                <w:w w:val="94"/>
              </w:rPr>
            </w:pPr>
            <w:hyperlink r:id="rId238">
              <w:r>
                <w:rPr>
                  <w:rFonts w:ascii="Arial" w:cs="Arial" w:eastAsia="Arial" w:hAnsi="Arial"/>
                  <w:sz w:val="16"/>
                  <w:szCs w:val="16"/>
                  <w:color w:val="0000FF"/>
                  <w:w w:val="94"/>
                </w:rPr>
                <w:t>The Company’s Restated Certificate of Incorporation, as amended, is incorporated by reference from Exhibit 3 to the Company’s Quarterly Report on</w:t>
              </w:r>
            </w:hyperlink>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020" w:type="dxa"/>
            <w:vAlign w:val="bottom"/>
            <w:tcBorders>
              <w:top w:val="single" w:sz="8" w:color="0000FF"/>
              <w:bottom w:val="single" w:sz="8" w:color="0000FF"/>
            </w:tcBorders>
            <w:gridSpan w:val="5"/>
          </w:tcPr>
          <w:p>
            <w:pPr>
              <w:spacing w:after="0" w:line="167" w:lineRule="exact"/>
              <w:rPr>
                <w:rFonts w:ascii="Arial" w:cs="Arial" w:eastAsia="Arial" w:hAnsi="Arial"/>
                <w:sz w:val="16"/>
                <w:szCs w:val="16"/>
                <w:color w:val="0000FF"/>
                <w:w w:val="90"/>
              </w:rPr>
            </w:pPr>
            <w:hyperlink r:id="rId238">
              <w:r>
                <w:rPr>
                  <w:rFonts w:ascii="Arial" w:cs="Arial" w:eastAsia="Arial" w:hAnsi="Arial"/>
                  <w:sz w:val="16"/>
                  <w:szCs w:val="16"/>
                  <w:color w:val="0000FF"/>
                  <w:w w:val="90"/>
                </w:rPr>
                <w:t>Form 10-Q for the quarter ended April 3, 2005.</w:t>
              </w:r>
            </w:hyperlink>
          </w:p>
        </w:tc>
        <w:tc>
          <w:tcPr>
            <w:tcW w:w="6400" w:type="dxa"/>
            <w:vAlign w:val="bottom"/>
            <w:tcBorders>
              <w:top w:val="single" w:sz="8" w:color="0000FF"/>
            </w:tcBorders>
            <w:gridSpan w:val="5"/>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1160" w:type="dxa"/>
            <w:vAlign w:val="bottom"/>
            <w:gridSpan w:val="2"/>
          </w:tcPr>
          <w:p>
            <w:pPr>
              <w:jc w:val="center"/>
              <w:spacing w:after="0"/>
              <w:rPr>
                <w:rFonts w:ascii="Arial" w:cs="Arial" w:eastAsia="Arial" w:hAnsi="Arial"/>
                <w:sz w:val="16"/>
                <w:szCs w:val="16"/>
                <w:u w:val="single" w:color="auto"/>
                <w:color w:val="0000FF"/>
                <w:w w:val="89"/>
              </w:rPr>
            </w:pPr>
            <w:hyperlink r:id="rId239">
              <w:r>
                <w:rPr>
                  <w:rFonts w:ascii="Arial" w:cs="Arial" w:eastAsia="Arial" w:hAnsi="Arial"/>
                  <w:sz w:val="16"/>
                  <w:szCs w:val="16"/>
                  <w:u w:val="single" w:color="auto"/>
                  <w:color w:val="0000FF"/>
                  <w:w w:val="89"/>
                </w:rPr>
                <w:t>3.2</w:t>
              </w:r>
            </w:hyperlink>
          </w:p>
        </w:tc>
        <w:tc>
          <w:tcPr>
            <w:tcW w:w="9980" w:type="dxa"/>
            <w:vAlign w:val="bottom"/>
            <w:gridSpan w:val="13"/>
          </w:tcPr>
          <w:p>
            <w:pPr>
              <w:ind w:left="40"/>
              <w:spacing w:after="0"/>
              <w:rPr>
                <w:rFonts w:ascii="Arial" w:cs="Arial" w:eastAsia="Arial" w:hAnsi="Arial"/>
                <w:sz w:val="16"/>
                <w:szCs w:val="16"/>
                <w:color w:val="0000FF"/>
                <w:w w:val="94"/>
              </w:rPr>
            </w:pPr>
            <w:hyperlink r:id="rId239">
              <w:r>
                <w:rPr>
                  <w:rFonts w:ascii="Arial" w:cs="Arial" w:eastAsia="Arial" w:hAnsi="Arial"/>
                  <w:sz w:val="16"/>
                  <w:szCs w:val="16"/>
                  <w:color w:val="0000FF"/>
                  <w:w w:val="94"/>
                </w:rPr>
                <w:t>The Company's By-laws, as amended and restated as of February 21, 2017, are incorporated by reference from Exhibit 3.2 to the Company’s Annual</w:t>
              </w:r>
            </w:hyperlink>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9340" w:type="dxa"/>
            <w:vAlign w:val="bottom"/>
            <w:tcBorders>
              <w:top w:val="single" w:sz="8" w:color="0000FF"/>
            </w:tcBorders>
            <w:gridSpan w:val="9"/>
          </w:tcPr>
          <w:p>
            <w:pPr>
              <w:spacing w:after="0" w:line="167" w:lineRule="exact"/>
              <w:rPr>
                <w:rFonts w:ascii="Arial" w:cs="Arial" w:eastAsia="Arial" w:hAnsi="Arial"/>
                <w:sz w:val="16"/>
                <w:szCs w:val="16"/>
                <w:color w:val="0000FF"/>
              </w:rPr>
            </w:pPr>
            <w:hyperlink r:id="rId239">
              <w:r>
                <w:rPr>
                  <w:rFonts w:ascii="Arial" w:cs="Arial" w:eastAsia="Arial" w:hAnsi="Arial"/>
                  <w:sz w:val="16"/>
                  <w:szCs w:val="16"/>
                  <w:color w:val="0000FF"/>
                </w:rPr>
                <w:t>Report on Form 10-K for the fiscal year ended December 31, 2018.</w:t>
              </w:r>
            </w:hyperlink>
          </w:p>
        </w:tc>
        <w:tc>
          <w:tcPr>
            <w:tcW w:w="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4.1</w:t>
            </w:r>
          </w:p>
        </w:tc>
        <w:tc>
          <w:tcPr>
            <w:tcW w:w="200" w:type="dxa"/>
            <w:vAlign w:val="bottom"/>
            <w:gridSpan w:val="2"/>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160" w:type="dxa"/>
            <w:vAlign w:val="bottom"/>
            <w:gridSpan w:val="2"/>
            <w:vMerge w:val="continue"/>
          </w:tcPr>
          <w:p>
            <w:pPr>
              <w:spacing w:after="0"/>
              <w:rPr>
                <w:sz w:val="24"/>
                <w:szCs w:val="24"/>
                <w:color w:val="auto"/>
              </w:rPr>
            </w:pPr>
          </w:p>
        </w:tc>
        <w:tc>
          <w:tcPr>
            <w:tcW w:w="9980" w:type="dxa"/>
            <w:vAlign w:val="bottom"/>
            <w:gridSpan w:val="13"/>
          </w:tcPr>
          <w:p>
            <w:pPr>
              <w:ind w:left="40"/>
              <w:spacing w:after="0"/>
              <w:rPr>
                <w:sz w:val="20"/>
                <w:szCs w:val="20"/>
                <w:color w:val="auto"/>
              </w:rPr>
            </w:pPr>
            <w:r>
              <w:rPr>
                <w:rFonts w:ascii="Arial" w:cs="Arial" w:eastAsia="Arial" w:hAnsi="Arial"/>
                <w:sz w:val="16"/>
                <w:szCs w:val="16"/>
                <w:color w:val="auto"/>
                <w:w w:val="89"/>
              </w:rPr>
              <w:t>The Company has issued certain long-term debt instruments, no one class of which creates indebtedness exceeding 10% of the total assets of the Company</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11"/>
          </w:tcPr>
          <w:p>
            <w:pPr>
              <w:spacing w:after="0"/>
              <w:rPr>
                <w:sz w:val="20"/>
                <w:szCs w:val="20"/>
                <w:color w:val="auto"/>
              </w:rPr>
            </w:pPr>
            <w:r>
              <w:rPr>
                <w:rFonts w:ascii="Arial" w:cs="Arial" w:eastAsia="Arial" w:hAnsi="Arial"/>
                <w:sz w:val="16"/>
                <w:szCs w:val="16"/>
                <w:color w:val="auto"/>
              </w:rPr>
              <w:t>and its subsidiaries on a consolidated basis. These classes consist of the following:</w:t>
            </w:r>
          </w:p>
        </w:tc>
        <w:tc>
          <w:tcPr>
            <w:tcW w:w="0" w:type="dxa"/>
            <w:vAlign w:val="bottom"/>
          </w:tcPr>
          <w:p>
            <w:pPr>
              <w:spacing w:after="0"/>
              <w:rPr>
                <w:sz w:val="1"/>
                <w:szCs w:val="1"/>
                <w:color w:val="auto"/>
              </w:rPr>
            </w:pPr>
          </w:p>
        </w:tc>
      </w:tr>
      <w:tr>
        <w:trPr>
          <w:trHeight w:val="329"/>
        </w:trPr>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gridSpan w:val="3"/>
          </w:tcPr>
          <w:p>
            <w:pPr>
              <w:ind w:left="200"/>
              <w:spacing w:after="0"/>
              <w:rPr>
                <w:sz w:val="20"/>
                <w:szCs w:val="20"/>
                <w:color w:val="auto"/>
              </w:rPr>
            </w:pPr>
            <w:r>
              <w:rPr>
                <w:rFonts w:ascii="Arial" w:cs="Arial" w:eastAsia="Arial" w:hAnsi="Arial"/>
                <w:sz w:val="16"/>
                <w:szCs w:val="16"/>
                <w:color w:val="auto"/>
                <w:w w:val="98"/>
              </w:rPr>
              <w:t>1)</w:t>
            </w:r>
          </w:p>
        </w:tc>
        <w:tc>
          <w:tcPr>
            <w:tcW w:w="9620" w:type="dxa"/>
            <w:vAlign w:val="bottom"/>
            <w:gridSpan w:val="10"/>
          </w:tcPr>
          <w:p>
            <w:pPr>
              <w:spacing w:after="0"/>
              <w:rPr>
                <w:sz w:val="20"/>
                <w:szCs w:val="20"/>
                <w:color w:val="auto"/>
              </w:rPr>
            </w:pPr>
            <w:r>
              <w:rPr>
                <w:rFonts w:ascii="Arial" w:cs="Arial" w:eastAsia="Arial" w:hAnsi="Arial"/>
                <w:sz w:val="16"/>
                <w:szCs w:val="16"/>
                <w:color w:val="auto"/>
              </w:rPr>
              <w:t>8.8% Debentures due 2021</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gridSpan w:val="3"/>
          </w:tcPr>
          <w:p>
            <w:pPr>
              <w:ind w:left="200"/>
              <w:spacing w:after="0"/>
              <w:rPr>
                <w:sz w:val="20"/>
                <w:szCs w:val="20"/>
                <w:color w:val="auto"/>
              </w:rPr>
            </w:pPr>
            <w:r>
              <w:rPr>
                <w:rFonts w:ascii="Arial" w:cs="Arial" w:eastAsia="Arial" w:hAnsi="Arial"/>
                <w:sz w:val="16"/>
                <w:szCs w:val="16"/>
                <w:color w:val="auto"/>
                <w:w w:val="98"/>
              </w:rPr>
              <w:t>2)</w:t>
            </w:r>
          </w:p>
        </w:tc>
        <w:tc>
          <w:tcPr>
            <w:tcW w:w="520" w:type="dxa"/>
            <w:vAlign w:val="bottom"/>
          </w:tcPr>
          <w:p>
            <w:pPr>
              <w:spacing w:after="0"/>
              <w:rPr>
                <w:rFonts w:ascii="Arial" w:cs="Arial" w:eastAsia="Arial" w:hAnsi="Arial"/>
                <w:sz w:val="16"/>
                <w:szCs w:val="16"/>
                <w:u w:val="single" w:color="auto"/>
                <w:color w:val="0000FF"/>
                <w:w w:val="92"/>
              </w:rPr>
            </w:pPr>
            <w:hyperlink r:id="rId240">
              <w:r>
                <w:rPr>
                  <w:rFonts w:ascii="Arial" w:cs="Arial" w:eastAsia="Arial" w:hAnsi="Arial"/>
                  <w:sz w:val="16"/>
                  <w:szCs w:val="16"/>
                  <w:u w:val="single" w:color="auto"/>
                  <w:color w:val="0000FF"/>
                  <w:w w:val="92"/>
                </w:rPr>
                <w:t>3.100%</w:t>
              </w:r>
            </w:hyperlink>
          </w:p>
        </w:tc>
        <w:tc>
          <w:tcPr>
            <w:tcW w:w="9100" w:type="dxa"/>
            <w:vAlign w:val="bottom"/>
            <w:gridSpan w:val="9"/>
          </w:tcPr>
          <w:p>
            <w:pPr>
              <w:ind w:left="20"/>
              <w:spacing w:after="0"/>
              <w:rPr>
                <w:rFonts w:ascii="Arial" w:cs="Arial" w:eastAsia="Arial" w:hAnsi="Arial"/>
                <w:sz w:val="16"/>
                <w:szCs w:val="16"/>
                <w:u w:val="single" w:color="auto"/>
                <w:color w:val="0000FF"/>
              </w:rPr>
            </w:pPr>
            <w:hyperlink r:id="rId240">
              <w:r>
                <w:rPr>
                  <w:rFonts w:ascii="Arial" w:cs="Arial" w:eastAsia="Arial" w:hAnsi="Arial"/>
                  <w:sz w:val="16"/>
                  <w:szCs w:val="16"/>
                  <w:u w:val="single" w:color="auto"/>
                  <w:color w:val="0000FF"/>
                </w:rPr>
                <w:t>Notes due 2021</w:t>
              </w:r>
            </w:hyperlink>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gridSpan w:val="3"/>
          </w:tcPr>
          <w:p>
            <w:pPr>
              <w:ind w:left="200"/>
              <w:spacing w:after="0"/>
              <w:rPr>
                <w:sz w:val="20"/>
                <w:szCs w:val="20"/>
                <w:color w:val="auto"/>
              </w:rPr>
            </w:pPr>
            <w:r>
              <w:rPr>
                <w:rFonts w:ascii="Arial" w:cs="Arial" w:eastAsia="Arial" w:hAnsi="Arial"/>
                <w:sz w:val="16"/>
                <w:szCs w:val="16"/>
                <w:color w:val="auto"/>
                <w:w w:val="98"/>
              </w:rPr>
              <w:t>3)</w:t>
            </w:r>
          </w:p>
        </w:tc>
        <w:tc>
          <w:tcPr>
            <w:tcW w:w="520" w:type="dxa"/>
            <w:vAlign w:val="bottom"/>
          </w:tcPr>
          <w:p>
            <w:pPr>
              <w:spacing w:after="0"/>
              <w:rPr>
                <w:rFonts w:ascii="Arial" w:cs="Arial" w:eastAsia="Arial" w:hAnsi="Arial"/>
                <w:sz w:val="16"/>
                <w:szCs w:val="16"/>
                <w:u w:val="single" w:color="auto"/>
                <w:color w:val="0000FF"/>
                <w:w w:val="92"/>
              </w:rPr>
            </w:pPr>
            <w:hyperlink r:id="rId241">
              <w:r>
                <w:rPr>
                  <w:rFonts w:ascii="Arial" w:cs="Arial" w:eastAsia="Arial" w:hAnsi="Arial"/>
                  <w:sz w:val="16"/>
                  <w:szCs w:val="16"/>
                  <w:u w:val="single" w:color="auto"/>
                  <w:color w:val="0000FF"/>
                  <w:w w:val="92"/>
                </w:rPr>
                <w:t>2.625%</w:t>
              </w:r>
            </w:hyperlink>
          </w:p>
        </w:tc>
        <w:tc>
          <w:tcPr>
            <w:tcW w:w="9100" w:type="dxa"/>
            <w:vAlign w:val="bottom"/>
            <w:gridSpan w:val="9"/>
          </w:tcPr>
          <w:p>
            <w:pPr>
              <w:ind w:left="20"/>
              <w:spacing w:after="0"/>
              <w:rPr>
                <w:rFonts w:ascii="Arial" w:cs="Arial" w:eastAsia="Arial" w:hAnsi="Arial"/>
                <w:sz w:val="16"/>
                <w:szCs w:val="16"/>
                <w:u w:val="single" w:color="auto"/>
                <w:color w:val="0000FF"/>
              </w:rPr>
            </w:pPr>
            <w:hyperlink r:id="rId241">
              <w:r>
                <w:rPr>
                  <w:rFonts w:ascii="Arial" w:cs="Arial" w:eastAsia="Arial" w:hAnsi="Arial"/>
                  <w:sz w:val="16"/>
                  <w:szCs w:val="16"/>
                  <w:u w:val="single" w:color="auto"/>
                  <w:color w:val="0000FF"/>
                </w:rPr>
                <w:t>Notes due 2023</w:t>
              </w:r>
            </w:hyperlink>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gridSpan w:val="3"/>
          </w:tcPr>
          <w:p>
            <w:pPr>
              <w:ind w:left="200"/>
              <w:spacing w:after="0"/>
              <w:rPr>
                <w:sz w:val="20"/>
                <w:szCs w:val="20"/>
                <w:color w:val="auto"/>
              </w:rPr>
            </w:pPr>
            <w:r>
              <w:rPr>
                <w:rFonts w:ascii="Arial" w:cs="Arial" w:eastAsia="Arial" w:hAnsi="Arial"/>
                <w:sz w:val="16"/>
                <w:szCs w:val="16"/>
                <w:color w:val="auto"/>
                <w:w w:val="98"/>
              </w:rPr>
              <w:t>4)</w:t>
            </w:r>
          </w:p>
        </w:tc>
        <w:tc>
          <w:tcPr>
            <w:tcW w:w="520" w:type="dxa"/>
            <w:vAlign w:val="bottom"/>
          </w:tcPr>
          <w:p>
            <w:pPr>
              <w:spacing w:after="0"/>
              <w:rPr>
                <w:rFonts w:ascii="Arial" w:cs="Arial" w:eastAsia="Arial" w:hAnsi="Arial"/>
                <w:sz w:val="16"/>
                <w:szCs w:val="16"/>
                <w:u w:val="single" w:color="auto"/>
                <w:color w:val="0000FF"/>
                <w:w w:val="92"/>
              </w:rPr>
            </w:pPr>
            <w:hyperlink r:id="rId240">
              <w:r>
                <w:rPr>
                  <w:rFonts w:ascii="Arial" w:cs="Arial" w:eastAsia="Arial" w:hAnsi="Arial"/>
                  <w:sz w:val="16"/>
                  <w:szCs w:val="16"/>
                  <w:u w:val="single" w:color="auto"/>
                  <w:color w:val="0000FF"/>
                  <w:w w:val="92"/>
                </w:rPr>
                <w:t>3.375%</w:t>
              </w:r>
            </w:hyperlink>
          </w:p>
        </w:tc>
        <w:tc>
          <w:tcPr>
            <w:tcW w:w="9100" w:type="dxa"/>
            <w:vAlign w:val="bottom"/>
            <w:gridSpan w:val="9"/>
          </w:tcPr>
          <w:p>
            <w:pPr>
              <w:ind w:left="20"/>
              <w:spacing w:after="0"/>
              <w:rPr>
                <w:rFonts w:ascii="Arial" w:cs="Arial" w:eastAsia="Arial" w:hAnsi="Arial"/>
                <w:sz w:val="16"/>
                <w:szCs w:val="16"/>
                <w:u w:val="single" w:color="auto"/>
                <w:color w:val="0000FF"/>
              </w:rPr>
            </w:pPr>
            <w:hyperlink r:id="rId240">
              <w:r>
                <w:rPr>
                  <w:rFonts w:ascii="Arial" w:cs="Arial" w:eastAsia="Arial" w:hAnsi="Arial"/>
                  <w:sz w:val="16"/>
                  <w:szCs w:val="16"/>
                  <w:u w:val="single" w:color="auto"/>
                  <w:color w:val="0000FF"/>
                </w:rPr>
                <w:t>Notes due 2023</w:t>
              </w:r>
            </w:hyperlink>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gridSpan w:val="3"/>
          </w:tcPr>
          <w:p>
            <w:pPr>
              <w:ind w:left="200"/>
              <w:spacing w:after="0"/>
              <w:rPr>
                <w:sz w:val="20"/>
                <w:szCs w:val="20"/>
                <w:color w:val="auto"/>
              </w:rPr>
            </w:pPr>
            <w:r>
              <w:rPr>
                <w:rFonts w:ascii="Arial" w:cs="Arial" w:eastAsia="Arial" w:hAnsi="Arial"/>
                <w:sz w:val="16"/>
                <w:szCs w:val="16"/>
                <w:color w:val="auto"/>
                <w:w w:val="98"/>
              </w:rPr>
              <w:t>5)</w:t>
            </w:r>
          </w:p>
        </w:tc>
        <w:tc>
          <w:tcPr>
            <w:tcW w:w="520" w:type="dxa"/>
            <w:vAlign w:val="bottom"/>
          </w:tcPr>
          <w:p>
            <w:pPr>
              <w:spacing w:after="0"/>
              <w:rPr>
                <w:rFonts w:ascii="Arial" w:cs="Arial" w:eastAsia="Arial" w:hAnsi="Arial"/>
                <w:sz w:val="16"/>
                <w:szCs w:val="16"/>
                <w:u w:val="single" w:color="auto"/>
                <w:color w:val="0000FF"/>
                <w:w w:val="92"/>
              </w:rPr>
            </w:pPr>
            <w:hyperlink r:id="rId242">
              <w:r>
                <w:rPr>
                  <w:rFonts w:ascii="Arial" w:cs="Arial" w:eastAsia="Arial" w:hAnsi="Arial"/>
                  <w:sz w:val="16"/>
                  <w:szCs w:val="16"/>
                  <w:u w:val="single" w:color="auto"/>
                  <w:color w:val="0000FF"/>
                  <w:w w:val="92"/>
                </w:rPr>
                <w:t>2.050%</w:t>
              </w:r>
            </w:hyperlink>
          </w:p>
        </w:tc>
        <w:tc>
          <w:tcPr>
            <w:tcW w:w="9100" w:type="dxa"/>
            <w:vAlign w:val="bottom"/>
            <w:gridSpan w:val="9"/>
          </w:tcPr>
          <w:p>
            <w:pPr>
              <w:ind w:left="20"/>
              <w:spacing w:after="0"/>
              <w:rPr>
                <w:rFonts w:ascii="Arial" w:cs="Arial" w:eastAsia="Arial" w:hAnsi="Arial"/>
                <w:sz w:val="16"/>
                <w:szCs w:val="16"/>
                <w:u w:val="single" w:color="auto"/>
                <w:color w:val="0000FF"/>
              </w:rPr>
            </w:pPr>
            <w:hyperlink r:id="rId242">
              <w:r>
                <w:rPr>
                  <w:rFonts w:ascii="Arial" w:cs="Arial" w:eastAsia="Arial" w:hAnsi="Arial"/>
                  <w:sz w:val="16"/>
                  <w:szCs w:val="16"/>
                  <w:u w:val="single" w:color="auto"/>
                  <w:color w:val="0000FF"/>
                </w:rPr>
                <w:t>Notes due 2024</w:t>
              </w:r>
            </w:hyperlink>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gridSpan w:val="3"/>
          </w:tcPr>
          <w:p>
            <w:pPr>
              <w:ind w:left="200"/>
              <w:spacing w:after="0" w:line="178" w:lineRule="exact"/>
              <w:rPr>
                <w:sz w:val="20"/>
                <w:szCs w:val="20"/>
                <w:color w:val="auto"/>
              </w:rPr>
            </w:pPr>
            <w:r>
              <w:rPr>
                <w:rFonts w:ascii="Arial" w:cs="Arial" w:eastAsia="Arial" w:hAnsi="Arial"/>
                <w:sz w:val="16"/>
                <w:szCs w:val="16"/>
                <w:color w:val="auto"/>
                <w:w w:val="98"/>
              </w:rPr>
              <w:t>6)</w:t>
            </w:r>
          </w:p>
        </w:tc>
        <w:tc>
          <w:tcPr>
            <w:tcW w:w="520" w:type="dxa"/>
            <w:vAlign w:val="bottom"/>
          </w:tcPr>
          <w:p>
            <w:pPr>
              <w:spacing w:after="0" w:line="178" w:lineRule="exact"/>
              <w:rPr>
                <w:rFonts w:ascii="Arial" w:cs="Arial" w:eastAsia="Arial" w:hAnsi="Arial"/>
                <w:sz w:val="16"/>
                <w:szCs w:val="16"/>
                <w:color w:val="0000FF"/>
                <w:w w:val="92"/>
              </w:rPr>
            </w:pPr>
            <w:hyperlink r:id="rId243">
              <w:r>
                <w:rPr>
                  <w:rFonts w:ascii="Arial" w:cs="Arial" w:eastAsia="Arial" w:hAnsi="Arial"/>
                  <w:sz w:val="16"/>
                  <w:szCs w:val="16"/>
                  <w:color w:val="0000FF"/>
                  <w:w w:val="92"/>
                </w:rPr>
                <w:t>0.900%</w:t>
              </w:r>
            </w:hyperlink>
          </w:p>
        </w:tc>
        <w:tc>
          <w:tcPr>
            <w:tcW w:w="9100" w:type="dxa"/>
            <w:vAlign w:val="bottom"/>
            <w:gridSpan w:val="9"/>
          </w:tcPr>
          <w:p>
            <w:pPr>
              <w:ind w:left="20"/>
              <w:spacing w:after="0" w:line="178" w:lineRule="exact"/>
              <w:rPr>
                <w:rFonts w:ascii="Arial" w:cs="Arial" w:eastAsia="Arial" w:hAnsi="Arial"/>
                <w:sz w:val="16"/>
                <w:szCs w:val="16"/>
                <w:color w:val="0000FF"/>
              </w:rPr>
            </w:pPr>
            <w:hyperlink r:id="rId244">
              <w:r>
                <w:rPr>
                  <w:rFonts w:ascii="Arial" w:cs="Arial" w:eastAsia="Arial" w:hAnsi="Arial"/>
                  <w:sz w:val="16"/>
                  <w:szCs w:val="16"/>
                  <w:color w:val="0000FF"/>
                </w:rPr>
                <w:t>Notes due 2025</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gridSpan w:val="3"/>
          </w:tcPr>
          <w:p>
            <w:pPr>
              <w:ind w:left="200"/>
              <w:spacing w:after="0"/>
              <w:rPr>
                <w:sz w:val="20"/>
                <w:szCs w:val="20"/>
                <w:color w:val="auto"/>
              </w:rPr>
            </w:pPr>
            <w:r>
              <w:rPr>
                <w:rFonts w:ascii="Arial" w:cs="Arial" w:eastAsia="Arial" w:hAnsi="Arial"/>
                <w:sz w:val="16"/>
                <w:szCs w:val="16"/>
                <w:color w:val="auto"/>
                <w:w w:val="98"/>
              </w:rPr>
              <w:t>7)</w:t>
            </w:r>
          </w:p>
        </w:tc>
        <w:tc>
          <w:tcPr>
            <w:tcW w:w="520" w:type="dxa"/>
            <w:vAlign w:val="bottom"/>
          </w:tcPr>
          <w:p>
            <w:pPr>
              <w:spacing w:after="0"/>
              <w:rPr>
                <w:rFonts w:ascii="Arial" w:cs="Arial" w:eastAsia="Arial" w:hAnsi="Arial"/>
                <w:sz w:val="16"/>
                <w:szCs w:val="16"/>
                <w:u w:val="single" w:color="auto"/>
                <w:color w:val="0000FF"/>
                <w:w w:val="92"/>
              </w:rPr>
            </w:pPr>
            <w:hyperlink r:id="rId245">
              <w:r>
                <w:rPr>
                  <w:rFonts w:ascii="Arial" w:cs="Arial" w:eastAsia="Arial" w:hAnsi="Arial"/>
                  <w:sz w:val="16"/>
                  <w:szCs w:val="16"/>
                  <w:u w:val="single" w:color="auto"/>
                  <w:color w:val="0000FF"/>
                  <w:w w:val="92"/>
                </w:rPr>
                <w:t>3.200%</w:t>
              </w:r>
            </w:hyperlink>
          </w:p>
        </w:tc>
        <w:tc>
          <w:tcPr>
            <w:tcW w:w="9100" w:type="dxa"/>
            <w:vAlign w:val="bottom"/>
            <w:gridSpan w:val="9"/>
          </w:tcPr>
          <w:p>
            <w:pPr>
              <w:ind w:left="20"/>
              <w:spacing w:after="0"/>
              <w:rPr>
                <w:rFonts w:ascii="Arial" w:cs="Arial" w:eastAsia="Arial" w:hAnsi="Arial"/>
                <w:sz w:val="16"/>
                <w:szCs w:val="16"/>
                <w:u w:val="single" w:color="auto"/>
                <w:color w:val="0000FF"/>
              </w:rPr>
            </w:pPr>
            <w:hyperlink r:id="rId245">
              <w:r>
                <w:rPr>
                  <w:rFonts w:ascii="Arial" w:cs="Arial" w:eastAsia="Arial" w:hAnsi="Arial"/>
                  <w:sz w:val="16"/>
                  <w:szCs w:val="16"/>
                  <w:u w:val="single" w:color="auto"/>
                  <w:color w:val="0000FF"/>
                </w:rPr>
                <w:t>Notes due 2025</w:t>
              </w:r>
            </w:hyperlink>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gridSpan w:val="3"/>
          </w:tcPr>
          <w:p>
            <w:pPr>
              <w:ind w:left="200"/>
              <w:spacing w:after="0"/>
              <w:rPr>
                <w:sz w:val="20"/>
                <w:szCs w:val="20"/>
                <w:color w:val="auto"/>
              </w:rPr>
            </w:pPr>
            <w:r>
              <w:rPr>
                <w:rFonts w:ascii="Arial" w:cs="Arial" w:eastAsia="Arial" w:hAnsi="Arial"/>
                <w:sz w:val="16"/>
                <w:szCs w:val="16"/>
                <w:color w:val="auto"/>
                <w:w w:val="98"/>
              </w:rPr>
              <w:t>8)</w:t>
            </w:r>
          </w:p>
        </w:tc>
        <w:tc>
          <w:tcPr>
            <w:tcW w:w="520" w:type="dxa"/>
            <w:vAlign w:val="bottom"/>
          </w:tcPr>
          <w:p>
            <w:pPr>
              <w:spacing w:after="0"/>
              <w:rPr>
                <w:rFonts w:ascii="Arial" w:cs="Arial" w:eastAsia="Arial" w:hAnsi="Arial"/>
                <w:sz w:val="16"/>
                <w:szCs w:val="16"/>
                <w:u w:val="single" w:color="auto"/>
                <w:color w:val="0000FF"/>
                <w:w w:val="92"/>
              </w:rPr>
            </w:pPr>
            <w:hyperlink r:id="rId246">
              <w:r>
                <w:rPr>
                  <w:rFonts w:ascii="Arial" w:cs="Arial" w:eastAsia="Arial" w:hAnsi="Arial"/>
                  <w:sz w:val="16"/>
                  <w:szCs w:val="16"/>
                  <w:u w:val="single" w:color="auto"/>
                  <w:color w:val="0000FF"/>
                  <w:w w:val="92"/>
                </w:rPr>
                <w:t>2.300%</w:t>
              </w:r>
            </w:hyperlink>
          </w:p>
        </w:tc>
        <w:tc>
          <w:tcPr>
            <w:tcW w:w="9100" w:type="dxa"/>
            <w:vAlign w:val="bottom"/>
            <w:gridSpan w:val="9"/>
          </w:tcPr>
          <w:p>
            <w:pPr>
              <w:ind w:left="20"/>
              <w:spacing w:after="0"/>
              <w:rPr>
                <w:rFonts w:ascii="Arial" w:cs="Arial" w:eastAsia="Arial" w:hAnsi="Arial"/>
                <w:sz w:val="16"/>
                <w:szCs w:val="16"/>
                <w:u w:val="single" w:color="auto"/>
                <w:color w:val="0000FF"/>
              </w:rPr>
            </w:pPr>
            <w:hyperlink r:id="rId246">
              <w:r>
                <w:rPr>
                  <w:rFonts w:ascii="Arial" w:cs="Arial" w:eastAsia="Arial" w:hAnsi="Arial"/>
                  <w:sz w:val="16"/>
                  <w:szCs w:val="16"/>
                  <w:u w:val="single" w:color="auto"/>
                  <w:color w:val="0000FF"/>
                </w:rPr>
                <w:t>Notes due 2026</w:t>
              </w:r>
            </w:hyperlink>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gridSpan w:val="3"/>
          </w:tcPr>
          <w:p>
            <w:pPr>
              <w:ind w:left="200"/>
              <w:spacing w:after="0" w:line="178" w:lineRule="exact"/>
              <w:rPr>
                <w:sz w:val="20"/>
                <w:szCs w:val="20"/>
                <w:color w:val="auto"/>
              </w:rPr>
            </w:pPr>
            <w:r>
              <w:rPr>
                <w:rFonts w:ascii="Arial" w:cs="Arial" w:eastAsia="Arial" w:hAnsi="Arial"/>
                <w:sz w:val="16"/>
                <w:szCs w:val="16"/>
                <w:color w:val="auto"/>
                <w:w w:val="98"/>
              </w:rPr>
              <w:t>9)</w:t>
            </w:r>
          </w:p>
        </w:tc>
        <w:tc>
          <w:tcPr>
            <w:tcW w:w="520" w:type="dxa"/>
            <w:vAlign w:val="bottom"/>
            <w:tcBorders>
              <w:bottom w:val="single" w:sz="8" w:color="0000FF"/>
            </w:tcBorders>
          </w:tcPr>
          <w:p>
            <w:pPr>
              <w:spacing w:after="0" w:line="178" w:lineRule="exact"/>
              <w:rPr>
                <w:sz w:val="20"/>
                <w:szCs w:val="20"/>
                <w:color w:val="auto"/>
              </w:rPr>
            </w:pPr>
            <w:r>
              <w:rPr>
                <w:rFonts w:ascii="Arial" w:cs="Arial" w:eastAsia="Arial" w:hAnsi="Arial"/>
                <w:sz w:val="16"/>
                <w:szCs w:val="16"/>
                <w:color w:val="0000FF"/>
                <w:w w:val="92"/>
              </w:rPr>
              <w:t>7.200%</w:t>
            </w:r>
          </w:p>
        </w:tc>
        <w:tc>
          <w:tcPr>
            <w:tcW w:w="1380" w:type="dxa"/>
            <w:vAlign w:val="bottom"/>
            <w:tcBorders>
              <w:bottom w:val="single" w:sz="8" w:color="0000FF"/>
            </w:tcBorders>
            <w:gridSpan w:val="2"/>
          </w:tcPr>
          <w:p>
            <w:pPr>
              <w:ind w:left="20"/>
              <w:spacing w:after="0" w:line="178" w:lineRule="exact"/>
              <w:rPr>
                <w:rFonts w:ascii="Arial" w:cs="Arial" w:eastAsia="Arial" w:hAnsi="Arial"/>
                <w:sz w:val="16"/>
                <w:szCs w:val="16"/>
                <w:color w:val="0000FF"/>
                <w:w w:val="87"/>
              </w:rPr>
            </w:pPr>
            <w:hyperlink r:id="rId247">
              <w:r>
                <w:rPr>
                  <w:rFonts w:ascii="Arial" w:cs="Arial" w:eastAsia="Arial" w:hAnsi="Arial"/>
                  <w:sz w:val="16"/>
                  <w:szCs w:val="16"/>
                  <w:color w:val="0000FF"/>
                  <w:w w:val="87"/>
                </w:rPr>
                <w:t>Debentures due 2027</w:t>
              </w:r>
            </w:hyperlink>
          </w:p>
        </w:tc>
        <w:tc>
          <w:tcPr>
            <w:tcW w:w="77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780" w:type="dxa"/>
            <w:vAlign w:val="bottom"/>
            <w:gridSpan w:val="11"/>
          </w:tcPr>
          <w:p>
            <w:pPr>
              <w:spacing w:after="0"/>
              <w:rPr>
                <w:rFonts w:ascii="Arial" w:cs="Arial" w:eastAsia="Arial" w:hAnsi="Arial"/>
                <w:sz w:val="16"/>
                <w:szCs w:val="16"/>
                <w:color w:val="auto"/>
              </w:rPr>
            </w:pPr>
            <w:r>
              <w:rPr>
                <w:rFonts w:ascii="Arial" w:cs="Arial" w:eastAsia="Arial" w:hAnsi="Arial"/>
                <w:sz w:val="16"/>
                <w:szCs w:val="16"/>
                <w:color w:val="auto"/>
              </w:rPr>
              <w:t xml:space="preserve">10) </w:t>
            </w:r>
            <w:hyperlink r:id="rId242">
              <w:r>
                <w:rPr>
                  <w:rFonts w:ascii="Arial" w:cs="Arial" w:eastAsia="Arial" w:hAnsi="Arial"/>
                  <w:sz w:val="16"/>
                  <w:szCs w:val="16"/>
                  <w:u w:val="single" w:color="auto"/>
                  <w:color w:val="0000FF"/>
                </w:rPr>
                <w:t>2.450% Notes due 2029</w:t>
              </w:r>
            </w:hyperlink>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80" w:type="dxa"/>
            <w:vAlign w:val="bottom"/>
            <w:gridSpan w:val="11"/>
          </w:tcPr>
          <w:p>
            <w:pPr>
              <w:spacing w:after="0"/>
              <w:rPr>
                <w:rFonts w:ascii="Arial" w:cs="Arial" w:eastAsia="Arial" w:hAnsi="Arial"/>
                <w:sz w:val="16"/>
                <w:szCs w:val="16"/>
                <w:color w:val="auto"/>
              </w:rPr>
            </w:pPr>
            <w:r>
              <w:rPr>
                <w:rFonts w:ascii="Arial" w:cs="Arial" w:eastAsia="Arial" w:hAnsi="Arial"/>
                <w:sz w:val="16"/>
                <w:szCs w:val="16"/>
                <w:color w:val="auto"/>
              </w:rPr>
              <w:t xml:space="preserve">11) </w:t>
            </w:r>
            <w:hyperlink r:id="rId244">
              <w:r>
                <w:rPr>
                  <w:rFonts w:ascii="Arial" w:cs="Arial" w:eastAsia="Arial" w:hAnsi="Arial"/>
                  <w:sz w:val="16"/>
                  <w:szCs w:val="16"/>
                  <w:u w:val="single" w:color="auto"/>
                  <w:color w:val="0000FF"/>
                </w:rPr>
                <w:t>1.700% Notes due 2030</w:t>
              </w:r>
            </w:hyperlink>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80" w:type="dxa"/>
            <w:vAlign w:val="bottom"/>
            <w:gridSpan w:val="11"/>
          </w:tcPr>
          <w:p>
            <w:pPr>
              <w:spacing w:after="0"/>
              <w:rPr>
                <w:rFonts w:ascii="Arial" w:cs="Arial" w:eastAsia="Arial" w:hAnsi="Arial"/>
                <w:sz w:val="16"/>
                <w:szCs w:val="16"/>
                <w:color w:val="auto"/>
              </w:rPr>
            </w:pPr>
            <w:r>
              <w:rPr>
                <w:rFonts w:ascii="Arial" w:cs="Arial" w:eastAsia="Arial" w:hAnsi="Arial"/>
                <w:sz w:val="16"/>
                <w:szCs w:val="16"/>
                <w:color w:val="auto"/>
              </w:rPr>
              <w:t xml:space="preserve">12) </w:t>
            </w:r>
            <w:hyperlink r:id="rId246">
              <w:r>
                <w:rPr>
                  <w:rFonts w:ascii="Arial" w:cs="Arial" w:eastAsia="Arial" w:hAnsi="Arial"/>
                  <w:sz w:val="16"/>
                  <w:szCs w:val="16"/>
                  <w:u w:val="single" w:color="auto"/>
                  <w:color w:val="0000FF"/>
                </w:rPr>
                <w:t>3.375% Notes due 2046</w:t>
              </w:r>
            </w:hyperlink>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80" w:type="dxa"/>
            <w:vAlign w:val="bottom"/>
            <w:gridSpan w:val="11"/>
          </w:tcPr>
          <w:p>
            <w:pPr>
              <w:spacing w:after="0"/>
              <w:rPr>
                <w:rFonts w:ascii="Arial" w:cs="Arial" w:eastAsia="Arial" w:hAnsi="Arial"/>
                <w:sz w:val="16"/>
                <w:szCs w:val="16"/>
                <w:color w:val="auto"/>
              </w:rPr>
            </w:pPr>
            <w:r>
              <w:rPr>
                <w:rFonts w:ascii="Arial" w:cs="Arial" w:eastAsia="Arial" w:hAnsi="Arial"/>
                <w:sz w:val="16"/>
                <w:szCs w:val="16"/>
                <w:color w:val="auto"/>
              </w:rPr>
              <w:t xml:space="preserve">13) </w:t>
            </w:r>
            <w:hyperlink r:id="rId242">
              <w:r>
                <w:rPr>
                  <w:rFonts w:ascii="Arial" w:cs="Arial" w:eastAsia="Arial" w:hAnsi="Arial"/>
                  <w:sz w:val="16"/>
                  <w:szCs w:val="16"/>
                  <w:u w:val="single" w:color="auto"/>
                  <w:color w:val="0000FF"/>
                </w:rPr>
                <w:t>3.125% Notes due 2049</w:t>
              </w:r>
            </w:hyperlink>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80" w:type="dxa"/>
            <w:vAlign w:val="bottom"/>
            <w:gridSpan w:val="11"/>
          </w:tcPr>
          <w:p>
            <w:pPr>
              <w:spacing w:after="0"/>
              <w:rPr>
                <w:rFonts w:ascii="Arial" w:cs="Arial" w:eastAsia="Arial" w:hAnsi="Arial"/>
                <w:sz w:val="16"/>
                <w:szCs w:val="16"/>
                <w:color w:val="auto"/>
              </w:rPr>
            </w:pPr>
            <w:r>
              <w:rPr>
                <w:rFonts w:ascii="Arial" w:cs="Arial" w:eastAsia="Arial" w:hAnsi="Arial"/>
                <w:sz w:val="16"/>
                <w:szCs w:val="16"/>
                <w:color w:val="auto"/>
              </w:rPr>
              <w:t xml:space="preserve">14) </w:t>
            </w:r>
            <w:hyperlink r:id="rId244">
              <w:r>
                <w:rPr>
                  <w:rFonts w:ascii="Arial" w:cs="Arial" w:eastAsia="Arial" w:hAnsi="Arial"/>
                  <w:sz w:val="16"/>
                  <w:szCs w:val="16"/>
                  <w:u w:val="single" w:color="auto"/>
                  <w:color w:val="0000FF"/>
                </w:rPr>
                <w:t>2.650% Notes due 2050</w:t>
              </w:r>
            </w:hyperlink>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80" w:type="dxa"/>
            <w:vAlign w:val="bottom"/>
            <w:gridSpan w:val="11"/>
          </w:tcPr>
          <w:p>
            <w:pPr>
              <w:spacing w:after="0"/>
              <w:rPr>
                <w:sz w:val="20"/>
                <w:szCs w:val="20"/>
                <w:color w:val="auto"/>
              </w:rPr>
            </w:pPr>
            <w:r>
              <w:rPr>
                <w:rFonts w:ascii="Arial" w:cs="Arial" w:eastAsia="Arial" w:hAnsi="Arial"/>
                <w:sz w:val="16"/>
                <w:szCs w:val="16"/>
                <w:color w:val="auto"/>
              </w:rPr>
              <w:t>15) Other Obligations</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980" w:type="dxa"/>
            <w:vAlign w:val="bottom"/>
            <w:gridSpan w:val="13"/>
          </w:tcPr>
          <w:p>
            <w:pPr>
              <w:ind w:left="40"/>
              <w:spacing w:after="0"/>
              <w:rPr>
                <w:sz w:val="20"/>
                <w:szCs w:val="20"/>
                <w:color w:val="auto"/>
              </w:rPr>
            </w:pPr>
            <w:r>
              <w:rPr>
                <w:rFonts w:ascii="Arial" w:cs="Arial" w:eastAsia="Arial" w:hAnsi="Arial"/>
                <w:sz w:val="16"/>
                <w:szCs w:val="16"/>
                <w:color w:val="auto"/>
                <w:w w:val="93"/>
              </w:rPr>
              <w:t>The Company undertakes to furnish copies of the agreements governing these debt instruments to the Securities and Exchange Commission upon its</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6"/>
                <w:szCs w:val="16"/>
                <w:color w:val="auto"/>
              </w:rPr>
              <w:t>request.</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jc w:val="center"/>
              <w:spacing w:after="0"/>
              <w:rPr>
                <w:rFonts w:ascii="Arial" w:cs="Arial" w:eastAsia="Arial" w:hAnsi="Arial"/>
                <w:sz w:val="16"/>
                <w:szCs w:val="16"/>
                <w:u w:val="single" w:color="auto"/>
                <w:color w:val="0000FF"/>
                <w:w w:val="89"/>
              </w:rPr>
            </w:pPr>
            <w:hyperlink w:anchor="page111">
              <w:r>
                <w:rPr>
                  <w:rFonts w:ascii="Arial" w:cs="Arial" w:eastAsia="Arial" w:hAnsi="Arial"/>
                  <w:sz w:val="16"/>
                  <w:szCs w:val="16"/>
                  <w:u w:val="single" w:color="auto"/>
                  <w:color w:val="0000FF"/>
                  <w:w w:val="89"/>
                </w:rPr>
                <w:t>4.2</w:t>
              </w:r>
            </w:hyperlink>
          </w:p>
        </w:tc>
        <w:tc>
          <w:tcPr>
            <w:tcW w:w="9980" w:type="dxa"/>
            <w:vAlign w:val="bottom"/>
            <w:gridSpan w:val="13"/>
          </w:tcPr>
          <w:p>
            <w:pPr>
              <w:ind w:left="40"/>
              <w:spacing w:after="0"/>
              <w:rPr>
                <w:rFonts w:ascii="Arial" w:cs="Arial" w:eastAsia="Arial" w:hAnsi="Arial"/>
                <w:sz w:val="16"/>
                <w:szCs w:val="16"/>
                <w:color w:val="0000FF"/>
              </w:rPr>
            </w:pPr>
            <w:hyperlink w:anchor="page111">
              <w:r>
                <w:rPr>
                  <w:rFonts w:ascii="Arial" w:cs="Arial" w:eastAsia="Arial" w:hAnsi="Arial"/>
                  <w:sz w:val="16"/>
                  <w:szCs w:val="16"/>
                  <w:u w:val="single" w:color="auto"/>
                  <w:color w:val="0000FF"/>
                </w:rPr>
                <w:t>The Company's Description of Common Stock and</w:t>
              </w:r>
              <w:r>
                <w:rPr>
                  <w:rFonts w:ascii="Arial" w:cs="Arial" w:eastAsia="Arial" w:hAnsi="Arial"/>
                  <w:sz w:val="16"/>
                  <w:szCs w:val="16"/>
                  <w:color w:val="0000FF"/>
                </w:rPr>
                <w:t xml:space="preserve"> Class B Common Stock </w:t>
              </w:r>
              <w:r>
                <w:rPr>
                  <w:rFonts w:ascii="Arial" w:cs="Arial" w:eastAsia="Arial" w:hAnsi="Arial"/>
                  <w:sz w:val="16"/>
                  <w:szCs w:val="16"/>
                  <w:u w:val="single" w:color="auto"/>
                  <w:color w:val="0000FF"/>
                </w:rPr>
                <w:t>registered under Section 12 of the Exchange Act.</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6973570</wp:posOffset>
            </wp:positionH>
            <wp:positionV relativeFrom="paragraph">
              <wp:posOffset>508000</wp:posOffset>
            </wp:positionV>
            <wp:extent cx="194945" cy="169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
        <w:spacing w:after="0"/>
        <w:tabs>
          <w:tab w:leader="none" w:pos="39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194310</wp:posOffset>
            </wp:positionV>
            <wp:extent cx="713422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260" w:top="1240" w:right="499" w:bottom="1440" w:gutter="0" w:footer="0" w:header="0"/>
        </w:sectPr>
      </w:pPr>
    </w:p>
    <w:bookmarkStart w:id="105" w:name="page106"/>
    <w:bookmarkEnd w:id="105"/>
    <w:p>
      <w:pPr>
        <w:spacing w:after="0" w:line="23" w:lineRule="exact"/>
        <w:rPr>
          <w:sz w:val="20"/>
          <w:szCs w:val="20"/>
          <w:color w:val="auto"/>
        </w:rPr>
      </w:pPr>
    </w:p>
    <w:p>
      <w:pPr>
        <w:ind w:left="1120" w:right="700" w:hanging="1012"/>
        <w:spacing w:after="0" w:line="287" w:lineRule="auto"/>
        <w:tabs>
          <w:tab w:leader="none" w:pos="1100" w:val="left"/>
        </w:tabs>
        <w:rPr>
          <w:sz w:val="20"/>
          <w:szCs w:val="20"/>
          <w:color w:val="auto"/>
        </w:rPr>
      </w:pPr>
      <w:r>
        <w:rPr>
          <w:rFonts w:ascii="Arial" w:cs="Arial" w:eastAsia="Arial" w:hAnsi="Arial"/>
          <w:sz w:val="16"/>
          <w:szCs w:val="16"/>
          <w:color w:val="auto"/>
        </w:rPr>
        <w:t>10.1(a)</w:t>
      </w:r>
      <w:r>
        <w:rPr>
          <w:sz w:val="20"/>
          <w:szCs w:val="20"/>
          <w:color w:val="auto"/>
        </w:rPr>
        <w:tab/>
      </w:r>
      <w:r>
        <w:rPr>
          <w:rFonts w:ascii="Arial" w:cs="Arial" w:eastAsia="Arial" w:hAnsi="Arial"/>
          <w:sz w:val="14"/>
          <w:szCs w:val="14"/>
          <w:i w:val="1"/>
          <w:iCs w:val="1"/>
          <w:color w:val="auto"/>
        </w:rPr>
        <w:t xml:space="preserve">Kit Kat® </w:t>
      </w:r>
      <w:r>
        <w:rPr>
          <w:rFonts w:ascii="Arial" w:cs="Arial" w:eastAsia="Arial" w:hAnsi="Arial"/>
          <w:sz w:val="14"/>
          <w:szCs w:val="14"/>
          <w:color w:val="auto"/>
        </w:rPr>
        <w:t>and</w:t>
      </w:r>
      <w:r>
        <w:rPr>
          <w:rFonts w:ascii="Arial" w:cs="Arial" w:eastAsia="Arial" w:hAnsi="Arial"/>
          <w:sz w:val="14"/>
          <w:szCs w:val="14"/>
          <w:i w:val="1"/>
          <w:iCs w:val="1"/>
          <w:color w:val="auto"/>
        </w:rPr>
        <w:t xml:space="preserve"> Rolo® </w:t>
      </w:r>
      <w:r>
        <w:rPr>
          <w:rFonts w:ascii="Arial" w:cs="Arial" w:eastAsia="Arial" w:hAnsi="Arial"/>
          <w:sz w:val="14"/>
          <w:szCs w:val="14"/>
          <w:color w:val="auto"/>
        </w:rPr>
        <w:t>License Agreement (the “License Agreement”) between the Company and Rowntree Mackintosh Confectionery Limited is</w:t>
      </w:r>
      <w:r>
        <w:rPr>
          <w:rFonts w:ascii="Arial" w:cs="Arial" w:eastAsia="Arial" w:hAnsi="Arial"/>
          <w:sz w:val="14"/>
          <w:szCs w:val="14"/>
          <w:i w:val="1"/>
          <w:iCs w:val="1"/>
          <w:color w:val="auto"/>
        </w:rPr>
        <w:t xml:space="preserve"> </w:t>
      </w:r>
      <w:r>
        <w:rPr>
          <w:rFonts w:ascii="Arial" w:cs="Arial" w:eastAsia="Arial" w:hAnsi="Arial"/>
          <w:sz w:val="14"/>
          <w:szCs w:val="14"/>
          <w:color w:val="auto"/>
        </w:rPr>
        <w:t>incorporated by reference from Exhibit 10(a) to the Company’s Annual Report on Form 10-K for the fiscal year ended December 31, 1980.</w:t>
      </w:r>
      <w:r>
        <w:rPr>
          <w:rFonts w:ascii="Arial" w:cs="Arial" w:eastAsia="Arial" w:hAnsi="Arial"/>
          <w:sz w:val="18"/>
          <w:szCs w:val="18"/>
          <w:color w:val="auto"/>
          <w:vertAlign w:val="superscript"/>
        </w:rPr>
        <w:t>#</w:t>
      </w:r>
    </w:p>
    <w:p>
      <w:pPr>
        <w:ind w:left="1120" w:right="360" w:hanging="1016"/>
        <w:spacing w:after="0" w:line="247" w:lineRule="auto"/>
        <w:tabs>
          <w:tab w:leader="none" w:pos="1100" w:val="left"/>
        </w:tabs>
        <w:rPr>
          <w:sz w:val="20"/>
          <w:szCs w:val="20"/>
          <w:color w:val="auto"/>
        </w:rPr>
      </w:pPr>
      <w:r>
        <w:rPr>
          <w:rFonts w:ascii="Arial" w:cs="Arial" w:eastAsia="Arial" w:hAnsi="Arial"/>
          <w:sz w:val="16"/>
          <w:szCs w:val="16"/>
          <w:color w:val="auto"/>
        </w:rPr>
        <w:t>10.1(b)</w:t>
      </w:r>
      <w:r>
        <w:rPr>
          <w:sz w:val="20"/>
          <w:szCs w:val="20"/>
          <w:color w:val="auto"/>
        </w:rPr>
        <w:tab/>
      </w:r>
      <w:r>
        <w:rPr>
          <w:rFonts w:ascii="Arial" w:cs="Arial" w:eastAsia="Arial" w:hAnsi="Arial"/>
          <w:sz w:val="16"/>
          <w:szCs w:val="16"/>
          <w:color w:val="auto"/>
        </w:rPr>
        <w:t>Amendment to the License Agreement is incorporated by reference from Exhibit 19 to the Company’s Quarterly Report on Form 10-Q for the quarter ended July 3, 1988.</w:t>
      </w:r>
      <w:r>
        <w:rPr>
          <w:rFonts w:ascii="Arial" w:cs="Arial" w:eastAsia="Arial" w:hAnsi="Arial"/>
          <w:sz w:val="20"/>
          <w:szCs w:val="20"/>
          <w:color w:val="auto"/>
          <w:vertAlign w:val="superscript"/>
        </w:rPr>
        <w:t>#</w:t>
      </w:r>
    </w:p>
    <w:p>
      <w:pPr>
        <w:ind w:left="1120" w:right="560" w:hanging="1012"/>
        <w:spacing w:after="0" w:line="278" w:lineRule="auto"/>
        <w:tabs>
          <w:tab w:leader="none" w:pos="1100" w:val="left"/>
        </w:tabs>
        <w:rPr>
          <w:sz w:val="20"/>
          <w:szCs w:val="20"/>
          <w:color w:val="auto"/>
        </w:rPr>
      </w:pPr>
      <w:r>
        <w:rPr>
          <w:rFonts w:ascii="Arial" w:cs="Arial" w:eastAsia="Arial" w:hAnsi="Arial"/>
          <w:sz w:val="16"/>
          <w:szCs w:val="16"/>
          <w:color w:val="auto"/>
        </w:rPr>
        <w:t>10.1(c)</w:t>
      </w:r>
      <w:r>
        <w:rPr>
          <w:sz w:val="20"/>
          <w:szCs w:val="20"/>
          <w:color w:val="auto"/>
        </w:rPr>
        <w:tab/>
      </w:r>
      <w:r>
        <w:rPr>
          <w:rFonts w:ascii="Arial" w:cs="Arial" w:eastAsia="Arial" w:hAnsi="Arial"/>
          <w:sz w:val="14"/>
          <w:szCs w:val="14"/>
          <w:color w:val="auto"/>
        </w:rPr>
        <w:t>Assignment of the License Agreement by Rowntree Mackintosh Confectionery Limited to Société des Produits Nestlé SA as of January 1, 1990 is incorporated by reference from Exhibit 19 to the Company’s Annual Report on Form 10-K for the fiscal year ended December 31, 1990.</w:t>
      </w:r>
      <w:r>
        <w:rPr>
          <w:rFonts w:ascii="Arial" w:cs="Arial" w:eastAsia="Arial" w:hAnsi="Arial"/>
          <w:sz w:val="18"/>
          <w:szCs w:val="18"/>
          <w:color w:val="auto"/>
          <w:vertAlign w:val="superscript"/>
        </w:rPr>
        <w:t>#</w:t>
      </w:r>
    </w:p>
    <w:p>
      <w:pPr>
        <w:jc w:val="both"/>
        <w:ind w:left="1120" w:right="240" w:hanging="923"/>
        <w:spacing w:after="0" w:line="246" w:lineRule="auto"/>
        <w:tabs>
          <w:tab w:leader="none" w:pos="110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i w:val="1"/>
          <w:iCs w:val="1"/>
          <w:color w:val="auto"/>
        </w:rPr>
        <w:t xml:space="preserve">Peter Paul/York </w:t>
      </w:r>
      <w:r>
        <w:rPr>
          <w:rFonts w:ascii="Arial" w:cs="Arial" w:eastAsia="Arial" w:hAnsi="Arial"/>
          <w:sz w:val="16"/>
          <w:szCs w:val="16"/>
          <w:color w:val="auto"/>
        </w:rPr>
        <w:t>Domestic Trademark &amp; Technology License Agreement between the Company and Cadbury Schweppes Inc. (now Kraft Foods Ireland</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Limited) dated August 25, 1988, is incorporated by reference from Exhibit 2(a) to the Company’s Current Report on Form 8-K dated September 8, 1988.</w:t>
      </w:r>
      <w:r>
        <w:rPr>
          <w:rFonts w:ascii="Arial" w:cs="Arial" w:eastAsia="Arial" w:hAnsi="Arial"/>
          <w:sz w:val="20"/>
          <w:szCs w:val="20"/>
          <w:color w:val="auto"/>
          <w:vertAlign w:val="superscript"/>
        </w:rPr>
        <w:t>#</w:t>
      </w:r>
    </w:p>
    <w:p>
      <w:pPr>
        <w:ind w:left="1120" w:hanging="923"/>
        <w:spacing w:after="0" w:line="247" w:lineRule="auto"/>
        <w:tabs>
          <w:tab w:leader="none" w:pos="110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i w:val="1"/>
          <w:iCs w:val="1"/>
          <w:color w:val="auto"/>
        </w:rPr>
        <w:t xml:space="preserve">Cadbury </w:t>
      </w:r>
      <w:r>
        <w:rPr>
          <w:rFonts w:ascii="Arial" w:cs="Arial" w:eastAsia="Arial" w:hAnsi="Arial"/>
          <w:sz w:val="16"/>
          <w:szCs w:val="16"/>
          <w:color w:val="auto"/>
        </w:rPr>
        <w:t>Trademark &amp; Technology License Agreement between the Company and Cadbury Limited (now Cadbury UK Limited) dated August 25, 1988, is</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by reference from Exhibit 2(a) to the Company’s Current Report on Form 8-K dated September 8, 1988.</w:t>
      </w:r>
      <w:r>
        <w:rPr>
          <w:rFonts w:ascii="Arial" w:cs="Arial" w:eastAsia="Arial" w:hAnsi="Arial"/>
          <w:sz w:val="20"/>
          <w:szCs w:val="20"/>
          <w:color w:val="auto"/>
          <w:vertAlign w:val="superscript"/>
        </w:rPr>
        <w:t>#</w:t>
      </w:r>
    </w:p>
    <w:p>
      <w:pPr>
        <w:ind w:left="1120" w:right="520" w:hanging="1012"/>
        <w:spacing w:after="0" w:line="286" w:lineRule="auto"/>
        <w:tabs>
          <w:tab w:leader="none" w:pos="1100" w:val="left"/>
        </w:tabs>
        <w:rPr>
          <w:rFonts w:ascii="Arial" w:cs="Arial" w:eastAsia="Arial" w:hAnsi="Arial"/>
          <w:sz w:val="15"/>
          <w:szCs w:val="15"/>
          <w:u w:val="single" w:color="auto"/>
          <w:color w:val="0000FF"/>
        </w:rPr>
      </w:pPr>
      <w:hyperlink r:id="rId250">
        <w:r>
          <w:rPr>
            <w:rFonts w:ascii="Arial" w:cs="Arial" w:eastAsia="Arial" w:hAnsi="Arial"/>
            <w:sz w:val="16"/>
            <w:szCs w:val="16"/>
            <w:u w:val="single" w:color="auto"/>
            <w:color w:val="0000FF"/>
          </w:rPr>
          <w:t>10.4(a)</w:t>
        </w:r>
      </w:hyperlink>
      <w:r>
        <w:rPr>
          <w:rFonts w:ascii="Arial" w:cs="Arial" w:eastAsia="Arial" w:hAnsi="Arial"/>
          <w:sz w:val="16"/>
          <w:szCs w:val="16"/>
          <w:u w:val="single" w:color="auto"/>
          <w:color w:val="0000FF"/>
        </w:rPr>
        <w:tab/>
      </w:r>
      <w:hyperlink r:id="rId250">
        <w:r>
          <w:rPr>
            <w:rFonts w:ascii="Arial" w:cs="Arial" w:eastAsia="Arial" w:hAnsi="Arial"/>
            <w:sz w:val="15"/>
            <w:szCs w:val="15"/>
            <w:u w:val="single" w:color="auto"/>
            <w:color w:val="0000FF"/>
          </w:rPr>
          <w:t>Trademark and Technology License Agreement between Huhtamäki (now Iconic IP Interests, LLC) and the Company dated December 30, 1996, is</w:t>
        </w:r>
      </w:hyperlink>
      <w:r>
        <w:rPr>
          <w:rFonts w:ascii="Arial" w:cs="Arial" w:eastAsia="Arial" w:hAnsi="Arial"/>
          <w:sz w:val="15"/>
          <w:szCs w:val="15"/>
          <w:u w:val="single" w:color="auto"/>
          <w:color w:val="0000FF"/>
        </w:rPr>
        <w:t xml:space="preserve"> </w:t>
      </w:r>
      <w:hyperlink r:id="rId250">
        <w:r>
          <w:rPr>
            <w:rFonts w:ascii="Arial" w:cs="Arial" w:eastAsia="Arial" w:hAnsi="Arial"/>
            <w:sz w:val="15"/>
            <w:szCs w:val="15"/>
            <w:u w:val="single" w:color="auto"/>
            <w:color w:val="0000FF"/>
          </w:rPr>
          <w:t>incorporated by reference from Exhibit 10 to the Company’s Current Report on Form 8-K filed February 26, 1997.</w:t>
        </w:r>
      </w:hyperlink>
    </w:p>
    <w:p>
      <w:pPr>
        <w:spacing w:after="0" w:line="1" w:lineRule="exact"/>
        <w:rPr>
          <w:rFonts w:ascii="Arial" w:cs="Arial" w:eastAsia="Arial" w:hAnsi="Arial"/>
          <w:sz w:val="16"/>
          <w:szCs w:val="16"/>
          <w:u w:val="single" w:color="auto"/>
          <w:color w:val="0000FF"/>
        </w:rPr>
      </w:pPr>
    </w:p>
    <w:p>
      <w:pPr>
        <w:ind w:left="1120" w:right="720" w:hanging="1016"/>
        <w:spacing w:after="0" w:line="317" w:lineRule="auto"/>
        <w:tabs>
          <w:tab w:leader="none" w:pos="1100" w:val="left"/>
        </w:tabs>
        <w:rPr>
          <w:rFonts w:ascii="Arial" w:cs="Arial" w:eastAsia="Arial" w:hAnsi="Arial"/>
          <w:sz w:val="14"/>
          <w:szCs w:val="14"/>
          <w:u w:val="single" w:color="auto"/>
          <w:color w:val="0000FF"/>
        </w:rPr>
      </w:pPr>
      <w:hyperlink r:id="rId251">
        <w:r>
          <w:rPr>
            <w:rFonts w:ascii="Arial" w:cs="Arial" w:eastAsia="Arial" w:hAnsi="Arial"/>
            <w:sz w:val="16"/>
            <w:szCs w:val="16"/>
            <w:u w:val="single" w:color="auto"/>
            <w:color w:val="0000FF"/>
          </w:rPr>
          <w:t>10.4(b)</w:t>
        </w:r>
      </w:hyperlink>
      <w:r>
        <w:rPr>
          <w:rFonts w:ascii="Arial" w:cs="Arial" w:eastAsia="Arial" w:hAnsi="Arial"/>
          <w:sz w:val="16"/>
          <w:szCs w:val="16"/>
          <w:u w:val="single" w:color="auto"/>
          <w:color w:val="0000FF"/>
        </w:rPr>
        <w:tab/>
      </w:r>
      <w:hyperlink r:id="rId251">
        <w:r>
          <w:rPr>
            <w:rFonts w:ascii="Arial" w:cs="Arial" w:eastAsia="Arial" w:hAnsi="Arial"/>
            <w:sz w:val="14"/>
            <w:szCs w:val="14"/>
            <w:u w:val="single" w:color="auto"/>
            <w:color w:val="0000FF"/>
          </w:rPr>
          <w:t>Amended and Restated Trademark and Technology License Agreement between Huhtamäki (now Iconic IP Interests, LLC) and the Company is</w:t>
        </w:r>
      </w:hyperlink>
      <w:r>
        <w:rPr>
          <w:rFonts w:ascii="Arial" w:cs="Arial" w:eastAsia="Arial" w:hAnsi="Arial"/>
          <w:sz w:val="14"/>
          <w:szCs w:val="14"/>
          <w:u w:val="single" w:color="auto"/>
          <w:color w:val="0000FF"/>
        </w:rPr>
        <w:t xml:space="preserve"> </w:t>
      </w:r>
      <w:hyperlink r:id="rId251">
        <w:r>
          <w:rPr>
            <w:rFonts w:ascii="Arial" w:cs="Arial" w:eastAsia="Arial" w:hAnsi="Arial"/>
            <w:sz w:val="14"/>
            <w:szCs w:val="14"/>
            <w:u w:val="single" w:color="auto"/>
            <w:color w:val="0000FF"/>
          </w:rPr>
          <w:t>incorporated by reference from Exhibit 10.2 to the Company’s Annual Report on Form 10-K for the fiscal year ended December 31, 1999.</w:t>
        </w:r>
      </w:hyperlink>
    </w:p>
    <w:p>
      <w:pPr>
        <w:spacing w:after="0" w:line="1" w:lineRule="exact"/>
        <w:rPr>
          <w:rFonts w:ascii="Arial" w:cs="Arial" w:eastAsia="Arial" w:hAnsi="Arial"/>
          <w:sz w:val="16"/>
          <w:szCs w:val="16"/>
          <w:u w:val="single" w:color="auto"/>
          <w:color w:val="0000FF"/>
        </w:rPr>
      </w:pPr>
    </w:p>
    <w:p>
      <w:pPr>
        <w:ind w:left="1120" w:right="40" w:hanging="923"/>
        <w:spacing w:after="0" w:line="270" w:lineRule="auto"/>
        <w:tabs>
          <w:tab w:leader="none" w:pos="1100" w:val="left"/>
        </w:tabs>
        <w:rPr>
          <w:rFonts w:ascii="Arial" w:cs="Arial" w:eastAsia="Arial" w:hAnsi="Arial"/>
          <w:sz w:val="15"/>
          <w:szCs w:val="15"/>
          <w:u w:val="single" w:color="auto"/>
          <w:color w:val="0000FF"/>
        </w:rPr>
      </w:pPr>
      <w:hyperlink r:id="rId252">
        <w:r>
          <w:rPr>
            <w:rFonts w:ascii="Arial" w:cs="Arial" w:eastAsia="Arial" w:hAnsi="Arial"/>
            <w:sz w:val="16"/>
            <w:szCs w:val="16"/>
            <w:u w:val="single" w:color="auto"/>
            <w:color w:val="0000FF"/>
          </w:rPr>
          <w:t>10.5</w:t>
        </w:r>
      </w:hyperlink>
      <w:r>
        <w:rPr>
          <w:rFonts w:ascii="Arial" w:cs="Arial" w:eastAsia="Arial" w:hAnsi="Arial"/>
          <w:sz w:val="16"/>
          <w:szCs w:val="16"/>
          <w:u w:val="single" w:color="auto"/>
          <w:color w:val="0000FF"/>
        </w:rPr>
        <w:tab/>
      </w:r>
      <w:hyperlink r:id="rId252">
        <w:r>
          <w:rPr>
            <w:rFonts w:ascii="Arial" w:cs="Arial" w:eastAsia="Arial" w:hAnsi="Arial"/>
            <w:sz w:val="15"/>
            <w:szCs w:val="15"/>
            <w:u w:val="single" w:color="auto"/>
            <w:color w:val="0000FF"/>
          </w:rPr>
          <w:t>Five Year Credit Agreement dated as of July 2, 2019, among the Company and the banks, financial institutions and other institutional lenders listed on the</w:t>
        </w:r>
      </w:hyperlink>
      <w:r>
        <w:rPr>
          <w:rFonts w:ascii="Arial" w:cs="Arial" w:eastAsia="Arial" w:hAnsi="Arial"/>
          <w:sz w:val="15"/>
          <w:szCs w:val="15"/>
          <w:u w:val="single" w:color="auto"/>
          <w:color w:val="0000FF"/>
        </w:rPr>
        <w:t xml:space="preserve"> </w:t>
      </w:r>
      <w:hyperlink r:id="rId252">
        <w:r>
          <w:rPr>
            <w:rFonts w:ascii="Arial" w:cs="Arial" w:eastAsia="Arial" w:hAnsi="Arial"/>
            <w:sz w:val="15"/>
            <w:szCs w:val="15"/>
            <w:u w:val="single" w:color="auto"/>
            <w:color w:val="0000FF"/>
          </w:rPr>
          <w:t>respective signature pages thereof (“Lenders”), Bank of America, N.A., as administrative agent for the Lenders, JPMorgan Chase Bank, N.A., Citibank,</w:t>
        </w:r>
      </w:hyperlink>
      <w:r>
        <w:rPr>
          <w:rFonts w:ascii="Arial" w:cs="Arial" w:eastAsia="Arial" w:hAnsi="Arial"/>
          <w:sz w:val="15"/>
          <w:szCs w:val="15"/>
          <w:u w:val="single" w:color="auto"/>
          <w:color w:val="0000FF"/>
        </w:rPr>
        <w:t xml:space="preserve"> </w:t>
      </w:r>
      <w:hyperlink r:id="rId252">
        <w:r>
          <w:rPr>
            <w:rFonts w:ascii="Arial" w:cs="Arial" w:eastAsia="Arial" w:hAnsi="Arial"/>
            <w:sz w:val="15"/>
            <w:szCs w:val="15"/>
            <w:u w:val="single" w:color="auto"/>
            <w:color w:val="0000FF"/>
          </w:rPr>
          <w:t>N.A. and PNC Bank, National Association, as syndication agents, Royal Bank of Canada, as documentation agent, and BofA Securities, Inc., JPMorgan</w:t>
        </w:r>
      </w:hyperlink>
      <w:r>
        <w:rPr>
          <w:rFonts w:ascii="Arial" w:cs="Arial" w:eastAsia="Arial" w:hAnsi="Arial"/>
          <w:sz w:val="15"/>
          <w:szCs w:val="15"/>
          <w:u w:val="single" w:color="auto"/>
          <w:color w:val="0000FF"/>
        </w:rPr>
        <w:t xml:space="preserve"> </w:t>
      </w:r>
      <w:hyperlink r:id="rId252">
        <w:r>
          <w:rPr>
            <w:rFonts w:ascii="Arial" w:cs="Arial" w:eastAsia="Arial" w:hAnsi="Arial"/>
            <w:sz w:val="15"/>
            <w:szCs w:val="15"/>
            <w:u w:val="single" w:color="auto"/>
            <w:color w:val="0000FF"/>
          </w:rPr>
          <w:t>Chase Bank, N.A., Citibank, N.A., PNC Capital Markets LLC and RBC Capital Markets, as joint lead arrangers and joint book managers, is</w:t>
        </w:r>
      </w:hyperlink>
      <w:r>
        <w:rPr>
          <w:rFonts w:ascii="Arial" w:cs="Arial" w:eastAsia="Arial" w:hAnsi="Arial"/>
          <w:sz w:val="15"/>
          <w:szCs w:val="15"/>
          <w:u w:val="single" w:color="auto"/>
          <w:color w:val="0000FF"/>
        </w:rPr>
        <w:t xml:space="preserve"> </w:t>
      </w:r>
      <w:hyperlink r:id="rId252">
        <w:r>
          <w:rPr>
            <w:rFonts w:ascii="Arial" w:cs="Arial" w:eastAsia="Arial" w:hAnsi="Arial"/>
            <w:sz w:val="15"/>
            <w:szCs w:val="15"/>
            <w:u w:val="single" w:color="auto"/>
            <w:color w:val="0000FF"/>
          </w:rPr>
          <w:t>incorporated by reference from Exhibit 10.1 to the Company's Current Report on Form 8-K filed July 2, 2019</w:t>
        </w:r>
        <w:r>
          <w:rPr>
            <w:rFonts w:ascii="Arial" w:cs="Arial" w:eastAsia="Arial" w:hAnsi="Arial"/>
            <w:sz w:val="15"/>
            <w:szCs w:val="15"/>
            <w:u w:val="single" w:color="auto"/>
            <w:color w:val="000000"/>
          </w:rPr>
          <w:t>.</w:t>
        </w:r>
      </w:hyperlink>
    </w:p>
    <w:p>
      <w:pPr>
        <w:spacing w:after="0" w:line="16" w:lineRule="exact"/>
        <w:rPr>
          <w:rFonts w:ascii="Arial" w:cs="Arial" w:eastAsia="Arial" w:hAnsi="Arial"/>
          <w:sz w:val="15"/>
          <w:szCs w:val="15"/>
          <w:u w:val="single" w:color="auto"/>
          <w:color w:val="0000FF"/>
        </w:rPr>
      </w:pPr>
    </w:p>
    <w:p>
      <w:pPr>
        <w:ind w:left="260"/>
        <w:spacing w:after="0"/>
        <w:tabs>
          <w:tab w:leader="none" w:pos="1100" w:val="left"/>
        </w:tabs>
        <w:rPr>
          <w:rFonts w:ascii="Arial" w:cs="Arial" w:eastAsia="Arial" w:hAnsi="Arial"/>
          <w:sz w:val="14"/>
          <w:szCs w:val="14"/>
          <w:u w:val="single" w:color="auto"/>
          <w:color w:val="0000FF"/>
        </w:rPr>
      </w:pPr>
      <w:hyperlink r:id="rId253">
        <w:r>
          <w:rPr>
            <w:rFonts w:ascii="Arial" w:cs="Arial" w:eastAsia="Arial" w:hAnsi="Arial"/>
            <w:sz w:val="16"/>
            <w:szCs w:val="16"/>
            <w:u w:val="single" w:color="auto"/>
            <w:color w:val="0000FF"/>
          </w:rPr>
          <w:t>10.6(a)</w:t>
        </w:r>
      </w:hyperlink>
      <w:r>
        <w:rPr>
          <w:rFonts w:ascii="Arial" w:cs="Arial" w:eastAsia="Arial" w:hAnsi="Arial"/>
          <w:sz w:val="16"/>
          <w:szCs w:val="16"/>
          <w:u w:val="single" w:color="auto"/>
          <w:color w:val="0000FF"/>
        </w:rPr>
        <w:tab/>
      </w:r>
      <w:hyperlink r:id="rId253">
        <w:r>
          <w:rPr>
            <w:rFonts w:ascii="Arial" w:cs="Arial" w:eastAsia="Arial" w:hAnsi="Arial"/>
            <w:sz w:val="14"/>
            <w:szCs w:val="14"/>
            <w:u w:val="single" w:color="auto"/>
            <w:color w:val="0000FF"/>
          </w:rPr>
          <w:t>Master Innovation and Supply Agreement between the Company and Barry Callebaut, AG, dated July 13, 2007, is incorporated by reference from Exhibit</w:t>
        </w:r>
      </w:hyperlink>
    </w:p>
    <w:p>
      <w:pPr>
        <w:spacing w:after="0" w:line="30" w:lineRule="exact"/>
        <w:rPr>
          <w:sz w:val="20"/>
          <w:szCs w:val="20"/>
          <w:color w:val="auto"/>
        </w:rPr>
      </w:pPr>
    </w:p>
    <w:p>
      <w:pPr>
        <w:ind w:left="1280"/>
        <w:spacing w:after="0"/>
        <w:rPr>
          <w:rFonts w:ascii="Arial" w:cs="Arial" w:eastAsia="Arial" w:hAnsi="Arial"/>
          <w:sz w:val="16"/>
          <w:szCs w:val="16"/>
          <w:u w:val="single" w:color="auto"/>
          <w:color w:val="0000FF"/>
        </w:rPr>
      </w:pPr>
      <w:hyperlink r:id="rId253">
        <w:r>
          <w:rPr>
            <w:rFonts w:ascii="Arial" w:cs="Arial" w:eastAsia="Arial" w:hAnsi="Arial"/>
            <w:sz w:val="16"/>
            <w:szCs w:val="16"/>
            <w:u w:val="single" w:color="auto"/>
            <w:color w:val="0000FF"/>
          </w:rPr>
          <w:t>10.1 to the Company’s Current Report on Form 8-K filed July 19, 2007.</w:t>
        </w:r>
      </w:hyperlink>
    </w:p>
    <w:p>
      <w:pPr>
        <w:spacing w:after="0" w:line="29" w:lineRule="exact"/>
        <w:rPr>
          <w:sz w:val="20"/>
          <w:szCs w:val="20"/>
          <w:color w:val="auto"/>
        </w:rPr>
      </w:pPr>
    </w:p>
    <w:p>
      <w:pPr>
        <w:ind w:left="1120" w:right="160" w:hanging="1016"/>
        <w:spacing w:after="0" w:line="270" w:lineRule="auto"/>
        <w:tabs>
          <w:tab w:leader="none" w:pos="1100" w:val="left"/>
        </w:tabs>
        <w:rPr>
          <w:rFonts w:ascii="Arial" w:cs="Arial" w:eastAsia="Arial" w:hAnsi="Arial"/>
          <w:sz w:val="16"/>
          <w:szCs w:val="16"/>
          <w:u w:val="single" w:color="auto"/>
          <w:color w:val="0000FF"/>
        </w:rPr>
      </w:pPr>
      <w:hyperlink r:id="rId254">
        <w:r>
          <w:rPr>
            <w:rFonts w:ascii="Arial" w:cs="Arial" w:eastAsia="Arial" w:hAnsi="Arial"/>
            <w:sz w:val="16"/>
            <w:szCs w:val="16"/>
            <w:u w:val="single" w:color="auto"/>
            <w:color w:val="0000FF"/>
          </w:rPr>
          <w:t>10.6(b)</w:t>
        </w:r>
      </w:hyperlink>
      <w:r>
        <w:rPr>
          <w:rFonts w:ascii="Arial" w:cs="Arial" w:eastAsia="Arial" w:hAnsi="Arial"/>
          <w:sz w:val="16"/>
          <w:szCs w:val="16"/>
          <w:u w:val="single" w:color="auto"/>
          <w:color w:val="0000FF"/>
        </w:rPr>
        <w:tab/>
      </w:r>
      <w:hyperlink r:id="rId254">
        <w:r>
          <w:rPr>
            <w:rFonts w:ascii="Arial" w:cs="Arial" w:eastAsia="Arial" w:hAnsi="Arial"/>
            <w:sz w:val="16"/>
            <w:szCs w:val="16"/>
            <w:u w:val="single" w:color="auto"/>
            <w:color w:val="0000FF"/>
          </w:rPr>
          <w:t>First Amendment to Master Innovation and Supply Agreement between the Company and Barry Callebaut, AG, dated April 14, 2011, is incorporated by</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reference from Exhibit 10.4 to the Company’s Quarterly Report on Form 10-Q for the quarter ended July 3, 2011.</w:t>
        </w:r>
      </w:hyperlink>
    </w:p>
    <w:p>
      <w:pPr>
        <w:spacing w:after="0" w:line="13" w:lineRule="exact"/>
        <w:rPr>
          <w:rFonts w:ascii="Arial" w:cs="Arial" w:eastAsia="Arial" w:hAnsi="Arial"/>
          <w:sz w:val="16"/>
          <w:szCs w:val="16"/>
          <w:u w:val="single" w:color="auto"/>
          <w:color w:val="0000FF"/>
        </w:rPr>
      </w:pPr>
    </w:p>
    <w:p>
      <w:pPr>
        <w:ind w:left="340"/>
        <w:spacing w:after="0"/>
        <w:tabs>
          <w:tab w:leader="none" w:pos="1100" w:val="left"/>
        </w:tabs>
        <w:rPr>
          <w:rFonts w:ascii="Arial" w:cs="Arial" w:eastAsia="Arial" w:hAnsi="Arial"/>
          <w:sz w:val="14"/>
          <w:szCs w:val="14"/>
          <w:u w:val="single" w:color="auto"/>
          <w:color w:val="0000FF"/>
        </w:rPr>
      </w:pPr>
      <w:hyperlink r:id="rId255">
        <w:r>
          <w:rPr>
            <w:rFonts w:ascii="Arial" w:cs="Arial" w:eastAsia="Arial" w:hAnsi="Arial"/>
            <w:sz w:val="16"/>
            <w:szCs w:val="16"/>
            <w:u w:val="single" w:color="auto"/>
            <w:color w:val="0000FF"/>
          </w:rPr>
          <w:t>10.7</w:t>
        </w:r>
      </w:hyperlink>
      <w:r>
        <w:rPr>
          <w:rFonts w:ascii="Arial" w:cs="Arial" w:eastAsia="Arial" w:hAnsi="Arial"/>
          <w:sz w:val="16"/>
          <w:szCs w:val="16"/>
          <w:u w:val="single" w:color="auto"/>
          <w:color w:val="0000FF"/>
        </w:rPr>
        <w:tab/>
      </w:r>
      <w:hyperlink r:id="rId255">
        <w:r>
          <w:rPr>
            <w:rFonts w:ascii="Arial" w:cs="Arial" w:eastAsia="Arial" w:hAnsi="Arial"/>
            <w:sz w:val="14"/>
            <w:szCs w:val="14"/>
            <w:u w:val="single" w:color="auto"/>
            <w:color w:val="0000FF"/>
          </w:rPr>
          <w:t>Supply Agreement for Monterrey, Mexico, between the Company and Barry Callebaut, AG, dated July 13, 2007, is incorporated by reference from Exhibit</w:t>
        </w:r>
      </w:hyperlink>
    </w:p>
    <w:p>
      <w:pPr>
        <w:spacing w:after="0" w:line="30" w:lineRule="exact"/>
        <w:rPr>
          <w:sz w:val="20"/>
          <w:szCs w:val="20"/>
          <w:color w:val="auto"/>
        </w:rPr>
      </w:pPr>
    </w:p>
    <w:p>
      <w:pPr>
        <w:ind w:left="1280"/>
        <w:spacing w:after="0"/>
        <w:rPr>
          <w:rFonts w:ascii="Arial" w:cs="Arial" w:eastAsia="Arial" w:hAnsi="Arial"/>
          <w:sz w:val="16"/>
          <w:szCs w:val="16"/>
          <w:u w:val="single" w:color="auto"/>
          <w:color w:val="0000FF"/>
        </w:rPr>
      </w:pPr>
      <w:hyperlink r:id="rId255">
        <w:r>
          <w:rPr>
            <w:rFonts w:ascii="Arial" w:cs="Arial" w:eastAsia="Arial" w:hAnsi="Arial"/>
            <w:sz w:val="16"/>
            <w:szCs w:val="16"/>
            <w:u w:val="single" w:color="auto"/>
            <w:color w:val="0000FF"/>
          </w:rPr>
          <w:t>10.2 to the Company’s Current Report on Form 8-K filed July 19, 2007.</w:t>
        </w:r>
      </w:hyperlink>
    </w:p>
    <w:p>
      <w:pPr>
        <w:spacing w:after="0" w:line="29" w:lineRule="exact"/>
        <w:rPr>
          <w:sz w:val="20"/>
          <w:szCs w:val="20"/>
          <w:color w:val="auto"/>
        </w:rPr>
      </w:pPr>
    </w:p>
    <w:p>
      <w:pPr>
        <w:ind w:left="1120" w:right="120" w:hanging="923"/>
        <w:spacing w:after="0" w:line="253" w:lineRule="auto"/>
        <w:tabs>
          <w:tab w:leader="none" w:pos="1100" w:val="left"/>
        </w:tabs>
        <w:rPr>
          <w:rFonts w:ascii="Arial" w:cs="Arial" w:eastAsia="Arial" w:hAnsi="Arial"/>
          <w:sz w:val="16"/>
          <w:szCs w:val="16"/>
          <w:color w:val="0000FF"/>
        </w:rPr>
      </w:pPr>
      <w:hyperlink r:id="rId256">
        <w:r>
          <w:rPr>
            <w:rFonts w:ascii="Arial" w:cs="Arial" w:eastAsia="Arial" w:hAnsi="Arial"/>
            <w:sz w:val="16"/>
            <w:szCs w:val="16"/>
            <w:u w:val="single" w:color="auto"/>
            <w:color w:val="0000FF"/>
          </w:rPr>
          <w:t>10.8</w:t>
        </w:r>
      </w:hyperlink>
      <w:r>
        <w:rPr>
          <w:rFonts w:ascii="Arial" w:cs="Arial" w:eastAsia="Arial" w:hAnsi="Arial"/>
          <w:sz w:val="16"/>
          <w:szCs w:val="16"/>
          <w:u w:val="single" w:color="auto"/>
          <w:color w:val="0000FF"/>
        </w:rPr>
        <w:tab/>
      </w:r>
      <w:hyperlink r:id="rId256">
        <w:r>
          <w:rPr>
            <w:rFonts w:ascii="Arial" w:cs="Arial" w:eastAsia="Arial" w:hAnsi="Arial"/>
            <w:sz w:val="16"/>
            <w:szCs w:val="16"/>
            <w:u w:val="single" w:color="auto"/>
            <w:color w:val="0000FF"/>
          </w:rPr>
          <w:t>The Company’s Equity and Incentive Compensation Plan, amended and restated February 22, 2011, and approved by our stockholders on April 28, 2011,</w:t>
        </w:r>
      </w:hyperlink>
      <w:r>
        <w:rPr>
          <w:rFonts w:ascii="Arial" w:cs="Arial" w:eastAsia="Arial" w:hAnsi="Arial"/>
          <w:sz w:val="16"/>
          <w:szCs w:val="16"/>
          <w:u w:val="single" w:color="auto"/>
          <w:color w:val="0000FF"/>
        </w:rPr>
        <w:t xml:space="preserve"> </w:t>
      </w:r>
      <w:hyperlink r:id="rId256">
        <w:r>
          <w:rPr>
            <w:rFonts w:ascii="Arial" w:cs="Arial" w:eastAsia="Arial" w:hAnsi="Arial"/>
            <w:sz w:val="16"/>
            <w:szCs w:val="16"/>
            <w:u w:val="single" w:color="auto"/>
            <w:color w:val="0000FF"/>
          </w:rPr>
          <w:t>is incorporated by reference from Appendix B to the Company’s proxy statement filed March 15, 2011.</w:t>
        </w:r>
        <w:r>
          <w:rPr>
            <w:rFonts w:ascii="Arial" w:cs="Arial" w:eastAsia="Arial" w:hAnsi="Arial"/>
            <w:sz w:val="20"/>
            <w:szCs w:val="20"/>
            <w:color w:val="000000"/>
            <w:vertAlign w:val="superscript"/>
          </w:rPr>
          <w:t>+</w:t>
        </w:r>
      </w:hyperlink>
    </w:p>
    <w:p>
      <w:pPr>
        <w:spacing w:after="0" w:line="4" w:lineRule="exact"/>
        <w:rPr>
          <w:rFonts w:ascii="Arial" w:cs="Arial" w:eastAsia="Arial" w:hAnsi="Arial"/>
          <w:sz w:val="16"/>
          <w:szCs w:val="16"/>
          <w:u w:val="single" w:color="auto"/>
          <w:color w:val="0000FF"/>
        </w:rPr>
      </w:pPr>
    </w:p>
    <w:p>
      <w:pPr>
        <w:ind w:left="1120" w:right="380" w:hanging="1012"/>
        <w:spacing w:after="0" w:line="247" w:lineRule="auto"/>
        <w:tabs>
          <w:tab w:leader="none" w:pos="1100" w:val="left"/>
        </w:tabs>
        <w:rPr>
          <w:rFonts w:ascii="Arial" w:cs="Arial" w:eastAsia="Arial" w:hAnsi="Arial"/>
          <w:sz w:val="16"/>
          <w:szCs w:val="16"/>
          <w:color w:val="0000FF"/>
        </w:rPr>
      </w:pPr>
      <w:hyperlink r:id="rId257">
        <w:r>
          <w:rPr>
            <w:rFonts w:ascii="Arial" w:cs="Arial" w:eastAsia="Arial" w:hAnsi="Arial"/>
            <w:sz w:val="16"/>
            <w:szCs w:val="16"/>
            <w:u w:val="single" w:color="auto"/>
            <w:color w:val="0000FF"/>
          </w:rPr>
          <w:t>10.9(a)</w:t>
        </w:r>
      </w:hyperlink>
      <w:r>
        <w:rPr>
          <w:rFonts w:ascii="Arial" w:cs="Arial" w:eastAsia="Arial" w:hAnsi="Arial"/>
          <w:sz w:val="16"/>
          <w:szCs w:val="16"/>
          <w:u w:val="single" w:color="auto"/>
          <w:color w:val="0000FF"/>
        </w:rPr>
        <w:tab/>
      </w:r>
      <w:hyperlink r:id="rId257">
        <w:r>
          <w:rPr>
            <w:rFonts w:ascii="Arial" w:cs="Arial" w:eastAsia="Arial" w:hAnsi="Arial"/>
            <w:sz w:val="16"/>
            <w:szCs w:val="16"/>
            <w:u w:val="single" w:color="auto"/>
            <w:color w:val="0000FF"/>
          </w:rPr>
          <w:t>Form of Notice of Award of Restricted Stock Units (pre-February 15, 2016 version) is incorporated by reference from Exhibit 10.9 to the Company’s</w:t>
        </w:r>
      </w:hyperlink>
      <w:r>
        <w:rPr>
          <w:rFonts w:ascii="Arial" w:cs="Arial" w:eastAsia="Arial" w:hAnsi="Arial"/>
          <w:sz w:val="16"/>
          <w:szCs w:val="16"/>
          <w:u w:val="single" w:color="auto"/>
          <w:color w:val="0000FF"/>
        </w:rPr>
        <w:t xml:space="preserve"> </w:t>
      </w:r>
      <w:hyperlink r:id="rId257">
        <w:r>
          <w:rPr>
            <w:rFonts w:ascii="Arial" w:cs="Arial" w:eastAsia="Arial" w:hAnsi="Arial"/>
            <w:sz w:val="16"/>
            <w:szCs w:val="16"/>
            <w:u w:val="single" w:color="auto"/>
            <w:color w:val="0000FF"/>
          </w:rPr>
          <w:t>Annual Report on Form 10-K for the fiscal year ended December 31, 2015.</w:t>
        </w:r>
        <w:r>
          <w:rPr>
            <w:rFonts w:ascii="Arial" w:cs="Arial" w:eastAsia="Arial" w:hAnsi="Arial"/>
            <w:sz w:val="20"/>
            <w:szCs w:val="20"/>
            <w:color w:val="000000"/>
            <w:vertAlign w:val="superscript"/>
          </w:rPr>
          <w:t>+</w:t>
        </w:r>
      </w:hyperlink>
    </w:p>
    <w:p>
      <w:pPr>
        <w:sectPr>
          <w:pgSz w:w="11900" w:h="16838" w:orient="portrait"/>
          <w:cols w:equalWidth="0" w:num="1">
            <w:col w:w="11040"/>
          </w:cols>
          <w:pgMar w:left="340" w:top="1440" w:right="519" w:bottom="1440" w:gutter="0" w:footer="0" w:header="0"/>
        </w:sectPr>
      </w:pPr>
    </w:p>
    <w:p>
      <w:pPr>
        <w:ind w:left="260"/>
        <w:spacing w:after="0"/>
        <w:rPr>
          <w:rFonts w:ascii="Arial" w:cs="Arial" w:eastAsia="Arial" w:hAnsi="Arial"/>
          <w:sz w:val="15"/>
          <w:szCs w:val="15"/>
          <w:u w:val="single" w:color="auto"/>
          <w:color w:val="0000FF"/>
        </w:rPr>
      </w:pPr>
      <w:hyperlink r:id="rId258">
        <w:r>
          <w:rPr>
            <w:rFonts w:ascii="Arial" w:cs="Arial" w:eastAsia="Arial" w:hAnsi="Arial"/>
            <w:sz w:val="15"/>
            <w:szCs w:val="15"/>
            <w:u w:val="single" w:color="auto"/>
            <w:color w:val="0000FF"/>
          </w:rPr>
          <w:t>10.9(b)</w:t>
        </w:r>
      </w:hyperlink>
    </w:p>
    <w:p>
      <w:pPr>
        <w:spacing w:after="0" w:line="240" w:lineRule="exact"/>
        <w:rPr>
          <w:rFonts w:ascii="Arial" w:cs="Arial" w:eastAsia="Arial" w:hAnsi="Arial"/>
          <w:sz w:val="16"/>
          <w:szCs w:val="16"/>
          <w:u w:val="single" w:color="auto"/>
          <w:color w:val="0000FF"/>
        </w:rPr>
      </w:pPr>
    </w:p>
    <w:p>
      <w:pPr>
        <w:ind w:left="260"/>
        <w:spacing w:after="0"/>
        <w:rPr>
          <w:rFonts w:ascii="Arial" w:cs="Arial" w:eastAsia="Arial" w:hAnsi="Arial"/>
          <w:sz w:val="16"/>
          <w:szCs w:val="16"/>
          <w:u w:val="single" w:color="auto"/>
          <w:color w:val="0000FF"/>
        </w:rPr>
      </w:pPr>
      <w:hyperlink r:id="rId259">
        <w:r>
          <w:rPr>
            <w:rFonts w:ascii="Arial" w:cs="Arial" w:eastAsia="Arial" w:hAnsi="Arial"/>
            <w:sz w:val="16"/>
            <w:szCs w:val="16"/>
            <w:u w:val="single" w:color="auto"/>
            <w:color w:val="0000FF"/>
          </w:rPr>
          <w:t>10.9(c)</w:t>
        </w:r>
      </w:hyperlink>
    </w:p>
    <w:p>
      <w:pPr>
        <w:spacing w:after="0" w:line="242" w:lineRule="exact"/>
        <w:rPr>
          <w:rFonts w:ascii="Arial" w:cs="Arial" w:eastAsia="Arial" w:hAnsi="Arial"/>
          <w:sz w:val="16"/>
          <w:szCs w:val="16"/>
          <w:u w:val="single" w:color="auto"/>
          <w:color w:val="0000FF"/>
        </w:rPr>
      </w:pPr>
    </w:p>
    <w:p>
      <w:pPr>
        <w:ind w:left="260"/>
        <w:spacing w:after="0"/>
        <w:rPr>
          <w:rFonts w:ascii="Arial" w:cs="Arial" w:eastAsia="Arial" w:hAnsi="Arial"/>
          <w:sz w:val="15"/>
          <w:szCs w:val="15"/>
          <w:u w:val="single" w:color="auto"/>
          <w:color w:val="0000FF"/>
        </w:rPr>
      </w:pPr>
      <w:hyperlink r:id="rId260">
        <w:r>
          <w:rPr>
            <w:rFonts w:ascii="Arial" w:cs="Arial" w:eastAsia="Arial" w:hAnsi="Arial"/>
            <w:sz w:val="15"/>
            <w:szCs w:val="15"/>
            <w:u w:val="single" w:color="auto"/>
            <w:color w:val="0000FF"/>
          </w:rPr>
          <w:t>10.9(d)</w:t>
        </w:r>
      </w:hyperlink>
    </w:p>
    <w:p>
      <w:pPr>
        <w:spacing w:after="0" w:line="254" w:lineRule="exact"/>
        <w:rPr>
          <w:rFonts w:ascii="Arial" w:cs="Arial" w:eastAsia="Arial" w:hAnsi="Arial"/>
          <w:sz w:val="16"/>
          <w:szCs w:val="16"/>
          <w:u w:val="single" w:color="auto"/>
          <w:color w:val="0000FF"/>
        </w:rPr>
      </w:pPr>
    </w:p>
    <w:p>
      <w:pPr>
        <w:ind w:left="220"/>
        <w:spacing w:after="0"/>
        <w:rPr>
          <w:rFonts w:ascii="Arial" w:cs="Arial" w:eastAsia="Arial" w:hAnsi="Arial"/>
          <w:sz w:val="14"/>
          <w:szCs w:val="14"/>
          <w:u w:val="single" w:color="auto"/>
          <w:color w:val="0000FF"/>
        </w:rPr>
      </w:pPr>
      <w:hyperlink r:id="rId261">
        <w:r>
          <w:rPr>
            <w:rFonts w:ascii="Arial" w:cs="Arial" w:eastAsia="Arial" w:hAnsi="Arial"/>
            <w:sz w:val="14"/>
            <w:szCs w:val="14"/>
            <w:u w:val="single" w:color="auto"/>
            <w:color w:val="0000FF"/>
          </w:rPr>
          <w:t>10.10(a)</w:t>
        </w:r>
      </w:hyperlink>
    </w:p>
    <w:p>
      <w:pPr>
        <w:spacing w:after="0" w:line="265" w:lineRule="exact"/>
        <w:rPr>
          <w:rFonts w:ascii="Arial" w:cs="Arial" w:eastAsia="Arial" w:hAnsi="Arial"/>
          <w:sz w:val="16"/>
          <w:szCs w:val="16"/>
          <w:u w:val="single" w:color="auto"/>
          <w:color w:val="0000FF"/>
        </w:rPr>
      </w:pPr>
    </w:p>
    <w:p>
      <w:pPr>
        <w:ind w:left="220"/>
        <w:spacing w:after="0"/>
        <w:rPr>
          <w:rFonts w:ascii="Arial" w:cs="Arial" w:eastAsia="Arial" w:hAnsi="Arial"/>
          <w:sz w:val="14"/>
          <w:szCs w:val="14"/>
          <w:u w:val="single" w:color="auto"/>
          <w:color w:val="0000FF"/>
        </w:rPr>
      </w:pPr>
      <w:hyperlink r:id="rId262">
        <w:r>
          <w:rPr>
            <w:rFonts w:ascii="Arial" w:cs="Arial" w:eastAsia="Arial" w:hAnsi="Arial"/>
            <w:sz w:val="14"/>
            <w:szCs w:val="14"/>
            <w:u w:val="single" w:color="auto"/>
            <w:color w:val="0000FF"/>
          </w:rPr>
          <w:t>10.10(b)</w:t>
        </w:r>
      </w:hyperlink>
    </w:p>
    <w:p>
      <w:pPr>
        <w:spacing w:after="0" w:line="265" w:lineRule="exact"/>
        <w:rPr>
          <w:rFonts w:ascii="Arial" w:cs="Arial" w:eastAsia="Arial" w:hAnsi="Arial"/>
          <w:sz w:val="16"/>
          <w:szCs w:val="16"/>
          <w:u w:val="single" w:color="auto"/>
          <w:color w:val="0000FF"/>
        </w:rPr>
      </w:pPr>
    </w:p>
    <w:p>
      <w:pPr>
        <w:ind w:left="220"/>
        <w:spacing w:after="0"/>
        <w:rPr>
          <w:rFonts w:ascii="Arial" w:cs="Arial" w:eastAsia="Arial" w:hAnsi="Arial"/>
          <w:sz w:val="14"/>
          <w:szCs w:val="14"/>
          <w:u w:val="single" w:color="auto"/>
          <w:color w:val="0000FF"/>
        </w:rPr>
      </w:pPr>
      <w:hyperlink r:id="rId263">
        <w:r>
          <w:rPr>
            <w:rFonts w:ascii="Arial" w:cs="Arial" w:eastAsia="Arial" w:hAnsi="Arial"/>
            <w:sz w:val="14"/>
            <w:szCs w:val="14"/>
            <w:u w:val="single" w:color="auto"/>
            <w:color w:val="0000FF"/>
          </w:rPr>
          <w:t>10.10(c)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right="220" w:hanging="159"/>
        <w:spacing w:after="0" w:line="254" w:lineRule="auto"/>
        <w:rPr>
          <w:rFonts w:ascii="Arial" w:cs="Arial" w:eastAsia="Arial" w:hAnsi="Arial"/>
          <w:sz w:val="16"/>
          <w:szCs w:val="16"/>
          <w:color w:val="0000FF"/>
        </w:rPr>
      </w:pPr>
      <w:hyperlink r:id="rId258">
        <w:r>
          <w:rPr>
            <w:rFonts w:ascii="Arial" w:cs="Arial" w:eastAsia="Arial" w:hAnsi="Arial"/>
            <w:sz w:val="16"/>
            <w:szCs w:val="16"/>
            <w:u w:val="single" w:color="auto"/>
            <w:color w:val="0000FF"/>
          </w:rPr>
          <w:t>Form of Notice of Award of Restricted Stock Units (effective February 15, 2016 - February 21, 2017 version) is incorporated by reference from Exhibit</w:t>
        </w:r>
      </w:hyperlink>
      <w:r>
        <w:rPr>
          <w:rFonts w:ascii="Arial" w:cs="Arial" w:eastAsia="Arial" w:hAnsi="Arial"/>
          <w:sz w:val="16"/>
          <w:szCs w:val="16"/>
          <w:u w:val="single" w:color="auto"/>
          <w:color w:val="0000FF"/>
        </w:rPr>
        <w:t xml:space="preserve"> </w:t>
      </w:r>
      <w:hyperlink r:id="rId258">
        <w:r>
          <w:rPr>
            <w:rFonts w:ascii="Arial" w:cs="Arial" w:eastAsia="Arial" w:hAnsi="Arial"/>
            <w:sz w:val="16"/>
            <w:szCs w:val="16"/>
            <w:u w:val="single" w:color="auto"/>
            <w:color w:val="0000FF"/>
          </w:rPr>
          <w:t>10.10(b) to the Company’s Annual Report on Form 10-K for the fiscal year ended December 31, 2016.</w:t>
        </w:r>
        <w:r>
          <w:rPr>
            <w:rFonts w:ascii="Arial" w:cs="Arial" w:eastAsia="Arial" w:hAnsi="Arial"/>
            <w:sz w:val="20"/>
            <w:szCs w:val="20"/>
            <w:color w:val="000000"/>
            <w:vertAlign w:val="superscript"/>
          </w:rPr>
          <w:t>+</w:t>
        </w:r>
      </w:hyperlink>
    </w:p>
    <w:p>
      <w:pPr>
        <w:spacing w:after="0" w:line="2" w:lineRule="exact"/>
        <w:rPr>
          <w:sz w:val="20"/>
          <w:szCs w:val="20"/>
          <w:color w:val="auto"/>
        </w:rPr>
      </w:pPr>
    </w:p>
    <w:p>
      <w:pPr>
        <w:ind w:right="100" w:hanging="159"/>
        <w:spacing w:after="0" w:line="247" w:lineRule="auto"/>
        <w:rPr>
          <w:rFonts w:ascii="Arial" w:cs="Arial" w:eastAsia="Arial" w:hAnsi="Arial"/>
          <w:sz w:val="16"/>
          <w:szCs w:val="16"/>
          <w:color w:val="0000FF"/>
        </w:rPr>
      </w:pPr>
      <w:hyperlink r:id="rId259">
        <w:r>
          <w:rPr>
            <w:rFonts w:ascii="Arial" w:cs="Arial" w:eastAsia="Arial" w:hAnsi="Arial"/>
            <w:sz w:val="16"/>
            <w:szCs w:val="16"/>
            <w:u w:val="single" w:color="auto"/>
            <w:color w:val="0000FF"/>
          </w:rPr>
          <w:t>Form of Notice of Award of Restricted Stock Units (February 22, 2017 - February 25, 2019 version) is incorporated by reference from Exhibit 10.1 to the</w:t>
        </w:r>
      </w:hyperlink>
      <w:r>
        <w:rPr>
          <w:rFonts w:ascii="Arial" w:cs="Arial" w:eastAsia="Arial" w:hAnsi="Arial"/>
          <w:sz w:val="16"/>
          <w:szCs w:val="16"/>
          <w:u w:val="single" w:color="auto"/>
          <w:color w:val="0000FF"/>
        </w:rPr>
        <w:t xml:space="preserve"> </w:t>
      </w:r>
      <w:hyperlink r:id="rId259">
        <w:r>
          <w:rPr>
            <w:rFonts w:ascii="Arial" w:cs="Arial" w:eastAsia="Arial" w:hAnsi="Arial"/>
            <w:sz w:val="16"/>
            <w:szCs w:val="16"/>
            <w:u w:val="single" w:color="auto"/>
            <w:color w:val="0000FF"/>
          </w:rPr>
          <w:t>Company’s Quarterly Report on Form 10-Q for the quarter ended April 2, 2017.</w:t>
        </w:r>
        <w:r>
          <w:rPr>
            <w:rFonts w:ascii="Arial" w:cs="Arial" w:eastAsia="Arial" w:hAnsi="Arial"/>
            <w:sz w:val="20"/>
            <w:szCs w:val="20"/>
            <w:color w:val="000000"/>
            <w:vertAlign w:val="superscript"/>
          </w:rPr>
          <w:t>+</w:t>
        </w:r>
      </w:hyperlink>
    </w:p>
    <w:p>
      <w:pPr>
        <w:ind w:right="580" w:hanging="159"/>
        <w:spacing w:after="0" w:line="247" w:lineRule="auto"/>
        <w:rPr>
          <w:rFonts w:ascii="Arial" w:cs="Arial" w:eastAsia="Arial" w:hAnsi="Arial"/>
          <w:sz w:val="16"/>
          <w:szCs w:val="16"/>
          <w:color w:val="0000FF"/>
        </w:rPr>
      </w:pPr>
      <w:hyperlink r:id="rId260">
        <w:r>
          <w:rPr>
            <w:rFonts w:ascii="Arial" w:cs="Arial" w:eastAsia="Arial" w:hAnsi="Arial"/>
            <w:sz w:val="16"/>
            <w:szCs w:val="16"/>
            <w:u w:val="single" w:color="auto"/>
            <w:color w:val="0000FF"/>
          </w:rPr>
          <w:t>Form of Notice of Award of Restricted Stock Units (effective February 26, 2019) is incorporated by reference from Exhibit 10.1 to the Company's</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Quarterly Report on Form 10-Q for the quarter ended March 31, 2019.</w:t>
        </w:r>
        <w:r>
          <w:rPr>
            <w:rFonts w:ascii="Arial" w:cs="Arial" w:eastAsia="Arial" w:hAnsi="Arial"/>
            <w:sz w:val="20"/>
            <w:szCs w:val="20"/>
            <w:color w:val="000000"/>
            <w:vertAlign w:val="superscript"/>
          </w:rPr>
          <w:t>+</w:t>
        </w:r>
      </w:hyperlink>
    </w:p>
    <w:p>
      <w:pPr>
        <w:ind w:hanging="159"/>
        <w:spacing w:after="0" w:line="247" w:lineRule="auto"/>
        <w:rPr>
          <w:rFonts w:ascii="Arial" w:cs="Arial" w:eastAsia="Arial" w:hAnsi="Arial"/>
          <w:sz w:val="16"/>
          <w:szCs w:val="16"/>
          <w:color w:val="0000FF"/>
        </w:rPr>
      </w:pPr>
      <w:hyperlink r:id="rId261">
        <w:r>
          <w:rPr>
            <w:rFonts w:ascii="Arial" w:cs="Arial" w:eastAsia="Arial" w:hAnsi="Arial"/>
            <w:sz w:val="16"/>
            <w:szCs w:val="16"/>
            <w:u w:val="single" w:color="auto"/>
            <w:color w:val="0000FF"/>
          </w:rPr>
          <w:t>Form of Notice of Special Award of Restricted Stock Units (pro-rata vest, pre-February 15, 2016 version) is incorporated by reference from Exhibit 10.2 to</w:t>
        </w:r>
      </w:hyperlink>
      <w:r>
        <w:rPr>
          <w:rFonts w:ascii="Arial" w:cs="Arial" w:eastAsia="Arial" w:hAnsi="Arial"/>
          <w:sz w:val="16"/>
          <w:szCs w:val="16"/>
          <w:u w:val="single" w:color="auto"/>
          <w:color w:val="0000FF"/>
        </w:rPr>
        <w:t xml:space="preserve"> </w:t>
      </w:r>
      <w:hyperlink r:id="rId261">
        <w:r>
          <w:rPr>
            <w:rFonts w:ascii="Arial" w:cs="Arial" w:eastAsia="Arial" w:hAnsi="Arial"/>
            <w:sz w:val="16"/>
            <w:szCs w:val="16"/>
            <w:u w:val="single" w:color="auto"/>
            <w:color w:val="0000FF"/>
          </w:rPr>
          <w:t>the Company’s Current Report on Form 8-K filed June 16, 2011.</w:t>
        </w:r>
        <w:r>
          <w:rPr>
            <w:rFonts w:ascii="Arial" w:cs="Arial" w:eastAsia="Arial" w:hAnsi="Arial"/>
            <w:sz w:val="20"/>
            <w:szCs w:val="20"/>
            <w:color w:val="000000"/>
            <w:vertAlign w:val="superscript"/>
          </w:rPr>
          <w:t>+</w:t>
        </w:r>
      </w:hyperlink>
    </w:p>
    <w:p>
      <w:pPr>
        <w:ind w:right="320" w:hanging="159"/>
        <w:spacing w:after="0" w:line="247" w:lineRule="auto"/>
        <w:rPr>
          <w:rFonts w:ascii="Arial" w:cs="Arial" w:eastAsia="Arial" w:hAnsi="Arial"/>
          <w:sz w:val="16"/>
          <w:szCs w:val="16"/>
          <w:color w:val="0000FF"/>
        </w:rPr>
      </w:pPr>
      <w:hyperlink r:id="rId262">
        <w:r>
          <w:rPr>
            <w:rFonts w:ascii="Arial" w:cs="Arial" w:eastAsia="Arial" w:hAnsi="Arial"/>
            <w:sz w:val="16"/>
            <w:szCs w:val="16"/>
            <w:u w:val="single" w:color="auto"/>
            <w:color w:val="0000FF"/>
          </w:rPr>
          <w:t>Form of Notice of Special Award of Restricted Stock Units (pro-rata vest, effective February 15, 2016 - February 21, 2017 version) is incorporated by</w:t>
        </w:r>
      </w:hyperlink>
      <w:r>
        <w:rPr>
          <w:rFonts w:ascii="Arial" w:cs="Arial" w:eastAsia="Arial" w:hAnsi="Arial"/>
          <w:sz w:val="16"/>
          <w:szCs w:val="16"/>
          <w:u w:val="single" w:color="auto"/>
          <w:color w:val="0000FF"/>
        </w:rPr>
        <w:t xml:space="preserve"> </w:t>
      </w:r>
      <w:hyperlink r:id="rId262">
        <w:r>
          <w:rPr>
            <w:rFonts w:ascii="Arial" w:cs="Arial" w:eastAsia="Arial" w:hAnsi="Arial"/>
            <w:sz w:val="16"/>
            <w:szCs w:val="16"/>
            <w:u w:val="single" w:color="auto"/>
            <w:color w:val="0000FF"/>
          </w:rPr>
          <w:t>reference from Exhibit 10.1 to the Company’s Current Report on Form 8-K filed June 17, 2016.</w:t>
        </w:r>
        <w:r>
          <w:rPr>
            <w:rFonts w:ascii="Arial" w:cs="Arial" w:eastAsia="Arial" w:hAnsi="Arial"/>
            <w:sz w:val="20"/>
            <w:szCs w:val="20"/>
            <w:color w:val="000000"/>
            <w:vertAlign w:val="superscript"/>
          </w:rPr>
          <w:t>+</w:t>
        </w:r>
      </w:hyperlink>
    </w:p>
    <w:p>
      <w:pPr>
        <w:ind w:right="280" w:hanging="159"/>
        <w:spacing w:after="0" w:line="272" w:lineRule="auto"/>
        <w:rPr>
          <w:rFonts w:ascii="Arial" w:cs="Arial" w:eastAsia="Arial" w:hAnsi="Arial"/>
          <w:sz w:val="16"/>
          <w:szCs w:val="16"/>
          <w:color w:val="0000FF"/>
        </w:rPr>
      </w:pPr>
      <w:hyperlink r:id="rId263">
        <w:r>
          <w:rPr>
            <w:rFonts w:ascii="Arial" w:cs="Arial" w:eastAsia="Arial" w:hAnsi="Arial"/>
            <w:sz w:val="16"/>
            <w:szCs w:val="16"/>
            <w:u w:val="single" w:color="auto"/>
            <w:color w:val="0000FF"/>
          </w:rPr>
          <w:t>Form of Notice of Special Award of Restricted Stock Units (pro-rata vest, February 22, 2017 - February 25, 2019 version) is incorporated by reference</w:t>
        </w:r>
      </w:hyperlink>
      <w:r>
        <w:rPr>
          <w:rFonts w:ascii="Arial" w:cs="Arial" w:eastAsia="Arial" w:hAnsi="Arial"/>
          <w:sz w:val="16"/>
          <w:szCs w:val="16"/>
          <w:u w:val="single" w:color="auto"/>
          <w:color w:val="0000FF"/>
        </w:rPr>
        <w:t xml:space="preserve"> </w:t>
      </w:r>
      <w:hyperlink r:id="rId263">
        <w:r>
          <w:rPr>
            <w:rFonts w:ascii="Arial" w:cs="Arial" w:eastAsia="Arial" w:hAnsi="Arial"/>
            <w:sz w:val="16"/>
            <w:szCs w:val="16"/>
            <w:u w:val="single" w:color="auto"/>
            <w:color w:val="0000FF"/>
          </w:rPr>
          <w:t>from Exhibit 10.2(a) to the Company’s Quarterly Report on Form 10-Q for the quarter ended April 2, 2017.</w:t>
        </w:r>
        <w:r>
          <w:rPr>
            <w:rFonts w:ascii="Arial" w:cs="Arial" w:eastAsia="Arial" w:hAnsi="Arial"/>
            <w:sz w:val="20"/>
            <w:szCs w:val="20"/>
            <w:color w:val="000000"/>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6109970</wp:posOffset>
            </wp:positionH>
            <wp:positionV relativeFrom="paragraph">
              <wp:posOffset>435610</wp:posOffset>
            </wp:positionV>
            <wp:extent cx="194945" cy="169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 w:space="520"/>
            <w:col w:w="9760"/>
          </w:cols>
          <w:pgMar w:left="340" w:top="1440" w:right="51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spacing w:after="0"/>
        <w:tabs>
          <w:tab w:leader="none" w:pos="39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3422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type w:val="continuous"/>
        </w:sectPr>
      </w:pPr>
    </w:p>
    <w:bookmarkStart w:id="106" w:name="page107"/>
    <w:bookmarkEnd w:id="106"/>
    <w:p>
      <w:pPr>
        <w:spacing w:after="0" w:line="23" w:lineRule="exact"/>
        <w:rPr>
          <w:sz w:val="20"/>
          <w:szCs w:val="20"/>
          <w:color w:val="auto"/>
        </w:rPr>
      </w:pPr>
    </w:p>
    <w:p>
      <w:pPr>
        <w:ind w:left="220"/>
        <w:spacing w:after="0"/>
        <w:rPr>
          <w:rFonts w:ascii="Arial" w:cs="Arial" w:eastAsia="Arial" w:hAnsi="Arial"/>
          <w:sz w:val="14"/>
          <w:szCs w:val="14"/>
          <w:u w:val="single" w:color="auto"/>
          <w:color w:val="0000FF"/>
        </w:rPr>
      </w:pPr>
      <w:hyperlink r:id="rId266">
        <w:r>
          <w:rPr>
            <w:rFonts w:ascii="Arial" w:cs="Arial" w:eastAsia="Arial" w:hAnsi="Arial"/>
            <w:sz w:val="14"/>
            <w:szCs w:val="14"/>
            <w:u w:val="single" w:color="auto"/>
            <w:color w:val="0000FF"/>
          </w:rPr>
          <w:t>10.10(d)</w:t>
        </w:r>
      </w:hyperlink>
    </w:p>
    <w:p>
      <w:pPr>
        <w:spacing w:after="0" w:line="265" w:lineRule="exact"/>
        <w:rPr>
          <w:sz w:val="20"/>
          <w:szCs w:val="20"/>
          <w:color w:val="auto"/>
        </w:rPr>
      </w:pPr>
    </w:p>
    <w:p>
      <w:pPr>
        <w:ind w:left="220"/>
        <w:spacing w:after="0"/>
        <w:rPr>
          <w:rFonts w:ascii="Arial" w:cs="Arial" w:eastAsia="Arial" w:hAnsi="Arial"/>
          <w:sz w:val="14"/>
          <w:szCs w:val="14"/>
          <w:u w:val="single" w:color="auto"/>
          <w:color w:val="0000FF"/>
        </w:rPr>
      </w:pPr>
      <w:hyperlink r:id="rId267">
        <w:r>
          <w:rPr>
            <w:rFonts w:ascii="Arial" w:cs="Arial" w:eastAsia="Arial" w:hAnsi="Arial"/>
            <w:sz w:val="14"/>
            <w:szCs w:val="14"/>
            <w:u w:val="single" w:color="auto"/>
            <w:color w:val="0000FF"/>
          </w:rPr>
          <w:t>10.10(e)</w:t>
        </w:r>
      </w:hyperlink>
    </w:p>
    <w:p>
      <w:pPr>
        <w:spacing w:after="0" w:line="265" w:lineRule="exact"/>
        <w:rPr>
          <w:sz w:val="20"/>
          <w:szCs w:val="20"/>
          <w:color w:val="auto"/>
        </w:rPr>
      </w:pPr>
    </w:p>
    <w:p>
      <w:pPr>
        <w:ind w:left="220"/>
        <w:spacing w:after="0"/>
        <w:rPr>
          <w:rFonts w:ascii="Arial" w:cs="Arial" w:eastAsia="Arial" w:hAnsi="Arial"/>
          <w:sz w:val="15"/>
          <w:szCs w:val="15"/>
          <w:u w:val="single" w:color="auto"/>
          <w:color w:val="0000FF"/>
        </w:rPr>
      </w:pPr>
      <w:hyperlink r:id="rId268">
        <w:r>
          <w:rPr>
            <w:rFonts w:ascii="Arial" w:cs="Arial" w:eastAsia="Arial" w:hAnsi="Arial"/>
            <w:sz w:val="15"/>
            <w:szCs w:val="15"/>
            <w:u w:val="single" w:color="auto"/>
            <w:color w:val="0000FF"/>
          </w:rPr>
          <w:t>10.10(f)</w:t>
        </w:r>
      </w:hyperlink>
    </w:p>
    <w:p>
      <w:pPr>
        <w:spacing w:after="0" w:line="254" w:lineRule="exact"/>
        <w:rPr>
          <w:sz w:val="20"/>
          <w:szCs w:val="20"/>
          <w:color w:val="auto"/>
        </w:rPr>
      </w:pPr>
    </w:p>
    <w:p>
      <w:pPr>
        <w:ind w:left="220"/>
        <w:spacing w:after="0"/>
        <w:rPr>
          <w:rFonts w:ascii="Arial" w:cs="Arial" w:eastAsia="Arial" w:hAnsi="Arial"/>
          <w:sz w:val="14"/>
          <w:szCs w:val="14"/>
          <w:u w:val="single" w:color="auto"/>
          <w:color w:val="0000FF"/>
        </w:rPr>
      </w:pPr>
      <w:hyperlink r:id="rId269">
        <w:r>
          <w:rPr>
            <w:rFonts w:ascii="Arial" w:cs="Arial" w:eastAsia="Arial" w:hAnsi="Arial"/>
            <w:sz w:val="14"/>
            <w:szCs w:val="14"/>
            <w:u w:val="single" w:color="auto"/>
            <w:color w:val="0000FF"/>
          </w:rPr>
          <w:t>10.10(g)</w:t>
        </w:r>
      </w:hyperlink>
    </w:p>
    <w:p>
      <w:pPr>
        <w:spacing w:after="0" w:line="265" w:lineRule="exact"/>
        <w:rPr>
          <w:sz w:val="20"/>
          <w:szCs w:val="20"/>
          <w:color w:val="auto"/>
        </w:rPr>
      </w:pPr>
    </w:p>
    <w:p>
      <w:pPr>
        <w:ind w:left="220"/>
        <w:spacing w:after="0"/>
        <w:rPr>
          <w:rFonts w:ascii="Arial" w:cs="Arial" w:eastAsia="Arial" w:hAnsi="Arial"/>
          <w:sz w:val="14"/>
          <w:szCs w:val="14"/>
          <w:u w:val="single" w:color="auto"/>
          <w:color w:val="0000FF"/>
        </w:rPr>
      </w:pPr>
      <w:hyperlink r:id="rId270">
        <w:r>
          <w:rPr>
            <w:rFonts w:ascii="Arial" w:cs="Arial" w:eastAsia="Arial" w:hAnsi="Arial"/>
            <w:sz w:val="14"/>
            <w:szCs w:val="14"/>
            <w:u w:val="single" w:color="auto"/>
            <w:color w:val="0000FF"/>
          </w:rPr>
          <w:t>10.11(a)</w:t>
        </w:r>
      </w:hyperlink>
    </w:p>
    <w:p>
      <w:pPr>
        <w:spacing w:after="0" w:line="265" w:lineRule="exact"/>
        <w:rPr>
          <w:sz w:val="20"/>
          <w:szCs w:val="20"/>
          <w:color w:val="auto"/>
        </w:rPr>
      </w:pPr>
    </w:p>
    <w:p>
      <w:pPr>
        <w:ind w:left="220"/>
        <w:spacing w:after="0"/>
        <w:rPr>
          <w:rFonts w:ascii="Arial" w:cs="Arial" w:eastAsia="Arial" w:hAnsi="Arial"/>
          <w:sz w:val="14"/>
          <w:szCs w:val="14"/>
          <w:u w:val="single" w:color="auto"/>
          <w:color w:val="0000FF"/>
        </w:rPr>
      </w:pPr>
      <w:hyperlink r:id="rId271">
        <w:r>
          <w:rPr>
            <w:rFonts w:ascii="Arial" w:cs="Arial" w:eastAsia="Arial" w:hAnsi="Arial"/>
            <w:sz w:val="14"/>
            <w:szCs w:val="14"/>
            <w:u w:val="single" w:color="auto"/>
            <w:color w:val="0000FF"/>
          </w:rPr>
          <w:t>10.11(b)</w:t>
        </w:r>
      </w:hyperlink>
    </w:p>
    <w:p>
      <w:pPr>
        <w:spacing w:after="0" w:line="200" w:lineRule="exact"/>
        <w:rPr>
          <w:sz w:val="20"/>
          <w:szCs w:val="20"/>
          <w:color w:val="auto"/>
        </w:rPr>
      </w:pPr>
    </w:p>
    <w:p>
      <w:pPr>
        <w:spacing w:after="0" w:line="252" w:lineRule="exact"/>
        <w:rPr>
          <w:sz w:val="20"/>
          <w:szCs w:val="20"/>
          <w:color w:val="auto"/>
        </w:rPr>
      </w:pPr>
    </w:p>
    <w:p>
      <w:pPr>
        <w:ind w:left="220"/>
        <w:spacing w:after="0"/>
        <w:rPr>
          <w:rFonts w:ascii="Arial" w:cs="Arial" w:eastAsia="Arial" w:hAnsi="Arial"/>
          <w:sz w:val="14"/>
          <w:szCs w:val="14"/>
          <w:u w:val="single" w:color="auto"/>
          <w:color w:val="0000FF"/>
        </w:rPr>
      </w:pPr>
      <w:hyperlink r:id="rId272">
        <w:r>
          <w:rPr>
            <w:rFonts w:ascii="Arial" w:cs="Arial" w:eastAsia="Arial" w:hAnsi="Arial"/>
            <w:sz w:val="14"/>
            <w:szCs w:val="14"/>
            <w:u w:val="single" w:color="auto"/>
            <w:color w:val="0000FF"/>
          </w:rPr>
          <w:t>10.11(c)</w:t>
        </w:r>
      </w:hyperlink>
    </w:p>
    <w:p>
      <w:pPr>
        <w:spacing w:after="0" w:line="265" w:lineRule="exact"/>
        <w:rPr>
          <w:sz w:val="20"/>
          <w:szCs w:val="20"/>
          <w:color w:val="auto"/>
        </w:rPr>
      </w:pPr>
    </w:p>
    <w:p>
      <w:pPr>
        <w:ind w:left="220"/>
        <w:spacing w:after="0"/>
        <w:rPr>
          <w:rFonts w:ascii="Arial" w:cs="Arial" w:eastAsia="Arial" w:hAnsi="Arial"/>
          <w:sz w:val="14"/>
          <w:szCs w:val="14"/>
          <w:u w:val="single" w:color="auto"/>
          <w:color w:val="0000FF"/>
        </w:rPr>
      </w:pPr>
      <w:hyperlink r:id="rId273">
        <w:r>
          <w:rPr>
            <w:rFonts w:ascii="Arial" w:cs="Arial" w:eastAsia="Arial" w:hAnsi="Arial"/>
            <w:sz w:val="14"/>
            <w:szCs w:val="14"/>
            <w:u w:val="single" w:color="auto"/>
            <w:color w:val="0000FF"/>
          </w:rPr>
          <w:t>10.11(d)</w:t>
        </w:r>
      </w:hyperlink>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60" w:hanging="159"/>
        <w:spacing w:after="0" w:line="255" w:lineRule="auto"/>
        <w:rPr>
          <w:rFonts w:ascii="Arial" w:cs="Arial" w:eastAsia="Arial" w:hAnsi="Arial"/>
          <w:sz w:val="16"/>
          <w:szCs w:val="16"/>
          <w:color w:val="0000FF"/>
        </w:rPr>
      </w:pPr>
      <w:hyperlink r:id="rId266">
        <w:r>
          <w:rPr>
            <w:rFonts w:ascii="Arial" w:cs="Arial" w:eastAsia="Arial" w:hAnsi="Arial"/>
            <w:sz w:val="16"/>
            <w:szCs w:val="16"/>
            <w:u w:val="single" w:color="auto"/>
            <w:color w:val="0000FF"/>
          </w:rPr>
          <w:t>Form of Notice of Special Award of Restricted Stock Units (pro-rata vest, effective February 26, 2019) is incorporated by reference from Exhibit 10.2 to</w:t>
        </w:r>
      </w:hyperlink>
      <w:r>
        <w:rPr>
          <w:rFonts w:ascii="Arial" w:cs="Arial" w:eastAsia="Arial" w:hAnsi="Arial"/>
          <w:sz w:val="16"/>
          <w:szCs w:val="16"/>
          <w:u w:val="single" w:color="auto"/>
          <w:color w:val="0000FF"/>
        </w:rPr>
        <w:t xml:space="preserve"> </w:t>
      </w:r>
      <w:hyperlink r:id="rId266">
        <w:r>
          <w:rPr>
            <w:rFonts w:ascii="Arial" w:cs="Arial" w:eastAsia="Arial" w:hAnsi="Arial"/>
            <w:sz w:val="16"/>
            <w:szCs w:val="16"/>
            <w:u w:val="single" w:color="auto"/>
            <w:color w:val="0000FF"/>
          </w:rPr>
          <w:t>the Company’s Quarterly Report on Form 10-Q for the quarter ended March 31, 2019.</w:t>
        </w:r>
        <w:r>
          <w:rPr>
            <w:rFonts w:ascii="Arial" w:cs="Arial" w:eastAsia="Arial" w:hAnsi="Arial"/>
            <w:sz w:val="20"/>
            <w:szCs w:val="20"/>
            <w:color w:val="000000"/>
            <w:vertAlign w:val="superscript"/>
          </w:rPr>
          <w:t>+</w:t>
        </w:r>
      </w:hyperlink>
    </w:p>
    <w:p>
      <w:pPr>
        <w:spacing w:after="0" w:line="1" w:lineRule="exact"/>
        <w:rPr>
          <w:sz w:val="20"/>
          <w:szCs w:val="20"/>
          <w:color w:val="auto"/>
        </w:rPr>
      </w:pPr>
    </w:p>
    <w:p>
      <w:pPr>
        <w:ind w:right="280" w:hanging="159"/>
        <w:spacing w:after="0" w:line="247" w:lineRule="auto"/>
        <w:rPr>
          <w:rFonts w:ascii="Arial" w:cs="Arial" w:eastAsia="Arial" w:hAnsi="Arial"/>
          <w:sz w:val="16"/>
          <w:szCs w:val="16"/>
          <w:color w:val="0000FF"/>
        </w:rPr>
      </w:pPr>
      <w:hyperlink r:id="rId267">
        <w:r>
          <w:rPr>
            <w:rFonts w:ascii="Arial" w:cs="Arial" w:eastAsia="Arial" w:hAnsi="Arial"/>
            <w:sz w:val="16"/>
            <w:szCs w:val="16"/>
            <w:u w:val="single" w:color="auto"/>
            <w:color w:val="0000FF"/>
          </w:rPr>
          <w:t>Form of Notice of Special Award of Restricted Stock Units (3-year cliff vest, pre-February 22, 2017 version) is incorporated by reference from Exhibit</w:t>
        </w:r>
      </w:hyperlink>
      <w:r>
        <w:rPr>
          <w:rFonts w:ascii="Arial" w:cs="Arial" w:eastAsia="Arial" w:hAnsi="Arial"/>
          <w:sz w:val="16"/>
          <w:szCs w:val="16"/>
          <w:u w:val="single" w:color="auto"/>
          <w:color w:val="0000FF"/>
        </w:rPr>
        <w:t xml:space="preserve"> </w:t>
      </w:r>
      <w:hyperlink r:id="rId267">
        <w:r>
          <w:rPr>
            <w:rFonts w:ascii="Arial" w:cs="Arial" w:eastAsia="Arial" w:hAnsi="Arial"/>
            <w:sz w:val="16"/>
            <w:szCs w:val="16"/>
            <w:u w:val="single" w:color="auto"/>
            <w:color w:val="0000FF"/>
          </w:rPr>
          <w:t>10.1 to the Company’s Current Report on Form 8-K filed February 18, 2016.</w:t>
        </w:r>
        <w:r>
          <w:rPr>
            <w:rFonts w:ascii="Arial" w:cs="Arial" w:eastAsia="Arial" w:hAnsi="Arial"/>
            <w:sz w:val="20"/>
            <w:szCs w:val="20"/>
            <w:color w:val="000000"/>
            <w:vertAlign w:val="superscript"/>
          </w:rPr>
          <w:t>+</w:t>
        </w:r>
      </w:hyperlink>
    </w:p>
    <w:p>
      <w:pPr>
        <w:ind w:right="80" w:hanging="159"/>
        <w:spacing w:after="0" w:line="247" w:lineRule="auto"/>
        <w:rPr>
          <w:rFonts w:ascii="Arial" w:cs="Arial" w:eastAsia="Arial" w:hAnsi="Arial"/>
          <w:sz w:val="16"/>
          <w:szCs w:val="16"/>
          <w:color w:val="0000FF"/>
        </w:rPr>
      </w:pPr>
      <w:hyperlink r:id="rId268">
        <w:r>
          <w:rPr>
            <w:rFonts w:ascii="Arial" w:cs="Arial" w:eastAsia="Arial" w:hAnsi="Arial"/>
            <w:sz w:val="16"/>
            <w:szCs w:val="16"/>
            <w:u w:val="single" w:color="auto"/>
            <w:color w:val="0000FF"/>
          </w:rPr>
          <w:t>Form of Notice of Special Award of Restricted Stock Units (3-year cliff vest, February 22, 2017 - February 25, 2019 version) is incorporated by reference</w:t>
        </w:r>
      </w:hyperlink>
      <w:r>
        <w:rPr>
          <w:rFonts w:ascii="Arial" w:cs="Arial" w:eastAsia="Arial" w:hAnsi="Arial"/>
          <w:sz w:val="16"/>
          <w:szCs w:val="16"/>
          <w:u w:val="single" w:color="auto"/>
          <w:color w:val="0000FF"/>
        </w:rPr>
        <w:t xml:space="preserve"> </w:t>
      </w:r>
      <w:hyperlink r:id="rId268">
        <w:r>
          <w:rPr>
            <w:rFonts w:ascii="Arial" w:cs="Arial" w:eastAsia="Arial" w:hAnsi="Arial"/>
            <w:sz w:val="16"/>
            <w:szCs w:val="16"/>
            <w:u w:val="single" w:color="auto"/>
            <w:color w:val="0000FF"/>
          </w:rPr>
          <w:t>from Exhibit 10.2(b) to the Company’s Quarterly Report on Form 10-Q for the quarter ended April 2, 2017.</w:t>
        </w:r>
        <w:r>
          <w:rPr>
            <w:rFonts w:ascii="Arial" w:cs="Arial" w:eastAsia="Arial" w:hAnsi="Arial"/>
            <w:sz w:val="20"/>
            <w:szCs w:val="20"/>
            <w:color w:val="000000"/>
            <w:vertAlign w:val="superscript"/>
          </w:rPr>
          <w:t>+</w:t>
        </w:r>
      </w:hyperlink>
    </w:p>
    <w:p>
      <w:pPr>
        <w:ind w:right="120" w:hanging="159"/>
        <w:spacing w:after="0" w:line="247" w:lineRule="auto"/>
        <w:rPr>
          <w:rFonts w:ascii="Arial" w:cs="Arial" w:eastAsia="Arial" w:hAnsi="Arial"/>
          <w:sz w:val="16"/>
          <w:szCs w:val="16"/>
          <w:color w:val="0000FF"/>
        </w:rPr>
      </w:pPr>
      <w:hyperlink r:id="rId269">
        <w:r>
          <w:rPr>
            <w:rFonts w:ascii="Arial" w:cs="Arial" w:eastAsia="Arial" w:hAnsi="Arial"/>
            <w:sz w:val="16"/>
            <w:szCs w:val="16"/>
            <w:u w:val="single" w:color="auto"/>
            <w:color w:val="0000FF"/>
          </w:rPr>
          <w:t>Form of Notice of Special Award of Restricted Stock Units (3-year cliff vest, effective February 26, 2019) is incorporated by reference from Exhibit 10.3</w:t>
        </w:r>
      </w:hyperlink>
      <w:r>
        <w:rPr>
          <w:rFonts w:ascii="Arial" w:cs="Arial" w:eastAsia="Arial" w:hAnsi="Arial"/>
          <w:sz w:val="16"/>
          <w:szCs w:val="16"/>
          <w:u w:val="single" w:color="auto"/>
          <w:color w:val="0000FF"/>
        </w:rPr>
        <w:t xml:space="preserve"> </w:t>
      </w:r>
      <w:hyperlink r:id="rId269">
        <w:r>
          <w:rPr>
            <w:rFonts w:ascii="Arial" w:cs="Arial" w:eastAsia="Arial" w:hAnsi="Arial"/>
            <w:sz w:val="16"/>
            <w:szCs w:val="16"/>
            <w:u w:val="single" w:color="auto"/>
            <w:color w:val="0000FF"/>
          </w:rPr>
          <w:t>to the Company’s Quarterly Report on Form 10-Q for the quarter ended March 31, 2019.</w:t>
        </w:r>
        <w:r>
          <w:rPr>
            <w:rFonts w:ascii="Arial" w:cs="Arial" w:eastAsia="Arial" w:hAnsi="Arial"/>
            <w:sz w:val="20"/>
            <w:szCs w:val="20"/>
            <w:color w:val="000000"/>
            <w:vertAlign w:val="superscript"/>
          </w:rPr>
          <w:t>+</w:t>
        </w:r>
      </w:hyperlink>
    </w:p>
    <w:p>
      <w:pPr>
        <w:ind w:right="520" w:hanging="159"/>
        <w:spacing w:after="0" w:line="261" w:lineRule="auto"/>
        <w:rPr>
          <w:rFonts w:ascii="Arial" w:cs="Arial" w:eastAsia="Arial" w:hAnsi="Arial"/>
          <w:sz w:val="15"/>
          <w:szCs w:val="15"/>
          <w:color w:val="0000FF"/>
        </w:rPr>
      </w:pPr>
      <w:hyperlink r:id="rId270">
        <w:r>
          <w:rPr>
            <w:rFonts w:ascii="Arial" w:cs="Arial" w:eastAsia="Arial" w:hAnsi="Arial"/>
            <w:sz w:val="15"/>
            <w:szCs w:val="15"/>
            <w:u w:val="single" w:color="auto"/>
            <w:color w:val="0000FF"/>
          </w:rPr>
          <w:t>Terms and Conditions of Nonqualified Stock Option Awards under the Equity and Incentive Compensation Plan (pre-February 15, 2016 version) is</w:t>
        </w:r>
      </w:hyperlink>
      <w:r>
        <w:rPr>
          <w:rFonts w:ascii="Arial" w:cs="Arial" w:eastAsia="Arial" w:hAnsi="Arial"/>
          <w:sz w:val="15"/>
          <w:szCs w:val="15"/>
          <w:u w:val="single" w:color="auto"/>
          <w:color w:val="0000FF"/>
        </w:rPr>
        <w:t xml:space="preserve"> </w:t>
      </w:r>
      <w:hyperlink r:id="rId270">
        <w:r>
          <w:rPr>
            <w:rFonts w:ascii="Arial" w:cs="Arial" w:eastAsia="Arial" w:hAnsi="Arial"/>
            <w:sz w:val="15"/>
            <w:szCs w:val="15"/>
            <w:u w:val="single" w:color="auto"/>
            <w:color w:val="0000FF"/>
          </w:rPr>
          <w:t>incorporated by reference from Exhibit 10.2 to the Company’s Current Report on Form 8-K filed February 24, 2012.</w:t>
        </w:r>
        <w:r>
          <w:rPr>
            <w:rFonts w:ascii="Arial" w:cs="Arial" w:eastAsia="Arial" w:hAnsi="Arial"/>
            <w:sz w:val="19"/>
            <w:szCs w:val="19"/>
            <w:color w:val="000000"/>
            <w:vertAlign w:val="superscript"/>
          </w:rPr>
          <w:t>+</w:t>
        </w:r>
      </w:hyperlink>
    </w:p>
    <w:p>
      <w:pPr>
        <w:spacing w:after="0" w:line="1" w:lineRule="exact"/>
        <w:rPr>
          <w:sz w:val="20"/>
          <w:szCs w:val="20"/>
          <w:color w:val="auto"/>
        </w:rPr>
      </w:pPr>
    </w:p>
    <w:p>
      <w:pPr>
        <w:ind w:right="180" w:hanging="159"/>
        <w:spacing w:after="0" w:line="246" w:lineRule="auto"/>
        <w:rPr>
          <w:rFonts w:ascii="Arial" w:cs="Arial" w:eastAsia="Arial" w:hAnsi="Arial"/>
          <w:sz w:val="16"/>
          <w:szCs w:val="16"/>
          <w:color w:val="0000FF"/>
        </w:rPr>
      </w:pPr>
      <w:hyperlink r:id="rId271">
        <w:r>
          <w:rPr>
            <w:rFonts w:ascii="Arial" w:cs="Arial" w:eastAsia="Arial" w:hAnsi="Arial"/>
            <w:sz w:val="16"/>
            <w:szCs w:val="16"/>
            <w:u w:val="single" w:color="auto"/>
            <w:color w:val="0000FF"/>
          </w:rPr>
          <w:t>Terms and Conditions of Nonqualified Stock Option Awards under the Equity and Incentive Compensation Plan (effective February 15, 2016 - February</w:t>
        </w:r>
      </w:hyperlink>
      <w:r>
        <w:rPr>
          <w:rFonts w:ascii="Arial" w:cs="Arial" w:eastAsia="Arial" w:hAnsi="Arial"/>
          <w:sz w:val="16"/>
          <w:szCs w:val="16"/>
          <w:u w:val="single" w:color="auto"/>
          <w:color w:val="0000FF"/>
        </w:rPr>
        <w:t xml:space="preserve"> </w:t>
      </w:r>
      <w:hyperlink r:id="rId271">
        <w:r>
          <w:rPr>
            <w:rFonts w:ascii="Arial" w:cs="Arial" w:eastAsia="Arial" w:hAnsi="Arial"/>
            <w:sz w:val="16"/>
            <w:szCs w:val="16"/>
            <w:u w:val="single" w:color="auto"/>
            <w:color w:val="0000FF"/>
          </w:rPr>
          <w:t>21, 2017 version) is incorporated by reference from Exhibit 10.12(b) to the Company’s Annual Report on Form 10-K for the fiscal year ended</w:t>
        </w:r>
      </w:hyperlink>
      <w:r>
        <w:rPr>
          <w:rFonts w:ascii="Arial" w:cs="Arial" w:eastAsia="Arial" w:hAnsi="Arial"/>
          <w:sz w:val="16"/>
          <w:szCs w:val="16"/>
          <w:u w:val="single" w:color="auto"/>
          <w:color w:val="0000FF"/>
        </w:rPr>
        <w:t xml:space="preserve"> </w:t>
      </w:r>
      <w:hyperlink r:id="rId271">
        <w:r>
          <w:rPr>
            <w:rFonts w:ascii="Arial" w:cs="Arial" w:eastAsia="Arial" w:hAnsi="Arial"/>
            <w:sz w:val="16"/>
            <w:szCs w:val="16"/>
            <w:u w:val="single" w:color="auto"/>
            <w:color w:val="0000FF"/>
          </w:rPr>
          <w:t>December 31, 2016.</w:t>
        </w:r>
        <w:r>
          <w:rPr>
            <w:rFonts w:ascii="Arial" w:cs="Arial" w:eastAsia="Arial" w:hAnsi="Arial"/>
            <w:sz w:val="20"/>
            <w:szCs w:val="20"/>
            <w:color w:val="000000"/>
            <w:vertAlign w:val="superscript"/>
          </w:rPr>
          <w:t>+</w:t>
        </w:r>
      </w:hyperlink>
    </w:p>
    <w:p>
      <w:pPr>
        <w:ind w:right="180" w:hanging="159"/>
        <w:spacing w:after="0" w:line="278" w:lineRule="auto"/>
        <w:rPr>
          <w:rFonts w:ascii="Arial" w:cs="Arial" w:eastAsia="Arial" w:hAnsi="Arial"/>
          <w:sz w:val="14"/>
          <w:szCs w:val="14"/>
          <w:u w:val="single" w:color="auto"/>
          <w:color w:val="0000FF"/>
        </w:rPr>
      </w:pPr>
      <w:hyperlink r:id="rId272">
        <w:r>
          <w:rPr>
            <w:rFonts w:ascii="Arial" w:cs="Arial" w:eastAsia="Arial" w:hAnsi="Arial"/>
            <w:sz w:val="14"/>
            <w:szCs w:val="14"/>
            <w:u w:val="single" w:color="auto"/>
            <w:color w:val="0000FF"/>
          </w:rPr>
          <w:t>Terms and Conditions of Nonqualified Stock Option Awards under the Equity and Incentive Compensation Plan (February 22, 2017 - February 25, 2019</w:t>
        </w:r>
      </w:hyperlink>
      <w:r>
        <w:rPr>
          <w:rFonts w:ascii="Arial" w:cs="Arial" w:eastAsia="Arial" w:hAnsi="Arial"/>
          <w:sz w:val="14"/>
          <w:szCs w:val="14"/>
          <w:u w:val="single" w:color="auto"/>
          <w:color w:val="0000FF"/>
        </w:rPr>
        <w:t xml:space="preserve"> </w:t>
      </w:r>
      <w:hyperlink r:id="rId272">
        <w:r>
          <w:rPr>
            <w:rFonts w:ascii="Arial" w:cs="Arial" w:eastAsia="Arial" w:hAnsi="Arial"/>
            <w:sz w:val="14"/>
            <w:szCs w:val="14"/>
            <w:u w:val="single" w:color="auto"/>
            <w:color w:val="0000FF"/>
          </w:rPr>
          <w:t>version) is incorporated by reference from Exhibit 10.3 to the Company’s Quarterly Report on Form 10-Q for the quarter ended April 2, 2017.</w:t>
        </w:r>
        <w:r>
          <w:rPr>
            <w:rFonts w:ascii="Arial" w:cs="Arial" w:eastAsia="Arial" w:hAnsi="Arial"/>
            <w:sz w:val="18"/>
            <w:szCs w:val="18"/>
            <w:u w:val="single" w:color="auto"/>
            <w:color w:val="000000"/>
            <w:vertAlign w:val="superscript"/>
          </w:rPr>
          <w:t>+</w:t>
        </w:r>
      </w:hyperlink>
    </w:p>
    <w:p>
      <w:pPr>
        <w:ind w:right="680" w:hanging="159"/>
        <w:spacing w:after="0" w:line="269" w:lineRule="auto"/>
        <w:rPr>
          <w:rFonts w:ascii="Arial" w:cs="Arial" w:eastAsia="Arial" w:hAnsi="Arial"/>
          <w:sz w:val="14"/>
          <w:szCs w:val="14"/>
          <w:u w:val="single" w:color="auto"/>
          <w:color w:val="0000FF"/>
        </w:rPr>
      </w:pPr>
      <w:hyperlink r:id="rId273">
        <w:r>
          <w:rPr>
            <w:rFonts w:ascii="Arial" w:cs="Arial" w:eastAsia="Arial" w:hAnsi="Arial"/>
            <w:sz w:val="14"/>
            <w:szCs w:val="14"/>
            <w:u w:val="single" w:color="auto"/>
            <w:color w:val="0000FF"/>
          </w:rPr>
          <w:t>Terms and Conditions of Nonqualified Stock Option Awards under the Equity and Incentive Compensation Plan (effective February 26, 2019) is</w:t>
        </w:r>
      </w:hyperlink>
      <w:r>
        <w:rPr>
          <w:rFonts w:ascii="Arial" w:cs="Arial" w:eastAsia="Arial" w:hAnsi="Arial"/>
          <w:sz w:val="14"/>
          <w:szCs w:val="14"/>
          <w:u w:val="single" w:color="auto"/>
          <w:color w:val="0000FF"/>
        </w:rPr>
        <w:t xml:space="preserve"> </w:t>
      </w:r>
      <w:hyperlink r:id="rId273">
        <w:r>
          <w:rPr>
            <w:rFonts w:ascii="Arial" w:cs="Arial" w:eastAsia="Arial" w:hAnsi="Arial"/>
            <w:sz w:val="14"/>
            <w:szCs w:val="14"/>
            <w:u w:val="single" w:color="auto"/>
            <w:color w:val="0000FF"/>
          </w:rPr>
          <w:t>incorporated by reference from Exhibit 10.4 to the Company’s Quarterly Report on Form 10-Q for the quarter ended March 31, 2019.</w:t>
        </w:r>
        <w:r>
          <w:rPr>
            <w:rFonts w:ascii="Arial" w:cs="Arial" w:eastAsia="Arial" w:hAnsi="Arial"/>
            <w:sz w:val="18"/>
            <w:szCs w:val="18"/>
            <w:u w:val="single" w:color="auto"/>
            <w:color w:val="000000"/>
            <w:vertAlign w:val="superscript"/>
          </w:rPr>
          <w:t>+</w:t>
        </w:r>
      </w:hyperlink>
    </w:p>
    <w:p>
      <w:pPr>
        <w:spacing w:after="0" w:line="1" w:lineRule="exact"/>
        <w:rPr>
          <w:sz w:val="20"/>
          <w:szCs w:val="20"/>
          <w:color w:val="auto"/>
        </w:rPr>
      </w:pPr>
    </w:p>
    <w:p>
      <w:pPr>
        <w:sectPr>
          <w:pgSz w:w="11900" w:h="16838" w:orient="portrait"/>
          <w:cols w:equalWidth="0" w:num="2">
            <w:col w:w="760" w:space="520"/>
            <w:col w:w="9760"/>
          </w:cols>
          <w:pgMar w:left="340" w:top="1440" w:right="519" w:bottom="1440" w:gutter="0" w:footer="0" w:header="0"/>
        </w:sectPr>
      </w:pPr>
    </w:p>
    <w:p>
      <w:pPr>
        <w:ind w:left="220"/>
        <w:spacing w:after="0"/>
        <w:rPr>
          <w:rFonts w:ascii="Arial" w:cs="Arial" w:eastAsia="Arial" w:hAnsi="Arial"/>
          <w:sz w:val="14"/>
          <w:szCs w:val="14"/>
          <w:u w:val="single" w:color="auto"/>
          <w:color w:val="0000FF"/>
        </w:rPr>
      </w:pPr>
      <w:hyperlink r:id="rId274">
        <w:r>
          <w:rPr>
            <w:rFonts w:ascii="Arial" w:cs="Arial" w:eastAsia="Arial" w:hAnsi="Arial"/>
            <w:sz w:val="14"/>
            <w:szCs w:val="14"/>
            <w:u w:val="single" w:color="auto"/>
            <w:color w:val="0000FF"/>
          </w:rPr>
          <w:t>10.12(a)</w:t>
        </w:r>
      </w:hyperlink>
    </w:p>
    <w:p>
      <w:pPr>
        <w:spacing w:after="0" w:line="251" w:lineRule="exact"/>
        <w:rPr>
          <w:sz w:val="20"/>
          <w:szCs w:val="20"/>
          <w:color w:val="auto"/>
        </w:rPr>
      </w:pPr>
    </w:p>
    <w:p>
      <w:pPr>
        <w:ind w:left="220"/>
        <w:spacing w:after="0"/>
        <w:rPr>
          <w:rFonts w:ascii="Arial" w:cs="Arial" w:eastAsia="Arial" w:hAnsi="Arial"/>
          <w:sz w:val="14"/>
          <w:szCs w:val="14"/>
          <w:u w:val="single" w:color="auto"/>
          <w:color w:val="0000FF"/>
        </w:rPr>
      </w:pPr>
      <w:hyperlink r:id="rId275">
        <w:r>
          <w:rPr>
            <w:rFonts w:ascii="Arial" w:cs="Arial" w:eastAsia="Arial" w:hAnsi="Arial"/>
            <w:sz w:val="14"/>
            <w:szCs w:val="14"/>
            <w:u w:val="single" w:color="auto"/>
            <w:color w:val="0000FF"/>
          </w:rPr>
          <w:t>10.12(b)</w:t>
        </w:r>
      </w:hyperlink>
    </w:p>
    <w:p>
      <w:pPr>
        <w:spacing w:after="0" w:line="265" w:lineRule="exact"/>
        <w:rPr>
          <w:sz w:val="20"/>
          <w:szCs w:val="20"/>
          <w:color w:val="auto"/>
        </w:rPr>
      </w:pPr>
    </w:p>
    <w:p>
      <w:pPr>
        <w:ind w:left="220"/>
        <w:spacing w:after="0"/>
        <w:rPr>
          <w:rFonts w:ascii="Arial" w:cs="Arial" w:eastAsia="Arial" w:hAnsi="Arial"/>
          <w:sz w:val="14"/>
          <w:szCs w:val="14"/>
          <w:u w:val="single" w:color="auto"/>
          <w:color w:val="0000FF"/>
        </w:rPr>
      </w:pPr>
      <w:hyperlink r:id="rId276">
        <w:r>
          <w:rPr>
            <w:rFonts w:ascii="Arial" w:cs="Arial" w:eastAsia="Arial" w:hAnsi="Arial"/>
            <w:sz w:val="14"/>
            <w:szCs w:val="14"/>
            <w:u w:val="single" w:color="auto"/>
            <w:color w:val="0000FF"/>
          </w:rPr>
          <w:t>10.12(c)</w:t>
        </w:r>
      </w:hyperlink>
    </w:p>
    <w:p>
      <w:pPr>
        <w:spacing w:after="0" w:line="265" w:lineRule="exact"/>
        <w:rPr>
          <w:sz w:val="20"/>
          <w:szCs w:val="20"/>
          <w:color w:val="auto"/>
        </w:rPr>
      </w:pPr>
    </w:p>
    <w:p>
      <w:pPr>
        <w:jc w:val="center"/>
        <w:ind w:left="220"/>
        <w:spacing w:after="0"/>
        <w:rPr>
          <w:rFonts w:ascii="Arial" w:cs="Arial" w:eastAsia="Arial" w:hAnsi="Arial"/>
          <w:sz w:val="14"/>
          <w:szCs w:val="14"/>
          <w:u w:val="single" w:color="auto"/>
          <w:color w:val="0000FF"/>
        </w:rPr>
      </w:pPr>
      <w:hyperlink r:id="rId277">
        <w:r>
          <w:rPr>
            <w:rFonts w:ascii="Arial" w:cs="Arial" w:eastAsia="Arial" w:hAnsi="Arial"/>
            <w:sz w:val="14"/>
            <w:szCs w:val="14"/>
            <w:u w:val="single" w:color="auto"/>
            <w:color w:val="0000FF"/>
          </w:rPr>
          <w:t>10.12(d)</w:t>
        </w:r>
      </w:hyperlink>
    </w:p>
    <w:p>
      <w:pPr>
        <w:spacing w:after="0" w:line="265" w:lineRule="exact"/>
        <w:rPr>
          <w:sz w:val="20"/>
          <w:szCs w:val="20"/>
          <w:color w:val="auto"/>
        </w:rPr>
      </w:pPr>
    </w:p>
    <w:p>
      <w:pPr>
        <w:ind w:left="300"/>
        <w:spacing w:after="0"/>
        <w:rPr>
          <w:rFonts w:ascii="Arial" w:cs="Arial" w:eastAsia="Arial" w:hAnsi="Arial"/>
          <w:sz w:val="16"/>
          <w:szCs w:val="16"/>
          <w:u w:val="single" w:color="auto"/>
          <w:color w:val="0000FF"/>
        </w:rPr>
      </w:pPr>
      <w:hyperlink r:id="rId278">
        <w:r>
          <w:rPr>
            <w:rFonts w:ascii="Arial" w:cs="Arial" w:eastAsia="Arial" w:hAnsi="Arial"/>
            <w:sz w:val="16"/>
            <w:szCs w:val="16"/>
            <w:u w:val="single" w:color="auto"/>
            <w:color w:val="0000FF"/>
          </w:rPr>
          <w:t>10.13</w:t>
        </w:r>
      </w:hyperlink>
    </w:p>
    <w:p>
      <w:pPr>
        <w:spacing w:after="0" w:line="242" w:lineRule="exact"/>
        <w:rPr>
          <w:sz w:val="20"/>
          <w:szCs w:val="20"/>
          <w:color w:val="auto"/>
        </w:rPr>
      </w:pPr>
    </w:p>
    <w:p>
      <w:pPr>
        <w:ind w:left="300"/>
        <w:spacing w:after="0"/>
        <w:rPr>
          <w:rFonts w:ascii="Arial" w:cs="Arial" w:eastAsia="Arial" w:hAnsi="Arial"/>
          <w:sz w:val="16"/>
          <w:szCs w:val="16"/>
          <w:u w:val="single" w:color="auto"/>
          <w:color w:val="0000FF"/>
        </w:rPr>
      </w:pPr>
      <w:hyperlink r:id="rId279">
        <w:r>
          <w:rPr>
            <w:rFonts w:ascii="Arial" w:cs="Arial" w:eastAsia="Arial" w:hAnsi="Arial"/>
            <w:sz w:val="16"/>
            <w:szCs w:val="16"/>
            <w:u w:val="single" w:color="auto"/>
            <w:color w:val="0000FF"/>
          </w:rPr>
          <w:t>10.14</w:t>
        </w:r>
      </w:hyperlink>
    </w:p>
    <w:p>
      <w:pPr>
        <w:spacing w:after="0" w:line="242" w:lineRule="exact"/>
        <w:rPr>
          <w:sz w:val="20"/>
          <w:szCs w:val="20"/>
          <w:color w:val="auto"/>
        </w:rPr>
      </w:pPr>
    </w:p>
    <w:p>
      <w:pPr>
        <w:jc w:val="center"/>
        <w:ind w:left="220"/>
        <w:spacing w:after="0"/>
        <w:rPr>
          <w:rFonts w:ascii="Arial" w:cs="Arial" w:eastAsia="Arial" w:hAnsi="Arial"/>
          <w:sz w:val="16"/>
          <w:szCs w:val="16"/>
          <w:u w:val="single" w:color="auto"/>
          <w:color w:val="0000FF"/>
        </w:rPr>
      </w:pPr>
      <w:hyperlink r:id="rId280">
        <w:r>
          <w:rPr>
            <w:rFonts w:ascii="Arial" w:cs="Arial" w:eastAsia="Arial" w:hAnsi="Arial"/>
            <w:sz w:val="16"/>
            <w:szCs w:val="16"/>
            <w:u w:val="single" w:color="auto"/>
            <w:color w:val="0000FF"/>
          </w:rPr>
          <w:t>10.15</w:t>
        </w:r>
      </w:hyperlink>
    </w:p>
    <w:p>
      <w:pPr>
        <w:spacing w:after="0" w:line="242" w:lineRule="exact"/>
        <w:rPr>
          <w:sz w:val="20"/>
          <w:szCs w:val="20"/>
          <w:color w:val="auto"/>
        </w:rPr>
      </w:pPr>
    </w:p>
    <w:p>
      <w:pPr>
        <w:ind w:left="220"/>
        <w:spacing w:after="0"/>
        <w:rPr>
          <w:rFonts w:ascii="Arial" w:cs="Arial" w:eastAsia="Arial" w:hAnsi="Arial"/>
          <w:sz w:val="14"/>
          <w:szCs w:val="14"/>
          <w:u w:val="single" w:color="auto"/>
          <w:color w:val="0000FF"/>
        </w:rPr>
      </w:pPr>
      <w:hyperlink r:id="rId281">
        <w:r>
          <w:rPr>
            <w:rFonts w:ascii="Arial" w:cs="Arial" w:eastAsia="Arial" w:hAnsi="Arial"/>
            <w:sz w:val="14"/>
            <w:szCs w:val="14"/>
            <w:u w:val="single" w:color="auto"/>
            <w:color w:val="0000FF"/>
          </w:rPr>
          <w:t>10.16(a)</w:t>
        </w:r>
      </w:hyperlink>
    </w:p>
    <w:p>
      <w:pPr>
        <w:spacing w:after="0" w:line="265" w:lineRule="exact"/>
        <w:rPr>
          <w:sz w:val="20"/>
          <w:szCs w:val="20"/>
          <w:color w:val="auto"/>
        </w:rPr>
      </w:pPr>
    </w:p>
    <w:p>
      <w:pPr>
        <w:ind w:left="220"/>
        <w:spacing w:after="0"/>
        <w:rPr>
          <w:rFonts w:ascii="Arial" w:cs="Arial" w:eastAsia="Arial" w:hAnsi="Arial"/>
          <w:sz w:val="14"/>
          <w:szCs w:val="14"/>
          <w:u w:val="single" w:color="auto"/>
          <w:color w:val="0000FF"/>
        </w:rPr>
      </w:pPr>
      <w:hyperlink r:id="rId282">
        <w:r>
          <w:rPr>
            <w:rFonts w:ascii="Arial" w:cs="Arial" w:eastAsia="Arial" w:hAnsi="Arial"/>
            <w:sz w:val="14"/>
            <w:szCs w:val="14"/>
            <w:u w:val="single" w:color="auto"/>
            <w:color w:val="0000FF"/>
          </w:rPr>
          <w:t>10.16(b)</w:t>
        </w:r>
      </w:hyperlink>
    </w:p>
    <w:p>
      <w:pPr>
        <w:spacing w:after="0" w:line="20" w:lineRule="exact"/>
        <w:rPr>
          <w:sz w:val="20"/>
          <w:szCs w:val="20"/>
          <w:color w:val="auto"/>
        </w:rPr>
      </w:pPr>
      <w:r>
        <w:rPr>
          <w:sz w:val="20"/>
          <w:szCs w:val="20"/>
          <w:color w:val="auto"/>
        </w:rPr>
        <w:br w:type="column"/>
      </w:r>
    </w:p>
    <w:p>
      <w:pPr>
        <w:ind w:right="240" w:hanging="159"/>
        <w:spacing w:after="0" w:line="254" w:lineRule="auto"/>
        <w:rPr>
          <w:rFonts w:ascii="Arial" w:cs="Arial" w:eastAsia="Arial" w:hAnsi="Arial"/>
          <w:sz w:val="16"/>
          <w:szCs w:val="16"/>
          <w:color w:val="0000FF"/>
        </w:rPr>
      </w:pPr>
      <w:hyperlink r:id="rId274">
        <w:r>
          <w:rPr>
            <w:rFonts w:ascii="Arial" w:cs="Arial" w:eastAsia="Arial" w:hAnsi="Arial"/>
            <w:sz w:val="16"/>
            <w:szCs w:val="16"/>
            <w:u w:val="single" w:color="auto"/>
            <w:color w:val="0000FF"/>
          </w:rPr>
          <w:t>Form of Notice of Award of Performance Stock Units (pre-February 15, 2016 version) is incorporated by reference from Exhibit 10.1 to the Company's</w:t>
        </w:r>
      </w:hyperlink>
      <w:r>
        <w:rPr>
          <w:rFonts w:ascii="Arial" w:cs="Arial" w:eastAsia="Arial" w:hAnsi="Arial"/>
          <w:sz w:val="16"/>
          <w:szCs w:val="16"/>
          <w:u w:val="single" w:color="auto"/>
          <w:color w:val="0000FF"/>
        </w:rPr>
        <w:t xml:space="preserve"> </w:t>
      </w:r>
      <w:hyperlink r:id="rId274">
        <w:r>
          <w:rPr>
            <w:rFonts w:ascii="Arial" w:cs="Arial" w:eastAsia="Arial" w:hAnsi="Arial"/>
            <w:sz w:val="16"/>
            <w:szCs w:val="16"/>
            <w:u w:val="single" w:color="auto"/>
            <w:color w:val="0000FF"/>
          </w:rPr>
          <w:t>Current Report on Form 8-K filed February 24, 2012.</w:t>
        </w:r>
        <w:r>
          <w:rPr>
            <w:rFonts w:ascii="Arial" w:cs="Arial" w:eastAsia="Arial" w:hAnsi="Arial"/>
            <w:sz w:val="20"/>
            <w:szCs w:val="20"/>
            <w:color w:val="000000"/>
            <w:vertAlign w:val="superscript"/>
          </w:rPr>
          <w:t>+</w:t>
        </w:r>
      </w:hyperlink>
    </w:p>
    <w:p>
      <w:pPr>
        <w:spacing w:after="0" w:line="2" w:lineRule="exact"/>
        <w:rPr>
          <w:sz w:val="20"/>
          <w:szCs w:val="20"/>
          <w:color w:val="auto"/>
        </w:rPr>
      </w:pPr>
    </w:p>
    <w:p>
      <w:pPr>
        <w:ind w:right="60" w:hanging="159"/>
        <w:spacing w:after="0" w:line="247" w:lineRule="auto"/>
        <w:rPr>
          <w:rFonts w:ascii="Arial" w:cs="Arial" w:eastAsia="Arial" w:hAnsi="Arial"/>
          <w:sz w:val="16"/>
          <w:szCs w:val="16"/>
          <w:color w:val="0000FF"/>
        </w:rPr>
      </w:pPr>
      <w:hyperlink r:id="rId275">
        <w:r>
          <w:rPr>
            <w:rFonts w:ascii="Arial" w:cs="Arial" w:eastAsia="Arial" w:hAnsi="Arial"/>
            <w:sz w:val="16"/>
            <w:szCs w:val="16"/>
            <w:u w:val="single" w:color="auto"/>
            <w:color w:val="0000FF"/>
          </w:rPr>
          <w:t>Form of Notice of Award of Performance Stock Units (effective February 15, 2016 - February 21, 2017 version) is incorporated by reference from Exhibit</w:t>
        </w:r>
      </w:hyperlink>
      <w:r>
        <w:rPr>
          <w:rFonts w:ascii="Arial" w:cs="Arial" w:eastAsia="Arial" w:hAnsi="Arial"/>
          <w:sz w:val="16"/>
          <w:szCs w:val="16"/>
          <w:u w:val="single" w:color="auto"/>
          <w:color w:val="0000FF"/>
        </w:rPr>
        <w:t xml:space="preserve"> </w:t>
      </w:r>
      <w:hyperlink r:id="rId275">
        <w:r>
          <w:rPr>
            <w:rFonts w:ascii="Arial" w:cs="Arial" w:eastAsia="Arial" w:hAnsi="Arial"/>
            <w:sz w:val="16"/>
            <w:szCs w:val="16"/>
            <w:u w:val="single" w:color="auto"/>
            <w:color w:val="0000FF"/>
          </w:rPr>
          <w:t>10.13(b) to the Company’s Annual Report on Form 10-K for the fiscal year ended December 31, 2016.</w:t>
        </w:r>
        <w:r>
          <w:rPr>
            <w:rFonts w:ascii="Arial" w:cs="Arial" w:eastAsia="Arial" w:hAnsi="Arial"/>
            <w:sz w:val="20"/>
            <w:szCs w:val="20"/>
            <w:color w:val="000000"/>
            <w:vertAlign w:val="superscript"/>
          </w:rPr>
          <w:t>+</w:t>
        </w:r>
      </w:hyperlink>
    </w:p>
    <w:p>
      <w:pPr>
        <w:ind w:right="160" w:hanging="159"/>
        <w:spacing w:after="0" w:line="247" w:lineRule="auto"/>
        <w:rPr>
          <w:rFonts w:ascii="Arial" w:cs="Arial" w:eastAsia="Arial" w:hAnsi="Arial"/>
          <w:sz w:val="16"/>
          <w:szCs w:val="16"/>
          <w:color w:val="0000FF"/>
        </w:rPr>
      </w:pPr>
      <w:hyperlink r:id="rId276">
        <w:r>
          <w:rPr>
            <w:rFonts w:ascii="Arial" w:cs="Arial" w:eastAsia="Arial" w:hAnsi="Arial"/>
            <w:sz w:val="16"/>
            <w:szCs w:val="16"/>
            <w:u w:val="single" w:color="auto"/>
            <w:color w:val="0000FF"/>
          </w:rPr>
          <w:t>Form of Notice of Award of Performance Stock Units (February 22, 2017 - February 25, 2019 version) is incorporated by reference from Exhibit 10.4 to</w:t>
        </w:r>
      </w:hyperlink>
      <w:r>
        <w:rPr>
          <w:rFonts w:ascii="Arial" w:cs="Arial" w:eastAsia="Arial" w:hAnsi="Arial"/>
          <w:sz w:val="16"/>
          <w:szCs w:val="16"/>
          <w:u w:val="single" w:color="auto"/>
          <w:color w:val="0000FF"/>
        </w:rPr>
        <w:t xml:space="preserve"> </w:t>
      </w:r>
      <w:hyperlink r:id="rId276">
        <w:r>
          <w:rPr>
            <w:rFonts w:ascii="Arial" w:cs="Arial" w:eastAsia="Arial" w:hAnsi="Arial"/>
            <w:sz w:val="16"/>
            <w:szCs w:val="16"/>
            <w:u w:val="single" w:color="auto"/>
            <w:color w:val="0000FF"/>
          </w:rPr>
          <w:t>the Company’s Quarterly Report on Form 10-Q for the quarter ended April 2, 2017.</w:t>
        </w:r>
        <w:r>
          <w:rPr>
            <w:rFonts w:ascii="Arial" w:cs="Arial" w:eastAsia="Arial" w:hAnsi="Arial"/>
            <w:sz w:val="20"/>
            <w:szCs w:val="20"/>
            <w:color w:val="000000"/>
            <w:vertAlign w:val="superscript"/>
          </w:rPr>
          <w:t>+</w:t>
        </w:r>
      </w:hyperlink>
    </w:p>
    <w:p>
      <w:pPr>
        <w:ind w:right="380" w:hanging="159"/>
        <w:spacing w:after="0" w:line="247" w:lineRule="auto"/>
        <w:rPr>
          <w:rFonts w:ascii="Arial" w:cs="Arial" w:eastAsia="Arial" w:hAnsi="Arial"/>
          <w:sz w:val="16"/>
          <w:szCs w:val="16"/>
          <w:color w:val="0000FF"/>
        </w:rPr>
      </w:pPr>
      <w:hyperlink r:id="rId277">
        <w:r>
          <w:rPr>
            <w:rFonts w:ascii="Arial" w:cs="Arial" w:eastAsia="Arial" w:hAnsi="Arial"/>
            <w:sz w:val="16"/>
            <w:szCs w:val="16"/>
            <w:u w:val="single" w:color="auto"/>
            <w:color w:val="0000FF"/>
          </w:rPr>
          <w:t>Form of Notice of Award of Performance Stock Units (effective February 26, 2019) is incorporated by reference from Exhibit 10.5 to the Company’s</w:t>
        </w:r>
      </w:hyperlink>
      <w:r>
        <w:rPr>
          <w:rFonts w:ascii="Arial" w:cs="Arial" w:eastAsia="Arial" w:hAnsi="Arial"/>
          <w:sz w:val="16"/>
          <w:szCs w:val="16"/>
          <w:u w:val="single" w:color="auto"/>
          <w:color w:val="0000FF"/>
        </w:rPr>
        <w:t xml:space="preserve"> </w:t>
      </w:r>
      <w:hyperlink r:id="rId277">
        <w:r>
          <w:rPr>
            <w:rFonts w:ascii="Arial" w:cs="Arial" w:eastAsia="Arial" w:hAnsi="Arial"/>
            <w:sz w:val="16"/>
            <w:szCs w:val="16"/>
            <w:u w:val="single" w:color="auto"/>
            <w:color w:val="0000FF"/>
          </w:rPr>
          <w:t>Quarterly Report on Form 10-Q for the quarter ended March 31, 2019.</w:t>
        </w:r>
        <w:r>
          <w:rPr>
            <w:rFonts w:ascii="Arial" w:cs="Arial" w:eastAsia="Arial" w:hAnsi="Arial"/>
            <w:sz w:val="20"/>
            <w:szCs w:val="20"/>
            <w:color w:val="000000"/>
            <w:vertAlign w:val="superscript"/>
          </w:rPr>
          <w:t>+</w:t>
        </w:r>
      </w:hyperlink>
    </w:p>
    <w:p>
      <w:pPr>
        <w:ind w:right="40" w:hanging="159"/>
        <w:spacing w:after="0" w:line="247" w:lineRule="auto"/>
        <w:rPr>
          <w:rFonts w:ascii="Arial" w:cs="Arial" w:eastAsia="Arial" w:hAnsi="Arial"/>
          <w:sz w:val="16"/>
          <w:szCs w:val="16"/>
          <w:color w:val="0000FF"/>
        </w:rPr>
      </w:pPr>
      <w:hyperlink r:id="rId278">
        <w:r>
          <w:rPr>
            <w:rFonts w:ascii="Arial" w:cs="Arial" w:eastAsia="Arial" w:hAnsi="Arial"/>
            <w:sz w:val="16"/>
            <w:szCs w:val="16"/>
            <w:u w:val="single" w:color="auto"/>
            <w:color w:val="0000FF"/>
          </w:rPr>
          <w:t>Form of Notice of Special Award of Performance Stock Units is incorporated by reference from Exhibit 10.1 to the Company’s Current Report on Form 8-</w:t>
        </w:r>
      </w:hyperlink>
      <w:hyperlink r:id="rId278">
        <w:r>
          <w:rPr>
            <w:rFonts w:ascii="Arial" w:cs="Arial" w:eastAsia="Arial" w:hAnsi="Arial"/>
            <w:sz w:val="16"/>
            <w:szCs w:val="16"/>
            <w:u w:val="single" w:color="auto"/>
            <w:color w:val="0000FF"/>
          </w:rPr>
          <w:t>K filed May 5, 2017.</w:t>
        </w:r>
        <w:r>
          <w:rPr>
            <w:rFonts w:ascii="Arial" w:cs="Arial" w:eastAsia="Arial" w:hAnsi="Arial"/>
            <w:sz w:val="20"/>
            <w:szCs w:val="20"/>
            <w:color w:val="000000"/>
            <w:vertAlign w:val="superscript"/>
          </w:rPr>
          <w:t>+</w:t>
        </w:r>
      </w:hyperlink>
    </w:p>
    <w:p>
      <w:pPr>
        <w:ind w:right="40" w:hanging="159"/>
        <w:spacing w:after="0" w:line="247" w:lineRule="auto"/>
        <w:rPr>
          <w:rFonts w:ascii="Arial" w:cs="Arial" w:eastAsia="Arial" w:hAnsi="Arial"/>
          <w:sz w:val="16"/>
          <w:szCs w:val="16"/>
          <w:color w:val="0000FF"/>
        </w:rPr>
      </w:pPr>
      <w:hyperlink r:id="rId279">
        <w:r>
          <w:rPr>
            <w:rFonts w:ascii="Arial" w:cs="Arial" w:eastAsia="Arial" w:hAnsi="Arial"/>
            <w:sz w:val="16"/>
            <w:szCs w:val="16"/>
            <w:u w:val="single" w:color="auto"/>
            <w:color w:val="0000FF"/>
          </w:rPr>
          <w:t>The Long-Term Incentive Program Participation Agreement is incorporated by reference from Exhibit 10.2 to the Company's Current Report on Form 8-K</w:t>
        </w:r>
      </w:hyperlink>
      <w:r>
        <w:rPr>
          <w:rFonts w:ascii="Arial" w:cs="Arial" w:eastAsia="Arial" w:hAnsi="Arial"/>
          <w:sz w:val="16"/>
          <w:szCs w:val="16"/>
          <w:u w:val="single" w:color="auto"/>
          <w:color w:val="0000FF"/>
        </w:rPr>
        <w:t xml:space="preserve"> </w:t>
      </w:r>
      <w:hyperlink r:id="rId279">
        <w:r>
          <w:rPr>
            <w:rFonts w:ascii="Arial" w:cs="Arial" w:eastAsia="Arial" w:hAnsi="Arial"/>
            <w:sz w:val="16"/>
            <w:szCs w:val="16"/>
            <w:u w:val="single" w:color="auto"/>
            <w:color w:val="0000FF"/>
          </w:rPr>
          <w:t>filed February 18, 2005.</w:t>
        </w:r>
        <w:r>
          <w:rPr>
            <w:rFonts w:ascii="Arial" w:cs="Arial" w:eastAsia="Arial" w:hAnsi="Arial"/>
            <w:sz w:val="20"/>
            <w:szCs w:val="20"/>
            <w:color w:val="000000"/>
            <w:vertAlign w:val="superscript"/>
          </w:rPr>
          <w:t>+</w:t>
        </w:r>
      </w:hyperlink>
    </w:p>
    <w:p>
      <w:pPr>
        <w:ind w:right="720" w:hanging="159"/>
        <w:spacing w:after="0" w:line="247" w:lineRule="auto"/>
        <w:rPr>
          <w:rFonts w:ascii="Arial" w:cs="Arial" w:eastAsia="Arial" w:hAnsi="Arial"/>
          <w:sz w:val="16"/>
          <w:szCs w:val="16"/>
          <w:color w:val="0000FF"/>
        </w:rPr>
      </w:pPr>
      <w:hyperlink r:id="rId280">
        <w:r>
          <w:rPr>
            <w:rFonts w:ascii="Arial" w:cs="Arial" w:eastAsia="Arial" w:hAnsi="Arial"/>
            <w:sz w:val="16"/>
            <w:szCs w:val="16"/>
            <w:u w:val="single" w:color="auto"/>
            <w:color w:val="0000FF"/>
          </w:rPr>
          <w:t>The Company’s Deferred Compensation Plan, Amended and Restated as of June 27, 2012, is incorporated by reference from Exhibit 10.3 to the</w:t>
        </w:r>
      </w:hyperlink>
      <w:r>
        <w:rPr>
          <w:rFonts w:ascii="Arial" w:cs="Arial" w:eastAsia="Arial" w:hAnsi="Arial"/>
          <w:sz w:val="16"/>
          <w:szCs w:val="16"/>
          <w:u w:val="single" w:color="auto"/>
          <w:color w:val="0000FF"/>
        </w:rPr>
        <w:t xml:space="preserve"> </w:t>
      </w:r>
      <w:hyperlink r:id="rId280">
        <w:r>
          <w:rPr>
            <w:rFonts w:ascii="Arial" w:cs="Arial" w:eastAsia="Arial" w:hAnsi="Arial"/>
            <w:sz w:val="16"/>
            <w:szCs w:val="16"/>
            <w:u w:val="single" w:color="auto"/>
            <w:color w:val="0000FF"/>
          </w:rPr>
          <w:t>Company’s Quarterly Report on Form 10-Q for the quarter ended July 1, 2012.</w:t>
        </w:r>
        <w:r>
          <w:rPr>
            <w:rFonts w:ascii="Arial" w:cs="Arial" w:eastAsia="Arial" w:hAnsi="Arial"/>
            <w:sz w:val="20"/>
            <w:szCs w:val="20"/>
            <w:color w:val="000000"/>
            <w:vertAlign w:val="superscript"/>
          </w:rPr>
          <w:t>+</w:t>
        </w:r>
      </w:hyperlink>
    </w:p>
    <w:p>
      <w:pPr>
        <w:ind w:hanging="159"/>
        <w:spacing w:after="0" w:line="247" w:lineRule="auto"/>
        <w:rPr>
          <w:rFonts w:ascii="Arial" w:cs="Arial" w:eastAsia="Arial" w:hAnsi="Arial"/>
          <w:sz w:val="16"/>
          <w:szCs w:val="16"/>
          <w:color w:val="0000FF"/>
        </w:rPr>
      </w:pPr>
      <w:hyperlink r:id="rId281">
        <w:r>
          <w:rPr>
            <w:rFonts w:ascii="Arial" w:cs="Arial" w:eastAsia="Arial" w:hAnsi="Arial"/>
            <w:sz w:val="16"/>
            <w:szCs w:val="16"/>
            <w:u w:val="single" w:color="auto"/>
            <w:color w:val="0000FF"/>
          </w:rPr>
          <w:t>The Company’s Supplemental Executive Retirement Plan, Amended and Restated as of October 2, 2007, is incorporated by reference from Exhibit 10.6 to</w:t>
        </w:r>
      </w:hyperlink>
      <w:r>
        <w:rPr>
          <w:rFonts w:ascii="Arial" w:cs="Arial" w:eastAsia="Arial" w:hAnsi="Arial"/>
          <w:sz w:val="16"/>
          <w:szCs w:val="16"/>
          <w:u w:val="single" w:color="auto"/>
          <w:color w:val="0000FF"/>
        </w:rPr>
        <w:t xml:space="preserve"> </w:t>
      </w:r>
      <w:hyperlink r:id="rId281">
        <w:r>
          <w:rPr>
            <w:rFonts w:ascii="Arial" w:cs="Arial" w:eastAsia="Arial" w:hAnsi="Arial"/>
            <w:sz w:val="16"/>
            <w:szCs w:val="16"/>
            <w:u w:val="single" w:color="auto"/>
            <w:color w:val="0000FF"/>
          </w:rPr>
          <w:t>the Company’s Annual Report on Form 10-K for the fiscal year ended December 31, 2007.</w:t>
        </w:r>
        <w:r>
          <w:rPr>
            <w:rFonts w:ascii="Arial" w:cs="Arial" w:eastAsia="Arial" w:hAnsi="Arial"/>
            <w:sz w:val="20"/>
            <w:szCs w:val="20"/>
            <w:color w:val="000000"/>
            <w:vertAlign w:val="superscript"/>
          </w:rPr>
          <w:t>+</w:t>
        </w:r>
      </w:hyperlink>
    </w:p>
    <w:p>
      <w:pPr>
        <w:ind w:right="100" w:hanging="159"/>
        <w:spacing w:after="0" w:line="253" w:lineRule="auto"/>
        <w:rPr>
          <w:rFonts w:ascii="Arial" w:cs="Arial" w:eastAsia="Arial" w:hAnsi="Arial"/>
          <w:sz w:val="15"/>
          <w:szCs w:val="15"/>
          <w:color w:val="0000FF"/>
        </w:rPr>
      </w:pPr>
      <w:hyperlink r:id="rId282">
        <w:r>
          <w:rPr>
            <w:rFonts w:ascii="Arial" w:cs="Arial" w:eastAsia="Arial" w:hAnsi="Arial"/>
            <w:sz w:val="15"/>
            <w:szCs w:val="15"/>
            <w:u w:val="single" w:color="auto"/>
            <w:color w:val="0000FF"/>
          </w:rPr>
          <w:t>First Amendment to the Company’s Supplemental Executive Retirement Plan, Amended and Restated as of October 2, 2007, is incorporated by reference</w:t>
        </w:r>
      </w:hyperlink>
      <w:r>
        <w:rPr>
          <w:rFonts w:ascii="Arial" w:cs="Arial" w:eastAsia="Arial" w:hAnsi="Arial"/>
          <w:sz w:val="15"/>
          <w:szCs w:val="15"/>
          <w:u w:val="single" w:color="auto"/>
          <w:color w:val="0000FF"/>
        </w:rPr>
        <w:t xml:space="preserve"> </w:t>
      </w:r>
      <w:hyperlink r:id="rId282">
        <w:r>
          <w:rPr>
            <w:rFonts w:ascii="Arial" w:cs="Arial" w:eastAsia="Arial" w:hAnsi="Arial"/>
            <w:sz w:val="15"/>
            <w:szCs w:val="15"/>
            <w:u w:val="single" w:color="auto"/>
            <w:color w:val="0000FF"/>
          </w:rPr>
          <w:t>from Exhibit 10.5 to the Company’s Annual Report on Form 10-K for the fiscal year ended December 31, 2008.</w:t>
        </w:r>
        <w:r>
          <w:rPr>
            <w:rFonts w:ascii="Arial" w:cs="Arial" w:eastAsia="Arial" w:hAnsi="Arial"/>
            <w:sz w:val="19"/>
            <w:szCs w:val="19"/>
            <w:color w:val="000000"/>
            <w:vertAlign w:val="superscript"/>
          </w:rPr>
          <w:t>+</w:t>
        </w:r>
      </w:hyperlink>
    </w:p>
    <w:p>
      <w:pPr>
        <w:spacing w:after="0" w:line="1" w:lineRule="exact"/>
        <w:rPr>
          <w:sz w:val="20"/>
          <w:szCs w:val="20"/>
          <w:color w:val="auto"/>
        </w:rPr>
      </w:pPr>
    </w:p>
    <w:p>
      <w:pPr>
        <w:sectPr>
          <w:pgSz w:w="11900" w:h="16838" w:orient="portrait"/>
          <w:cols w:equalWidth="0" w:num="2">
            <w:col w:w="760" w:space="520"/>
            <w:col w:w="9760"/>
          </w:cols>
          <w:pgMar w:left="340" w:top="1440" w:right="519" w:bottom="1440" w:gutter="0" w:footer="0" w:header="0"/>
          <w:type w:val="continuous"/>
        </w:sectPr>
      </w:pPr>
    </w:p>
    <w:p>
      <w:pPr>
        <w:ind w:left="1120" w:right="180" w:hanging="963"/>
        <w:spacing w:after="0" w:line="247" w:lineRule="auto"/>
        <w:tabs>
          <w:tab w:leader="none" w:pos="1100" w:val="left"/>
        </w:tabs>
        <w:rPr>
          <w:rFonts w:ascii="Arial" w:cs="Arial" w:eastAsia="Arial" w:hAnsi="Arial"/>
          <w:sz w:val="16"/>
          <w:szCs w:val="16"/>
          <w:color w:val="0000FF"/>
        </w:rPr>
      </w:pPr>
      <w:hyperlink r:id="rId283">
        <w:r>
          <w:rPr>
            <w:rFonts w:ascii="Arial" w:cs="Arial" w:eastAsia="Arial" w:hAnsi="Arial"/>
            <w:sz w:val="16"/>
            <w:szCs w:val="16"/>
            <w:u w:val="single" w:color="auto"/>
            <w:color w:val="0000FF"/>
          </w:rPr>
          <w:t>10.17</w:t>
        </w:r>
      </w:hyperlink>
      <w:r>
        <w:rPr>
          <w:rFonts w:ascii="Arial" w:cs="Arial" w:eastAsia="Arial" w:hAnsi="Arial"/>
          <w:sz w:val="16"/>
          <w:szCs w:val="16"/>
          <w:u w:val="single" w:color="auto"/>
          <w:color w:val="0000FF"/>
        </w:rPr>
        <w:tab/>
      </w:r>
      <w:hyperlink r:id="rId283">
        <w:r>
          <w:rPr>
            <w:rFonts w:ascii="Arial" w:cs="Arial" w:eastAsia="Arial" w:hAnsi="Arial"/>
            <w:sz w:val="16"/>
            <w:szCs w:val="16"/>
            <w:u w:val="single" w:color="auto"/>
            <w:color w:val="0000FF"/>
          </w:rPr>
          <w:t>The Company’s Compensation Limit Replacement Plan, Amended and Restated as of January 1, 2009, is incorporated by reference from Exhibit 10.6 to</w:t>
        </w:r>
      </w:hyperlink>
      <w:r>
        <w:rPr>
          <w:rFonts w:ascii="Arial" w:cs="Arial" w:eastAsia="Arial" w:hAnsi="Arial"/>
          <w:sz w:val="16"/>
          <w:szCs w:val="16"/>
          <w:u w:val="single" w:color="auto"/>
          <w:color w:val="0000FF"/>
        </w:rPr>
        <w:t xml:space="preserve"> </w:t>
      </w:r>
      <w:hyperlink r:id="rId283">
        <w:r>
          <w:rPr>
            <w:rFonts w:ascii="Arial" w:cs="Arial" w:eastAsia="Arial" w:hAnsi="Arial"/>
            <w:sz w:val="16"/>
            <w:szCs w:val="16"/>
            <w:u w:val="single" w:color="auto"/>
            <w:color w:val="0000FF"/>
          </w:rPr>
          <w:t>the Company’s Annual Report on Form 10-K for the fiscal year ended December 31, 2008.</w:t>
        </w:r>
        <w:r>
          <w:rPr>
            <w:rFonts w:ascii="Arial" w:cs="Arial" w:eastAsia="Arial" w:hAnsi="Arial"/>
            <w:sz w:val="20"/>
            <w:szCs w:val="20"/>
            <w:color w:val="000000"/>
            <w:vertAlign w:val="superscript"/>
          </w:rPr>
          <w:t>+</w:t>
        </w:r>
      </w:hyperlink>
    </w:p>
    <w:p>
      <w:pPr>
        <w:ind w:left="300"/>
        <w:spacing w:after="0"/>
        <w:tabs>
          <w:tab w:leader="none" w:pos="1100" w:val="left"/>
        </w:tabs>
        <w:rPr>
          <w:rFonts w:ascii="Arial" w:cs="Arial" w:eastAsia="Arial" w:hAnsi="Arial"/>
          <w:sz w:val="14"/>
          <w:szCs w:val="14"/>
          <w:u w:val="single" w:color="auto"/>
          <w:color w:val="0000FF"/>
        </w:rPr>
      </w:pPr>
      <w:hyperlink r:id="rId284">
        <w:r>
          <w:rPr>
            <w:rFonts w:ascii="Arial" w:cs="Arial" w:eastAsia="Arial" w:hAnsi="Arial"/>
            <w:sz w:val="16"/>
            <w:szCs w:val="16"/>
            <w:u w:val="single" w:color="auto"/>
            <w:color w:val="0000FF"/>
          </w:rPr>
          <w:t>10.18</w:t>
        </w:r>
      </w:hyperlink>
      <w:r>
        <w:rPr>
          <w:rFonts w:ascii="Arial" w:cs="Arial" w:eastAsia="Arial" w:hAnsi="Arial"/>
          <w:sz w:val="16"/>
          <w:szCs w:val="16"/>
          <w:u w:val="single" w:color="auto"/>
          <w:color w:val="0000FF"/>
        </w:rPr>
        <w:tab/>
      </w:r>
      <w:hyperlink r:id="rId284">
        <w:r>
          <w:rPr>
            <w:rFonts w:ascii="Arial" w:cs="Arial" w:eastAsia="Arial" w:hAnsi="Arial"/>
            <w:sz w:val="14"/>
            <w:szCs w:val="14"/>
            <w:u w:val="single" w:color="auto"/>
            <w:color w:val="0000FF"/>
          </w:rPr>
          <w:t>The Company’s Executive Benefits Protection Plan (Group 3A), Amended and Restated as of June 27, 2012, is incorporated by reference from Exhibit</w:t>
        </w:r>
      </w:hyperlink>
    </w:p>
    <w:p>
      <w:pPr>
        <w:spacing w:after="0" w:line="13" w:lineRule="exact"/>
        <w:rPr>
          <w:sz w:val="20"/>
          <w:szCs w:val="20"/>
          <w:color w:val="auto"/>
        </w:rPr>
      </w:pPr>
    </w:p>
    <w:p>
      <w:pPr>
        <w:ind w:left="1280"/>
        <w:spacing w:after="0"/>
        <w:rPr>
          <w:rFonts w:ascii="Arial" w:cs="Arial" w:eastAsia="Arial" w:hAnsi="Arial"/>
          <w:sz w:val="16"/>
          <w:szCs w:val="16"/>
          <w:color w:val="0000FF"/>
        </w:rPr>
      </w:pPr>
      <w:hyperlink r:id="rId284">
        <w:r>
          <w:rPr>
            <w:rFonts w:ascii="Arial" w:cs="Arial" w:eastAsia="Arial" w:hAnsi="Arial"/>
            <w:sz w:val="16"/>
            <w:szCs w:val="16"/>
            <w:u w:val="single" w:color="auto"/>
            <w:color w:val="0000FF"/>
          </w:rPr>
          <w:t>10.2 to the Company’s Quarterly Report on Form 10-Q for the quarter ended July 1, 2012.</w:t>
        </w:r>
        <w:r>
          <w:rPr>
            <w:rFonts w:ascii="Arial" w:cs="Arial" w:eastAsia="Arial" w:hAnsi="Arial"/>
            <w:sz w:val="20"/>
            <w:szCs w:val="20"/>
            <w:color w:val="000000"/>
            <w:vertAlign w:val="superscript"/>
          </w:rPr>
          <w:t>+</w:t>
        </w:r>
      </w:hyperlink>
    </w:p>
    <w:p>
      <w:pPr>
        <w:ind w:left="1120" w:hanging="963"/>
        <w:spacing w:after="0" w:line="285" w:lineRule="auto"/>
        <w:tabs>
          <w:tab w:leader="none" w:pos="1100" w:val="left"/>
        </w:tabs>
        <w:rPr>
          <w:rFonts w:ascii="Arial" w:cs="Arial" w:eastAsia="Arial" w:hAnsi="Arial"/>
          <w:sz w:val="16"/>
          <w:szCs w:val="16"/>
          <w:color w:val="0000FF"/>
        </w:rPr>
      </w:pPr>
      <w:hyperlink r:id="rId285">
        <w:r>
          <w:rPr>
            <w:rFonts w:ascii="Arial" w:cs="Arial" w:eastAsia="Arial" w:hAnsi="Arial"/>
            <w:sz w:val="16"/>
            <w:szCs w:val="16"/>
            <w:u w:val="single" w:color="auto"/>
            <w:color w:val="0000FF"/>
          </w:rPr>
          <w:t>10.19</w:t>
        </w:r>
      </w:hyperlink>
      <w:r>
        <w:rPr>
          <w:rFonts w:ascii="Arial" w:cs="Arial" w:eastAsia="Arial" w:hAnsi="Arial"/>
          <w:sz w:val="16"/>
          <w:szCs w:val="16"/>
          <w:u w:val="single" w:color="auto"/>
          <w:color w:val="0000FF"/>
        </w:rPr>
        <w:tab/>
      </w:r>
      <w:hyperlink r:id="rId285">
        <w:r>
          <w:rPr>
            <w:rFonts w:ascii="Arial" w:cs="Arial" w:eastAsia="Arial" w:hAnsi="Arial"/>
            <w:sz w:val="16"/>
            <w:szCs w:val="16"/>
            <w:u w:val="single" w:color="auto"/>
            <w:color w:val="0000FF"/>
          </w:rPr>
          <w:t>The Company's Executive Benefits Protection Plan (Group 3), Amended and Restated as of June 27, 2012, is incorporated by reference from Exhibit 10.18</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to the Company’s Annual Report on Form 10-K for the fiscal year ended December 31, 2015.</w:t>
        </w:r>
        <w:r>
          <w:rPr>
            <w:rFonts w:ascii="Arial" w:cs="Arial" w:eastAsia="Arial" w:hAnsi="Arial"/>
            <w:sz w:val="20"/>
            <w:szCs w:val="20"/>
            <w:color w:val="000000"/>
            <w:vertAlign w:val="superscript"/>
          </w:rPr>
          <w:t>+</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6922770</wp:posOffset>
            </wp:positionH>
            <wp:positionV relativeFrom="paragraph">
              <wp:posOffset>429895</wp:posOffset>
            </wp:positionV>
            <wp:extent cx="194945" cy="169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27" w:lineRule="exact"/>
        <w:rPr>
          <w:rFonts w:ascii="Arial" w:cs="Arial" w:eastAsia="Arial" w:hAnsi="Arial"/>
          <w:sz w:val="16"/>
          <w:szCs w:val="16"/>
          <w:u w:val="single" w:color="auto"/>
          <w:color w:val="0000FF"/>
        </w:rPr>
      </w:pPr>
    </w:p>
    <w:p>
      <w:pPr>
        <w:spacing w:after="0"/>
        <w:tabs>
          <w:tab w:leader="none" w:pos="39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105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3422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type w:val="continuous"/>
        </w:sectPr>
      </w:pPr>
    </w:p>
    <w:bookmarkStart w:id="107" w:name="page108"/>
    <w:bookmarkEnd w:id="107"/>
    <w:p>
      <w:pPr>
        <w:spacing w:after="0" w:line="23" w:lineRule="exact"/>
        <w:rPr>
          <w:sz w:val="20"/>
          <w:szCs w:val="20"/>
          <w:color w:val="auto"/>
        </w:rPr>
      </w:pPr>
    </w:p>
    <w:p>
      <w:pPr>
        <w:ind w:left="1140" w:right="220" w:hanging="963"/>
        <w:spacing w:after="0" w:line="253" w:lineRule="auto"/>
        <w:tabs>
          <w:tab w:leader="none" w:pos="1120" w:val="left"/>
        </w:tabs>
        <w:rPr>
          <w:rFonts w:ascii="Arial" w:cs="Arial" w:eastAsia="Arial" w:hAnsi="Arial"/>
          <w:sz w:val="16"/>
          <w:szCs w:val="16"/>
          <w:color w:val="0000FF"/>
        </w:rPr>
      </w:pPr>
      <w:hyperlink r:id="rId288">
        <w:r>
          <w:rPr>
            <w:rFonts w:ascii="Arial" w:cs="Arial" w:eastAsia="Arial" w:hAnsi="Arial"/>
            <w:sz w:val="16"/>
            <w:szCs w:val="16"/>
            <w:u w:val="single" w:color="auto"/>
            <w:color w:val="0000FF"/>
          </w:rPr>
          <w:t>10.20</w:t>
        </w:r>
      </w:hyperlink>
      <w:r>
        <w:rPr>
          <w:rFonts w:ascii="Arial" w:cs="Arial" w:eastAsia="Arial" w:hAnsi="Arial"/>
          <w:sz w:val="16"/>
          <w:szCs w:val="16"/>
          <w:u w:val="single" w:color="auto"/>
          <w:color w:val="0000FF"/>
        </w:rPr>
        <w:tab/>
      </w:r>
      <w:hyperlink r:id="rId288">
        <w:r>
          <w:rPr>
            <w:rFonts w:ascii="Arial" w:cs="Arial" w:eastAsia="Arial" w:hAnsi="Arial"/>
            <w:sz w:val="16"/>
            <w:szCs w:val="16"/>
            <w:u w:val="single" w:color="auto"/>
            <w:color w:val="0000FF"/>
          </w:rPr>
          <w:t>Executive Confidentiality and Restrictive Covenant Agreement, adopted as of February 16, 2009, is incorporated by reference from Exhibit 10.4 to the</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Company’s Annual Report on Form 10-K for the fiscal year ended December 31, 2008.</w:t>
        </w:r>
        <w:r>
          <w:rPr>
            <w:rFonts w:ascii="Arial" w:cs="Arial" w:eastAsia="Arial" w:hAnsi="Arial"/>
            <w:sz w:val="20"/>
            <w:szCs w:val="20"/>
            <w:color w:val="000000"/>
            <w:vertAlign w:val="superscript"/>
          </w:rPr>
          <w:t>+</w:t>
        </w:r>
      </w:hyperlink>
    </w:p>
    <w:p>
      <w:pPr>
        <w:spacing w:after="0" w:line="4" w:lineRule="exact"/>
        <w:rPr>
          <w:rFonts w:ascii="Arial" w:cs="Arial" w:eastAsia="Arial" w:hAnsi="Arial"/>
          <w:sz w:val="16"/>
          <w:szCs w:val="16"/>
          <w:u w:val="single" w:color="auto"/>
          <w:color w:val="0000FF"/>
        </w:rPr>
      </w:pPr>
    </w:p>
    <w:p>
      <w:pPr>
        <w:ind w:left="1140" w:right="140" w:hanging="1052"/>
        <w:spacing w:after="0" w:line="247" w:lineRule="auto"/>
        <w:tabs>
          <w:tab w:leader="none" w:pos="1120" w:val="left"/>
        </w:tabs>
        <w:rPr>
          <w:rFonts w:ascii="Arial" w:cs="Arial" w:eastAsia="Arial" w:hAnsi="Arial"/>
          <w:sz w:val="16"/>
          <w:szCs w:val="16"/>
          <w:color w:val="0000FF"/>
        </w:rPr>
      </w:pPr>
      <w:hyperlink r:id="rId289">
        <w:r>
          <w:rPr>
            <w:rFonts w:ascii="Arial" w:cs="Arial" w:eastAsia="Arial" w:hAnsi="Arial"/>
            <w:sz w:val="16"/>
            <w:szCs w:val="16"/>
            <w:u w:val="single" w:color="auto"/>
            <w:color w:val="0000FF"/>
          </w:rPr>
          <w:t>10.21(a)</w:t>
        </w:r>
      </w:hyperlink>
      <w:r>
        <w:rPr>
          <w:rFonts w:ascii="Arial" w:cs="Arial" w:eastAsia="Arial" w:hAnsi="Arial"/>
          <w:sz w:val="16"/>
          <w:szCs w:val="16"/>
          <w:u w:val="single" w:color="auto"/>
          <w:color w:val="0000FF"/>
        </w:rPr>
        <w:tab/>
      </w:r>
      <w:hyperlink r:id="rId289">
        <w:r>
          <w:rPr>
            <w:rFonts w:ascii="Arial" w:cs="Arial" w:eastAsia="Arial" w:hAnsi="Arial"/>
            <w:sz w:val="16"/>
            <w:szCs w:val="16"/>
            <w:u w:val="single" w:color="auto"/>
            <w:color w:val="0000FF"/>
          </w:rPr>
          <w:t>Employee Confidentiality and Restrictive Covenant Agreement, amended as of February 18, 2013, is incorporated by reference from Exhibit 10.1 to the</w:t>
        </w:r>
      </w:hyperlink>
      <w:r>
        <w:rPr>
          <w:rFonts w:ascii="Arial" w:cs="Arial" w:eastAsia="Arial" w:hAnsi="Arial"/>
          <w:sz w:val="16"/>
          <w:szCs w:val="16"/>
          <w:u w:val="single" w:color="auto"/>
          <w:color w:val="0000FF"/>
        </w:rPr>
        <w:t xml:space="preserve"> </w:t>
      </w:r>
      <w:hyperlink r:id="rId289">
        <w:r>
          <w:rPr>
            <w:rFonts w:ascii="Arial" w:cs="Arial" w:eastAsia="Arial" w:hAnsi="Arial"/>
            <w:sz w:val="16"/>
            <w:szCs w:val="16"/>
            <w:u w:val="single" w:color="auto"/>
            <w:color w:val="0000FF"/>
          </w:rPr>
          <w:t>Company's Quarterly Report on Form 10-Q for the quarter ended March 31, 2013.</w:t>
        </w:r>
        <w:r>
          <w:rPr>
            <w:rFonts w:ascii="Arial" w:cs="Arial" w:eastAsia="Arial" w:hAnsi="Arial"/>
            <w:sz w:val="20"/>
            <w:szCs w:val="20"/>
            <w:color w:val="000000"/>
            <w:vertAlign w:val="superscript"/>
          </w:rPr>
          <w:t>+</w:t>
        </w:r>
      </w:hyperlink>
    </w:p>
    <w:p>
      <w:pPr>
        <w:ind w:left="1140" w:right="160" w:hanging="1056"/>
        <w:spacing w:after="0" w:line="247" w:lineRule="auto"/>
        <w:tabs>
          <w:tab w:leader="none" w:pos="1120" w:val="left"/>
        </w:tabs>
        <w:rPr>
          <w:rFonts w:ascii="Arial" w:cs="Arial" w:eastAsia="Arial" w:hAnsi="Arial"/>
          <w:sz w:val="16"/>
          <w:szCs w:val="16"/>
          <w:color w:val="0000FF"/>
        </w:rPr>
      </w:pPr>
      <w:hyperlink r:id="rId290">
        <w:r>
          <w:rPr>
            <w:rFonts w:ascii="Arial" w:cs="Arial" w:eastAsia="Arial" w:hAnsi="Arial"/>
            <w:sz w:val="16"/>
            <w:szCs w:val="16"/>
            <w:u w:val="single" w:color="auto"/>
            <w:color w:val="0000FF"/>
          </w:rPr>
          <w:t>10.21(b)</w:t>
        </w:r>
      </w:hyperlink>
      <w:r>
        <w:rPr>
          <w:rFonts w:ascii="Arial" w:cs="Arial" w:eastAsia="Arial" w:hAnsi="Arial"/>
          <w:sz w:val="16"/>
          <w:szCs w:val="16"/>
          <w:u w:val="single" w:color="auto"/>
          <w:color w:val="0000FF"/>
        </w:rPr>
        <w:tab/>
      </w:r>
      <w:hyperlink r:id="rId290">
        <w:r>
          <w:rPr>
            <w:rFonts w:ascii="Arial" w:cs="Arial" w:eastAsia="Arial" w:hAnsi="Arial"/>
            <w:sz w:val="16"/>
            <w:szCs w:val="16"/>
            <w:u w:val="single" w:color="auto"/>
            <w:color w:val="0000FF"/>
          </w:rPr>
          <w:t>Employee Confidentiality and Restrictive Covenant Agreement, amended as of October 10, 2016, is incorporated by reference from Exhibit 10.21(b) to</w:t>
        </w:r>
      </w:hyperlink>
      <w:r>
        <w:rPr>
          <w:rFonts w:ascii="Arial" w:cs="Arial" w:eastAsia="Arial" w:hAnsi="Arial"/>
          <w:sz w:val="16"/>
          <w:szCs w:val="16"/>
          <w:u w:val="single" w:color="auto"/>
          <w:color w:val="0000FF"/>
        </w:rPr>
        <w:t xml:space="preserve"> </w:t>
      </w:r>
      <w:hyperlink r:id="rId290">
        <w:r>
          <w:rPr>
            <w:rFonts w:ascii="Arial" w:cs="Arial" w:eastAsia="Arial" w:hAnsi="Arial"/>
            <w:sz w:val="16"/>
            <w:szCs w:val="16"/>
            <w:u w:val="single" w:color="auto"/>
            <w:color w:val="0000FF"/>
          </w:rPr>
          <w:t>the Company’s Annual Report on Form 10-K for the fiscal year ended December 31, 2016.</w:t>
        </w:r>
        <w:r>
          <w:rPr>
            <w:rFonts w:ascii="Arial" w:cs="Arial" w:eastAsia="Arial" w:hAnsi="Arial"/>
            <w:sz w:val="20"/>
            <w:szCs w:val="20"/>
            <w:color w:val="000000"/>
            <w:vertAlign w:val="superscript"/>
          </w:rPr>
          <w:t>+</w:t>
        </w:r>
      </w:hyperlink>
    </w:p>
    <w:p>
      <w:pPr>
        <w:ind w:left="1140" w:right="80" w:hanging="963"/>
        <w:spacing w:after="0" w:line="216" w:lineRule="auto"/>
        <w:tabs>
          <w:tab w:leader="none" w:pos="1120" w:val="left"/>
        </w:tabs>
        <w:rPr>
          <w:rFonts w:ascii="Arial" w:cs="Arial" w:eastAsia="Arial" w:hAnsi="Arial"/>
          <w:sz w:val="16"/>
          <w:szCs w:val="16"/>
          <w:color w:val="0000FF"/>
        </w:rPr>
      </w:pPr>
      <w:hyperlink r:id="rId291">
        <w:r>
          <w:rPr>
            <w:rFonts w:ascii="Arial" w:cs="Arial" w:eastAsia="Arial" w:hAnsi="Arial"/>
            <w:sz w:val="16"/>
            <w:szCs w:val="16"/>
            <w:u w:val="single" w:color="auto"/>
            <w:color w:val="0000FF"/>
          </w:rPr>
          <w:t>10.22</w:t>
        </w:r>
      </w:hyperlink>
      <w:r>
        <w:rPr>
          <w:rFonts w:ascii="Arial" w:cs="Arial" w:eastAsia="Arial" w:hAnsi="Arial"/>
          <w:sz w:val="16"/>
          <w:szCs w:val="16"/>
          <w:u w:val="single" w:color="auto"/>
          <w:color w:val="0000FF"/>
        </w:rPr>
        <w:tab/>
      </w:r>
      <w:hyperlink r:id="rId291">
        <w:r>
          <w:rPr>
            <w:rFonts w:ascii="Arial" w:cs="Arial" w:eastAsia="Arial" w:hAnsi="Arial"/>
            <w:sz w:val="16"/>
            <w:szCs w:val="16"/>
            <w:u w:val="single" w:color="auto"/>
            <w:color w:val="0000FF"/>
          </w:rPr>
          <w:t>Executive Employment Agreement, effective as of March 1, 2017, by and between the Company and Michele G. Buck is incorporated by reference from</w:t>
        </w:r>
      </w:hyperlink>
      <w:r>
        <w:rPr>
          <w:rFonts w:ascii="Arial" w:cs="Arial" w:eastAsia="Arial" w:hAnsi="Arial"/>
          <w:sz w:val="16"/>
          <w:szCs w:val="16"/>
          <w:u w:val="single" w:color="auto"/>
          <w:color w:val="0000FF"/>
        </w:rPr>
        <w:t xml:space="preserve"> </w:t>
      </w:r>
      <w:hyperlink r:id="rId291">
        <w:r>
          <w:rPr>
            <w:rFonts w:ascii="Arial" w:cs="Arial" w:eastAsia="Arial" w:hAnsi="Arial"/>
            <w:sz w:val="16"/>
            <w:szCs w:val="16"/>
            <w:u w:val="single" w:color="auto"/>
            <w:color w:val="0000FF"/>
          </w:rPr>
          <w:t>Exhibit 10.1 to the Company’s Current Report on Form 8-K/A filed February 24, 2017.</w:t>
        </w:r>
        <w:r>
          <w:rPr>
            <w:rFonts w:ascii="Arial" w:cs="Arial" w:eastAsia="Arial" w:hAnsi="Arial"/>
            <w:sz w:val="20"/>
            <w:szCs w:val="20"/>
            <w:color w:val="000000"/>
            <w:vertAlign w:val="superscript"/>
          </w:rPr>
          <w:t>+</w:t>
        </w:r>
      </w:hyperlink>
    </w:p>
    <w:p>
      <w:pPr>
        <w:spacing w:after="0" w:line="1" w:lineRule="exact"/>
        <w:rPr>
          <w:rFonts w:ascii="Arial" w:cs="Arial" w:eastAsia="Arial" w:hAnsi="Arial"/>
          <w:sz w:val="16"/>
          <w:szCs w:val="16"/>
          <w:u w:val="single" w:color="auto"/>
          <w:color w:val="0000FF"/>
        </w:rPr>
      </w:pPr>
    </w:p>
    <w:p>
      <w:pPr>
        <w:ind w:left="1140" w:right="300" w:hanging="963"/>
        <w:spacing w:after="0" w:line="247" w:lineRule="auto"/>
        <w:tabs>
          <w:tab w:leader="none" w:pos="1120" w:val="left"/>
        </w:tabs>
        <w:rPr>
          <w:rFonts w:ascii="Arial" w:cs="Arial" w:eastAsia="Arial" w:hAnsi="Arial"/>
          <w:sz w:val="16"/>
          <w:szCs w:val="16"/>
          <w:color w:val="0000FF"/>
        </w:rPr>
      </w:pPr>
      <w:hyperlink r:id="rId292">
        <w:r>
          <w:rPr>
            <w:rFonts w:ascii="Arial" w:cs="Arial" w:eastAsia="Arial" w:hAnsi="Arial"/>
            <w:sz w:val="16"/>
            <w:szCs w:val="16"/>
            <w:u w:val="single" w:color="auto"/>
            <w:color w:val="0000FF"/>
          </w:rPr>
          <w:t>10.23</w:t>
        </w:r>
      </w:hyperlink>
      <w:r>
        <w:rPr>
          <w:rFonts w:ascii="Arial" w:cs="Arial" w:eastAsia="Arial" w:hAnsi="Arial"/>
          <w:sz w:val="16"/>
          <w:szCs w:val="16"/>
          <w:u w:val="single" w:color="auto"/>
          <w:color w:val="0000FF"/>
        </w:rPr>
        <w:tab/>
      </w:r>
      <w:hyperlink r:id="rId292">
        <w:r>
          <w:rPr>
            <w:rFonts w:ascii="Arial" w:cs="Arial" w:eastAsia="Arial" w:hAnsi="Arial"/>
            <w:sz w:val="16"/>
            <w:szCs w:val="16"/>
            <w:u w:val="single" w:color="auto"/>
            <w:color w:val="0000FF"/>
          </w:rPr>
          <w:t>The Company’s Directors’ Compensation Plan, Amended and Restated as of December 2, 2008, is incorporated by reference from Exhibit 10.8 to the</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Company’s Annual Report on Form 10-K for the fiscal year ended December 31, 2008.</w:t>
        </w:r>
        <w:r>
          <w:rPr>
            <w:rFonts w:ascii="Arial" w:cs="Arial" w:eastAsia="Arial" w:hAnsi="Arial"/>
            <w:sz w:val="20"/>
            <w:szCs w:val="20"/>
            <w:color w:val="000000"/>
            <w:vertAlign w:val="superscript"/>
          </w:rPr>
          <w:t>+</w:t>
        </w:r>
      </w:hyperlink>
    </w:p>
    <w:p>
      <w:pPr>
        <w:sectPr>
          <w:pgSz w:w="11900" w:h="16838" w:orient="portrait"/>
          <w:cols w:equalWidth="0" w:num="1">
            <w:col w:w="11000"/>
          </w:cols>
          <w:pgMar w:left="320" w:top="1440" w:right="579" w:bottom="1440" w:gutter="0" w:footer="0" w:header="0"/>
        </w:sectPr>
      </w:pPr>
    </w:p>
    <w:p>
      <w:pPr>
        <w:ind w:left="360"/>
        <w:spacing w:after="0"/>
        <w:rPr>
          <w:rFonts w:ascii="Arial" w:cs="Arial" w:eastAsia="Arial" w:hAnsi="Arial"/>
          <w:sz w:val="14"/>
          <w:szCs w:val="14"/>
          <w:u w:val="single" w:color="auto"/>
          <w:color w:val="0000FF"/>
        </w:rPr>
      </w:pPr>
      <w:hyperlink w:anchor="page115">
        <w:r>
          <w:rPr>
            <w:rFonts w:ascii="Arial" w:cs="Arial" w:eastAsia="Arial" w:hAnsi="Arial"/>
            <w:sz w:val="14"/>
            <w:szCs w:val="14"/>
            <w:u w:val="single" w:color="auto"/>
            <w:color w:val="0000FF"/>
          </w:rPr>
          <w:t>21.1</w:t>
        </w:r>
      </w:hyperlink>
    </w:p>
    <w:p>
      <w:pPr>
        <w:spacing w:after="0" w:line="38" w:lineRule="exact"/>
        <w:rPr>
          <w:rFonts w:ascii="Arial" w:cs="Arial" w:eastAsia="Arial" w:hAnsi="Arial"/>
          <w:sz w:val="16"/>
          <w:szCs w:val="16"/>
          <w:u w:val="single" w:color="auto"/>
          <w:color w:val="0000FF"/>
        </w:rPr>
      </w:pPr>
    </w:p>
    <w:p>
      <w:pPr>
        <w:ind w:left="360"/>
        <w:spacing w:after="0"/>
        <w:rPr>
          <w:rFonts w:ascii="Arial" w:cs="Arial" w:eastAsia="Arial" w:hAnsi="Arial"/>
          <w:sz w:val="14"/>
          <w:szCs w:val="14"/>
          <w:u w:val="single" w:color="auto"/>
          <w:color w:val="0000FF"/>
        </w:rPr>
      </w:pPr>
      <w:hyperlink w:anchor="page116">
        <w:r>
          <w:rPr>
            <w:rFonts w:ascii="Arial" w:cs="Arial" w:eastAsia="Arial" w:hAnsi="Arial"/>
            <w:sz w:val="14"/>
            <w:szCs w:val="14"/>
            <w:u w:val="single" w:color="auto"/>
            <w:color w:val="0000FF"/>
          </w:rPr>
          <w:t>23.1</w:t>
        </w:r>
      </w:hyperlink>
    </w:p>
    <w:p>
      <w:pPr>
        <w:spacing w:after="0" w:line="79" w:lineRule="exact"/>
        <w:rPr>
          <w:rFonts w:ascii="Arial" w:cs="Arial" w:eastAsia="Arial" w:hAnsi="Arial"/>
          <w:sz w:val="16"/>
          <w:szCs w:val="16"/>
          <w:u w:val="single" w:color="auto"/>
          <w:color w:val="0000FF"/>
        </w:rPr>
      </w:pPr>
    </w:p>
    <w:p>
      <w:pPr>
        <w:ind w:left="360"/>
        <w:spacing w:after="0"/>
        <w:rPr>
          <w:rFonts w:ascii="Arial" w:cs="Arial" w:eastAsia="Arial" w:hAnsi="Arial"/>
          <w:sz w:val="14"/>
          <w:szCs w:val="14"/>
          <w:u w:val="single" w:color="auto"/>
          <w:color w:val="0000FF"/>
        </w:rPr>
      </w:pPr>
      <w:hyperlink w:anchor="page117">
        <w:r>
          <w:rPr>
            <w:rFonts w:ascii="Arial" w:cs="Arial" w:eastAsia="Arial" w:hAnsi="Arial"/>
            <w:sz w:val="14"/>
            <w:szCs w:val="14"/>
            <w:u w:val="single" w:color="auto"/>
            <w:color w:val="0000FF"/>
          </w:rPr>
          <w:t>31.1</w:t>
        </w:r>
      </w:hyperlink>
    </w:p>
    <w:p>
      <w:pPr>
        <w:spacing w:after="0" w:line="79" w:lineRule="exact"/>
        <w:rPr>
          <w:rFonts w:ascii="Arial" w:cs="Arial" w:eastAsia="Arial" w:hAnsi="Arial"/>
          <w:sz w:val="16"/>
          <w:szCs w:val="16"/>
          <w:u w:val="single" w:color="auto"/>
          <w:color w:val="0000FF"/>
        </w:rPr>
      </w:pPr>
    </w:p>
    <w:p>
      <w:pPr>
        <w:ind w:left="360"/>
        <w:spacing w:after="0"/>
        <w:rPr>
          <w:rFonts w:ascii="Arial" w:cs="Arial" w:eastAsia="Arial" w:hAnsi="Arial"/>
          <w:sz w:val="14"/>
          <w:szCs w:val="14"/>
          <w:u w:val="single" w:color="auto"/>
          <w:color w:val="0000FF"/>
        </w:rPr>
      </w:pPr>
      <w:hyperlink w:anchor="page118">
        <w:r>
          <w:rPr>
            <w:rFonts w:ascii="Arial" w:cs="Arial" w:eastAsia="Arial" w:hAnsi="Arial"/>
            <w:sz w:val="14"/>
            <w:szCs w:val="14"/>
            <w:u w:val="single" w:color="auto"/>
            <w:color w:val="0000FF"/>
          </w:rPr>
          <w:t>31.2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left="160"/>
        <w:spacing w:after="0"/>
        <w:rPr>
          <w:rFonts w:ascii="Arial" w:cs="Arial" w:eastAsia="Arial" w:hAnsi="Arial"/>
          <w:sz w:val="16"/>
          <w:szCs w:val="16"/>
          <w:color w:val="0000FF"/>
        </w:rPr>
      </w:pPr>
      <w:hyperlink w:anchor="page115">
        <w:r>
          <w:rPr>
            <w:rFonts w:ascii="Arial" w:cs="Arial" w:eastAsia="Arial" w:hAnsi="Arial"/>
            <w:sz w:val="16"/>
            <w:szCs w:val="16"/>
            <w:u w:val="single" w:color="auto"/>
            <w:color w:val="0000FF"/>
          </w:rPr>
          <w:t>Subsidiaries of the Registrant.</w:t>
        </w:r>
      </w:hyperlink>
      <w:r>
        <w:rPr>
          <w:rFonts w:ascii="Arial" w:cs="Arial" w:eastAsia="Arial" w:hAnsi="Arial"/>
          <w:sz w:val="16"/>
          <w:szCs w:val="16"/>
          <w:color w:val="000000"/>
        </w:rPr>
        <w:t>*</w:t>
      </w:r>
    </w:p>
    <w:p>
      <w:pPr>
        <w:spacing w:after="0" w:line="29" w:lineRule="exact"/>
        <w:rPr>
          <w:rFonts w:ascii="Arial" w:cs="Arial" w:eastAsia="Arial" w:hAnsi="Arial"/>
          <w:sz w:val="16"/>
          <w:szCs w:val="16"/>
          <w:u w:val="single" w:color="auto"/>
          <w:color w:val="0000FF"/>
        </w:rPr>
      </w:pPr>
    </w:p>
    <w:p>
      <w:pPr>
        <w:spacing w:after="0"/>
        <w:rPr>
          <w:rFonts w:ascii="Arial" w:cs="Arial" w:eastAsia="Arial" w:hAnsi="Arial"/>
          <w:sz w:val="16"/>
          <w:szCs w:val="16"/>
          <w:color w:val="0000FF"/>
        </w:rPr>
      </w:pPr>
      <w:hyperlink w:anchor="page116">
        <w:r>
          <w:rPr>
            <w:rFonts w:ascii="Arial" w:cs="Arial" w:eastAsia="Arial" w:hAnsi="Arial"/>
            <w:sz w:val="16"/>
            <w:szCs w:val="16"/>
            <w:u w:val="single" w:color="auto"/>
            <w:color w:val="0000FF"/>
          </w:rPr>
          <w:t>Consent of Ernst &amp; Young LLP.</w:t>
        </w:r>
      </w:hyperlink>
      <w:r>
        <w:rPr>
          <w:rFonts w:ascii="Arial" w:cs="Arial" w:eastAsia="Arial" w:hAnsi="Arial"/>
          <w:sz w:val="16"/>
          <w:szCs w:val="16"/>
          <w:color w:val="000000"/>
        </w:rPr>
        <w:t>*</w:t>
      </w:r>
    </w:p>
    <w:p>
      <w:pPr>
        <w:spacing w:after="0" w:line="56" w:lineRule="exact"/>
        <w:rPr>
          <w:rFonts w:ascii="Arial" w:cs="Arial" w:eastAsia="Arial" w:hAnsi="Arial"/>
          <w:sz w:val="16"/>
          <w:szCs w:val="16"/>
          <w:u w:val="single" w:color="auto"/>
          <w:color w:val="0000FF"/>
        </w:rPr>
      </w:pPr>
    </w:p>
    <w:p>
      <w:pPr>
        <w:ind w:right="2160"/>
        <w:spacing w:after="0" w:line="347" w:lineRule="auto"/>
        <w:rPr>
          <w:rFonts w:ascii="Arial" w:cs="Arial" w:eastAsia="Arial" w:hAnsi="Arial"/>
          <w:sz w:val="14"/>
          <w:szCs w:val="14"/>
          <w:color w:val="0000FF"/>
        </w:rPr>
      </w:pPr>
      <w:hyperlink w:anchor="page117">
        <w:r>
          <w:rPr>
            <w:rFonts w:ascii="Arial" w:cs="Arial" w:eastAsia="Arial" w:hAnsi="Arial"/>
            <w:sz w:val="14"/>
            <w:szCs w:val="14"/>
            <w:u w:val="single" w:color="auto"/>
            <w:color w:val="0000FF"/>
          </w:rPr>
          <w:t>Certification of Michele G. Buck, Chief Executive Officer, pursuant to Section 302 of the Sarbanes-Oxley Act of 2002.</w:t>
        </w:r>
      </w:hyperlink>
      <w:r>
        <w:rPr>
          <w:rFonts w:ascii="Arial" w:cs="Arial" w:eastAsia="Arial" w:hAnsi="Arial"/>
          <w:sz w:val="14"/>
          <w:szCs w:val="14"/>
          <w:color w:val="000000"/>
        </w:rPr>
        <w:t>*</w:t>
      </w:r>
      <w:r>
        <w:rPr>
          <w:rFonts w:ascii="Arial" w:cs="Arial" w:eastAsia="Arial" w:hAnsi="Arial"/>
          <w:sz w:val="14"/>
          <w:szCs w:val="14"/>
          <w:color w:val="0000FF"/>
        </w:rPr>
        <w:t xml:space="preserve"> </w:t>
      </w:r>
      <w:hyperlink w:anchor="page118">
        <w:r>
          <w:rPr>
            <w:rFonts w:ascii="Arial" w:cs="Arial" w:eastAsia="Arial" w:hAnsi="Arial"/>
            <w:sz w:val="14"/>
            <w:szCs w:val="14"/>
            <w:u w:val="single" w:color="auto"/>
            <w:color w:val="0000FF"/>
          </w:rPr>
          <w:t>Certification of Steven E. Voskuil, Chief Financial Officer, pursuant to Section 302 of the Sarbanes-Oxley Act of 2002.</w:t>
        </w:r>
      </w:hyperlink>
      <w:r>
        <w:rPr>
          <w:rFonts w:ascii="Arial" w:cs="Arial" w:eastAsia="Arial" w:hAnsi="Arial"/>
          <w:sz w:val="14"/>
          <w:szCs w:val="14"/>
          <w:color w:val="000000"/>
        </w:rPr>
        <w:t>*</w:t>
      </w:r>
    </w:p>
    <w:p>
      <w:pPr>
        <w:spacing w:after="0" w:line="1" w:lineRule="exact"/>
        <w:rPr>
          <w:sz w:val="20"/>
          <w:szCs w:val="20"/>
          <w:color w:val="auto"/>
        </w:rPr>
      </w:pPr>
    </w:p>
    <w:p>
      <w:pPr>
        <w:sectPr>
          <w:pgSz w:w="11900" w:h="16838" w:orient="portrait"/>
          <w:cols w:equalWidth="0" w:num="2">
            <w:col w:w="640" w:space="500"/>
            <w:col w:w="9860"/>
          </w:cols>
          <w:pgMar w:left="320" w:top="1440" w:right="579" w:bottom="1440" w:gutter="0" w:footer="0" w:header="0"/>
          <w:type w:val="continuous"/>
        </w:sectPr>
      </w:pPr>
    </w:p>
    <w:tbl>
      <w:tblPr>
        <w:tblLayout w:type="fixed"/>
        <w:tblInd w:w="200" w:type="dxa"/>
        <w:tblCellMar>
          <w:top w:w="0" w:type="dxa"/>
          <w:left w:w="0" w:type="dxa"/>
          <w:bottom w:w="0" w:type="dxa"/>
          <w:right w:w="0" w:type="dxa"/>
        </w:tblCellMar>
      </w:tblPr>
      <w:tr>
        <w:trPr>
          <w:trHeight w:val="184"/>
        </w:trPr>
        <w:tc>
          <w:tcPr>
            <w:tcW w:w="760" w:type="dxa"/>
            <w:vAlign w:val="bottom"/>
          </w:tcPr>
          <w:p>
            <w:pPr>
              <w:jc w:val="center"/>
              <w:ind w:right="80"/>
              <w:spacing w:after="0"/>
              <w:rPr>
                <w:rFonts w:ascii="Arial" w:cs="Arial" w:eastAsia="Arial" w:hAnsi="Arial"/>
                <w:sz w:val="16"/>
                <w:szCs w:val="16"/>
                <w:u w:val="single" w:color="auto"/>
                <w:color w:val="0000FF"/>
                <w:w w:val="89"/>
              </w:rPr>
            </w:pPr>
            <w:hyperlink w:anchor="page119">
              <w:r>
                <w:rPr>
                  <w:rFonts w:ascii="Arial" w:cs="Arial" w:eastAsia="Arial" w:hAnsi="Arial"/>
                  <w:sz w:val="16"/>
                  <w:szCs w:val="16"/>
                  <w:u w:val="single" w:color="auto"/>
                  <w:color w:val="0000FF"/>
                  <w:w w:val="89"/>
                </w:rPr>
                <w:t>32.1</w:t>
              </w:r>
            </w:hyperlink>
          </w:p>
        </w:tc>
        <w:tc>
          <w:tcPr>
            <w:tcW w:w="10020" w:type="dxa"/>
            <w:vAlign w:val="bottom"/>
            <w:gridSpan w:val="4"/>
          </w:tcPr>
          <w:p>
            <w:pPr>
              <w:ind w:left="180"/>
              <w:spacing w:after="0"/>
              <w:rPr>
                <w:rFonts w:ascii="Arial" w:cs="Arial" w:eastAsia="Arial" w:hAnsi="Arial"/>
                <w:sz w:val="16"/>
                <w:szCs w:val="16"/>
                <w:color w:val="0000FF"/>
                <w:w w:val="91"/>
              </w:rPr>
            </w:pPr>
            <w:hyperlink w:anchor="page119">
              <w:r>
                <w:rPr>
                  <w:rFonts w:ascii="Arial" w:cs="Arial" w:eastAsia="Arial" w:hAnsi="Arial"/>
                  <w:sz w:val="16"/>
                  <w:szCs w:val="16"/>
                  <w:color w:val="0000FF"/>
                  <w:w w:val="91"/>
                </w:rPr>
                <w:t>Certification of Michele G. Buck, Chief Executive Officer, and Steven E. Voskuil, Chief Financial Officer, pursuant to Section 906 of the Sarbanes-Oxley</w:t>
              </w:r>
            </w:hyperlink>
          </w:p>
        </w:tc>
      </w:tr>
      <w:tr>
        <w:trPr>
          <w:trHeight w:val="167"/>
        </w:trPr>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680" w:type="dxa"/>
            <w:vAlign w:val="bottom"/>
            <w:tcBorders>
              <w:top w:val="single" w:sz="8" w:color="0000FF"/>
            </w:tcBorders>
            <w:gridSpan w:val="2"/>
          </w:tcPr>
          <w:p>
            <w:pPr>
              <w:spacing w:after="0" w:line="167" w:lineRule="exact"/>
              <w:rPr>
                <w:rFonts w:ascii="Arial" w:cs="Arial" w:eastAsia="Arial" w:hAnsi="Arial"/>
                <w:sz w:val="16"/>
                <w:szCs w:val="16"/>
                <w:color w:val="0000FF"/>
              </w:rPr>
            </w:pPr>
            <w:hyperlink w:anchor="page119">
              <w:r>
                <w:rPr>
                  <w:rFonts w:ascii="Arial" w:cs="Arial" w:eastAsia="Arial" w:hAnsi="Arial"/>
                  <w:sz w:val="16"/>
                  <w:szCs w:val="16"/>
                  <w:color w:val="0000FF"/>
                </w:rPr>
                <w:t>Act of 2002.</w:t>
              </w:r>
              <w:r>
                <w:rPr>
                  <w:rFonts w:ascii="Arial" w:cs="Arial" w:eastAsia="Arial" w:hAnsi="Arial"/>
                  <w:sz w:val="16"/>
                  <w:szCs w:val="16"/>
                  <w:color w:val="000000"/>
                </w:rPr>
                <w:t>**</w:t>
              </w:r>
            </w:hyperlink>
          </w:p>
        </w:tc>
      </w:tr>
      <w:tr>
        <w:trPr>
          <w:trHeight w:val="20"/>
        </w:trPr>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r>
        <w:trPr>
          <w:trHeight w:val="197"/>
        </w:trPr>
        <w:tc>
          <w:tcPr>
            <w:tcW w:w="760" w:type="dxa"/>
            <w:vAlign w:val="bottom"/>
          </w:tcPr>
          <w:p>
            <w:pPr>
              <w:jc w:val="center"/>
              <w:ind w:right="60"/>
              <w:spacing w:after="0"/>
              <w:rPr>
                <w:sz w:val="20"/>
                <w:szCs w:val="20"/>
                <w:color w:val="auto"/>
              </w:rPr>
            </w:pPr>
            <w:r>
              <w:rPr>
                <w:rFonts w:ascii="Arial" w:cs="Arial" w:eastAsia="Arial" w:hAnsi="Arial"/>
                <w:sz w:val="16"/>
                <w:szCs w:val="16"/>
                <w:color w:val="auto"/>
                <w:w w:val="93"/>
              </w:rPr>
              <w:t>101.INS</w:t>
            </w:r>
          </w:p>
        </w:tc>
        <w:tc>
          <w:tcPr>
            <w:tcW w:w="10020" w:type="dxa"/>
            <w:vAlign w:val="bottom"/>
            <w:gridSpan w:val="4"/>
          </w:tcPr>
          <w:p>
            <w:pPr>
              <w:ind w:left="180"/>
              <w:spacing w:after="0"/>
              <w:rPr>
                <w:sz w:val="20"/>
                <w:szCs w:val="20"/>
                <w:color w:val="auto"/>
              </w:rPr>
            </w:pPr>
            <w:r>
              <w:rPr>
                <w:rFonts w:ascii="Arial" w:cs="Arial" w:eastAsia="Arial" w:hAnsi="Arial"/>
                <w:sz w:val="16"/>
                <w:szCs w:val="16"/>
                <w:color w:val="auto"/>
                <w:w w:val="92"/>
              </w:rPr>
              <w:t>XBRL Instance Document - the instance document does not appear in the Interactive Data File because its XBRL tags are embedded within the Inline</w:t>
            </w:r>
          </w:p>
        </w:tc>
      </w:tr>
      <w:tr>
        <w:trPr>
          <w:trHeight w:val="204"/>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80" w:type="dxa"/>
            <w:vAlign w:val="bottom"/>
            <w:gridSpan w:val="2"/>
          </w:tcPr>
          <w:p>
            <w:pPr>
              <w:spacing w:after="0"/>
              <w:rPr>
                <w:sz w:val="20"/>
                <w:szCs w:val="20"/>
                <w:color w:val="auto"/>
              </w:rPr>
            </w:pPr>
            <w:r>
              <w:rPr>
                <w:rFonts w:ascii="Arial" w:cs="Arial" w:eastAsia="Arial" w:hAnsi="Arial"/>
                <w:sz w:val="16"/>
                <w:szCs w:val="16"/>
                <w:color w:val="auto"/>
              </w:rPr>
              <w:t>XBRL document.</w:t>
            </w:r>
          </w:p>
        </w:tc>
      </w:tr>
      <w:tr>
        <w:trPr>
          <w:trHeight w:val="213"/>
        </w:trPr>
        <w:tc>
          <w:tcPr>
            <w:tcW w:w="760" w:type="dxa"/>
            <w:vAlign w:val="bottom"/>
          </w:tcPr>
          <w:p>
            <w:pPr>
              <w:jc w:val="center"/>
              <w:ind w:right="60"/>
              <w:spacing w:after="0"/>
              <w:rPr>
                <w:sz w:val="20"/>
                <w:szCs w:val="20"/>
                <w:color w:val="auto"/>
              </w:rPr>
            </w:pPr>
            <w:r>
              <w:rPr>
                <w:rFonts w:ascii="Arial" w:cs="Arial" w:eastAsia="Arial" w:hAnsi="Arial"/>
                <w:sz w:val="16"/>
                <w:szCs w:val="16"/>
                <w:color w:val="auto"/>
                <w:w w:val="89"/>
              </w:rPr>
              <w:t>101.SCH</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6"/>
                <w:szCs w:val="16"/>
                <w:color w:val="auto"/>
              </w:rPr>
              <w:t>XBRL Taxonomy Extension Schema</w:t>
            </w:r>
          </w:p>
        </w:tc>
      </w:tr>
      <w:tr>
        <w:trPr>
          <w:trHeight w:val="227"/>
        </w:trPr>
        <w:tc>
          <w:tcPr>
            <w:tcW w:w="760" w:type="dxa"/>
            <w:vAlign w:val="bottom"/>
          </w:tcPr>
          <w:p>
            <w:pPr>
              <w:jc w:val="center"/>
              <w:ind w:right="80"/>
              <w:spacing w:after="0"/>
              <w:rPr>
                <w:sz w:val="20"/>
                <w:szCs w:val="20"/>
                <w:color w:val="auto"/>
              </w:rPr>
            </w:pPr>
            <w:r>
              <w:rPr>
                <w:rFonts w:ascii="Arial" w:cs="Arial" w:eastAsia="Arial" w:hAnsi="Arial"/>
                <w:sz w:val="16"/>
                <w:szCs w:val="16"/>
                <w:color w:val="auto"/>
                <w:w w:val="96"/>
              </w:rPr>
              <w:t>101.CAL</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27"/>
        </w:trPr>
        <w:tc>
          <w:tcPr>
            <w:tcW w:w="760" w:type="dxa"/>
            <w:vAlign w:val="bottom"/>
          </w:tcPr>
          <w:p>
            <w:pPr>
              <w:jc w:val="center"/>
              <w:ind w:right="80"/>
              <w:spacing w:after="0"/>
              <w:rPr>
                <w:sz w:val="20"/>
                <w:szCs w:val="20"/>
                <w:color w:val="auto"/>
              </w:rPr>
            </w:pPr>
            <w:r>
              <w:rPr>
                <w:rFonts w:ascii="Arial" w:cs="Arial" w:eastAsia="Arial" w:hAnsi="Arial"/>
                <w:sz w:val="16"/>
                <w:szCs w:val="16"/>
                <w:color w:val="auto"/>
                <w:w w:val="97"/>
              </w:rPr>
              <w:t>101.LAB</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6"/>
                <w:szCs w:val="16"/>
                <w:color w:val="auto"/>
              </w:rPr>
              <w:t>XBRL Taxonomy Extension Label Linkbase</w:t>
            </w:r>
          </w:p>
        </w:tc>
      </w:tr>
      <w:tr>
        <w:trPr>
          <w:trHeight w:val="227"/>
        </w:trPr>
        <w:tc>
          <w:tcPr>
            <w:tcW w:w="760" w:type="dxa"/>
            <w:vAlign w:val="bottom"/>
          </w:tcPr>
          <w:p>
            <w:pPr>
              <w:jc w:val="center"/>
              <w:ind w:right="60"/>
              <w:spacing w:after="0"/>
              <w:rPr>
                <w:sz w:val="20"/>
                <w:szCs w:val="20"/>
                <w:color w:val="auto"/>
              </w:rPr>
            </w:pPr>
            <w:r>
              <w:rPr>
                <w:rFonts w:ascii="Arial" w:cs="Arial" w:eastAsia="Arial" w:hAnsi="Arial"/>
                <w:sz w:val="16"/>
                <w:szCs w:val="16"/>
                <w:color w:val="auto"/>
                <w:w w:val="90"/>
              </w:rPr>
              <w:t>101.PRE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27"/>
        </w:trPr>
        <w:tc>
          <w:tcPr>
            <w:tcW w:w="760" w:type="dxa"/>
            <w:vAlign w:val="bottom"/>
          </w:tcPr>
          <w:p>
            <w:pPr>
              <w:jc w:val="center"/>
              <w:ind w:right="60"/>
              <w:spacing w:after="0"/>
              <w:rPr>
                <w:sz w:val="20"/>
                <w:szCs w:val="20"/>
                <w:color w:val="auto"/>
              </w:rPr>
            </w:pPr>
            <w:r>
              <w:rPr>
                <w:rFonts w:ascii="Arial" w:cs="Arial" w:eastAsia="Arial" w:hAnsi="Arial"/>
                <w:sz w:val="16"/>
                <w:szCs w:val="16"/>
                <w:color w:val="auto"/>
                <w:w w:val="91"/>
              </w:rPr>
              <w:t>101.DEF</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9" w:lineRule="exact"/>
        <w:rPr>
          <w:sz w:val="20"/>
          <w:szCs w:val="20"/>
          <w:color w:val="auto"/>
        </w:rPr>
      </w:pPr>
    </w:p>
    <w:p>
      <w:pPr>
        <w:ind w:left="1300" w:right="40" w:hanging="914"/>
        <w:spacing w:after="0" w:line="237" w:lineRule="auto"/>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cover page from the Company's Annual Report on Form 10-K for the fiscal year ended December 31, 2020, formatted in Inline XBRL and contained in Exhibit 101.</w:t>
      </w:r>
    </w:p>
    <w:p>
      <w:pPr>
        <w:spacing w:after="0" w:line="276" w:lineRule="exact"/>
        <w:rPr>
          <w:sz w:val="20"/>
          <w:szCs w:val="20"/>
          <w:color w:val="auto"/>
        </w:rPr>
      </w:pPr>
    </w:p>
    <w:p>
      <w:pPr>
        <w:ind w:left="1300" w:hanging="834"/>
        <w:spacing w:after="0"/>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9" w:lineRule="exact"/>
        <w:rPr>
          <w:sz w:val="20"/>
          <w:szCs w:val="20"/>
          <w:color w:val="auto"/>
        </w:rPr>
      </w:pPr>
    </w:p>
    <w:p>
      <w:pPr>
        <w:ind w:left="1300" w:hanging="874"/>
        <w:spacing w:after="0"/>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9" w:lineRule="exact"/>
        <w:rPr>
          <w:sz w:val="20"/>
          <w:szCs w:val="20"/>
          <w:color w:val="auto"/>
        </w:rPr>
      </w:pPr>
    </w:p>
    <w:p>
      <w:pPr>
        <w:ind w:left="1300" w:hanging="839"/>
        <w:spacing w:after="0"/>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Management contract, compensatory plan or arrangement</w:t>
      </w:r>
    </w:p>
    <w:p>
      <w:pPr>
        <w:spacing w:after="0" w:line="29" w:lineRule="exact"/>
        <w:rPr>
          <w:sz w:val="20"/>
          <w:szCs w:val="20"/>
          <w:color w:val="auto"/>
        </w:rPr>
      </w:pPr>
    </w:p>
    <w:p>
      <w:pPr>
        <w:ind w:left="1300" w:hanging="834"/>
        <w:spacing w:after="0" w:line="237" w:lineRule="auto"/>
        <w:tabs>
          <w:tab w:leader="none" w:pos="1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Pursuant to Instruction 1 to Regulation S-T Rule 105(d), no hyperlink is required for any exhibit incorporated by reference that has not been filed with the SEC in electronic format</w:t>
      </w:r>
    </w:p>
    <w:p>
      <w:pPr>
        <w:spacing w:after="0" w:line="200" w:lineRule="exact"/>
        <w:rPr>
          <w:sz w:val="20"/>
          <w:szCs w:val="20"/>
          <w:color w:val="auto"/>
        </w:rPr>
      </w:pPr>
    </w:p>
    <w:p>
      <w:pPr>
        <w:spacing w:after="0" w:line="374"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443230</wp:posOffset>
            </wp:positionV>
            <wp:extent cx="194945" cy="169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3">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type w:val="continuous"/>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3"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Company has duly caused this report to be signed on its behalf by the undersigned, thereunto duly authorized, this 17th day of February, 2021.</w:t>
      </w:r>
    </w:p>
    <w:p>
      <w:pPr>
        <w:spacing w:after="0" w:line="9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THE HERSHEY COMPANY</w:t>
      </w:r>
    </w:p>
    <w:p>
      <w:pPr>
        <w:spacing w:after="0" w:line="20"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(Registrant)</w:t>
      </w:r>
    </w:p>
    <w:p>
      <w:pPr>
        <w:spacing w:after="0" w:line="73" w:lineRule="exact"/>
        <w:rPr>
          <w:sz w:val="20"/>
          <w:szCs w:val="20"/>
          <w:color w:val="auto"/>
        </w:rPr>
      </w:pPr>
    </w:p>
    <w:p>
      <w:pPr>
        <w:ind w:left="508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12065</wp:posOffset>
            </wp:positionV>
            <wp:extent cx="33851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5">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3"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Steven E. Voskuil</w:t>
      </w:r>
    </w:p>
    <w:p>
      <w:pPr>
        <w:spacing w:after="0" w:line="26"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Chief Financial Officer and Chief Accounting Officer</w:t>
      </w:r>
    </w:p>
    <w:p>
      <w:pPr>
        <w:spacing w:after="0" w:line="209"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 indicated.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38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62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4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MICHELE G. BUCK</w:t>
            </w:r>
          </w:p>
        </w:tc>
        <w:tc>
          <w:tcPr>
            <w:tcW w:w="100" w:type="dxa"/>
            <w:vAlign w:val="bottom"/>
          </w:tcPr>
          <w:p>
            <w:pPr>
              <w:spacing w:after="0"/>
              <w:rPr>
                <w:sz w:val="21"/>
                <w:szCs w:val="21"/>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Chairman of the Board, President and Chief Executive Officer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93"/>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4"/>
              </w:rPr>
              <w:t>Michele G. Buck</w:t>
            </w:r>
          </w:p>
        </w:tc>
        <w:tc>
          <w:tcPr>
            <w:tcW w:w="100" w:type="dxa"/>
            <w:vAlign w:val="bottom"/>
          </w:tcPr>
          <w:p>
            <w:pPr>
              <w:spacing w:after="0"/>
              <w:rPr>
                <w:sz w:val="16"/>
                <w:szCs w:val="16"/>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(Principal Executive Officer)</w:t>
            </w:r>
          </w:p>
        </w:tc>
        <w:tc>
          <w:tcPr>
            <w:tcW w:w="2000" w:type="dxa"/>
            <w:vAlign w:val="bottom"/>
          </w:tcPr>
          <w:p>
            <w:pPr>
              <w:spacing w:after="0"/>
              <w:rPr>
                <w:sz w:val="16"/>
                <w:szCs w:val="16"/>
                <w:color w:val="auto"/>
              </w:rPr>
            </w:pPr>
          </w:p>
        </w:tc>
      </w:tr>
      <w:tr>
        <w:trPr>
          <w:trHeight w:val="26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STEVEN E. VOSKUIL</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Chief Financial Officer and Chief Accounting Officer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93"/>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0"/>
              </w:rPr>
              <w:t>Steven E. Voskuil</w:t>
            </w:r>
          </w:p>
        </w:tc>
        <w:tc>
          <w:tcPr>
            <w:tcW w:w="100" w:type="dxa"/>
            <w:vAlign w:val="bottom"/>
          </w:tcPr>
          <w:p>
            <w:pPr>
              <w:spacing w:after="0"/>
              <w:rPr>
                <w:sz w:val="16"/>
                <w:szCs w:val="16"/>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2000" w:type="dxa"/>
            <w:vAlign w:val="bottom"/>
          </w:tcPr>
          <w:p>
            <w:pPr>
              <w:spacing w:after="0"/>
              <w:rPr>
                <w:sz w:val="16"/>
                <w:szCs w:val="16"/>
                <w:color w:val="auto"/>
              </w:rPr>
            </w:pPr>
          </w:p>
        </w:tc>
      </w:tr>
      <w:tr>
        <w:trPr>
          <w:trHeight w:val="269"/>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ANTHONY J. PALMER</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Lead Independent 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2"/>
              </w:rPr>
              <w:t>Anthony J. Palmer</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PAMELA M. ARWAY</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6"/>
              </w:rPr>
              <w:t>Pamela M. Arway</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JAMES W. BROWN</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1"/>
              </w:rPr>
              <w:t>James W. Brown</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VICTOR L. CRAWFORD</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7"/>
              </w:rPr>
              <w:t>Victor L. Crawford</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CHARLES A. DAVIS</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2"/>
              </w:rPr>
              <w:t>Charles A. Davis</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ROBERT M. DUTKOWSKY</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5"/>
              </w:rPr>
              <w:t>Robert M. Dutkowsky</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MARY KAY HABEN</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7"/>
              </w:rPr>
              <w:t>Mary Kay Haben</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JAMES C. KATZMAN</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2"/>
              </w:rPr>
              <w:t>James C. Katzman</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M. DIANE KOKEN</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5"/>
              </w:rPr>
              <w:t>M. Diane Koken</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ROBERT M. MALCOLM</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6"/>
              </w:rPr>
              <w:t>Robert M. Malcolm</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JUAN R. PEREZ</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1"/>
              </w:rPr>
              <w:t>Juan R. Perez</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WENDY L. SCHOPPERT</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3"/>
              </w:rPr>
              <w:t>Wendy L. Schoppert</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6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DAVID L. SHEDLARZ</w:t>
            </w:r>
          </w:p>
        </w:tc>
        <w:tc>
          <w:tcPr>
            <w:tcW w:w="1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17, 2021</w:t>
            </w:r>
          </w:p>
        </w:tc>
      </w:tr>
      <w:tr>
        <w:trPr>
          <w:trHeight w:val="181"/>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4"/>
              </w:rPr>
              <w:t>David L. Shedlarz</w:t>
            </w: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635635</wp:posOffset>
            </wp:positionV>
            <wp:extent cx="194945" cy="169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3422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THE HERSHEY COMPANY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5"/>
                <w:szCs w:val="15"/>
                <w:b w:val="1"/>
                <w:bCs w:val="1"/>
                <w:color w:val="auto"/>
              </w:rPr>
              <w:t>Additions</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6" w:lineRule="exact"/>
              <w:rPr>
                <w:sz w:val="20"/>
                <w:szCs w:val="20"/>
                <w:color w:val="auto"/>
              </w:rPr>
            </w:pPr>
            <w:r>
              <w:rPr>
                <w:rFonts w:ascii="Arial" w:cs="Arial" w:eastAsia="Arial" w:hAnsi="Arial"/>
                <w:sz w:val="15"/>
                <w:szCs w:val="15"/>
                <w:b w:val="1"/>
                <w:bCs w:val="1"/>
                <w:color w:val="auto"/>
                <w:w w:val="87"/>
              </w:rPr>
              <w:t>Balance at</w:t>
            </w: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6" w:lineRule="exact"/>
              <w:rPr>
                <w:sz w:val="20"/>
                <w:szCs w:val="20"/>
                <w:color w:val="auto"/>
              </w:rPr>
            </w:pPr>
            <w:r>
              <w:rPr>
                <w:rFonts w:ascii="Arial" w:cs="Arial" w:eastAsia="Arial" w:hAnsi="Arial"/>
                <w:sz w:val="15"/>
                <w:szCs w:val="15"/>
                <w:b w:val="1"/>
                <w:bCs w:val="1"/>
                <w:color w:val="auto"/>
                <w:w w:val="90"/>
              </w:rPr>
              <w:t>Charged to</w:t>
            </w:r>
          </w:p>
        </w:tc>
        <w:tc>
          <w:tcPr>
            <w:tcW w:w="940" w:type="dxa"/>
            <w:vAlign w:val="bottom"/>
          </w:tcPr>
          <w:p>
            <w:pPr>
              <w:jc w:val="center"/>
              <w:ind w:left="176"/>
              <w:spacing w:after="0" w:line="146" w:lineRule="exact"/>
              <w:rPr>
                <w:sz w:val="20"/>
                <w:szCs w:val="20"/>
                <w:color w:val="auto"/>
              </w:rPr>
            </w:pPr>
            <w:r>
              <w:rPr>
                <w:rFonts w:ascii="Arial" w:cs="Arial" w:eastAsia="Arial" w:hAnsi="Arial"/>
                <w:sz w:val="15"/>
                <w:szCs w:val="15"/>
                <w:b w:val="1"/>
                <w:bCs w:val="1"/>
                <w:color w:val="auto"/>
                <w:w w:val="91"/>
              </w:rPr>
              <w:t>Charged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Arial" w:cs="Arial" w:eastAsia="Arial" w:hAnsi="Arial"/>
                <w:sz w:val="15"/>
                <w:szCs w:val="15"/>
                <w:b w:val="1"/>
                <w:bCs w:val="1"/>
                <w:color w:val="auto"/>
                <w:w w:val="90"/>
              </w:rPr>
              <w:t>Deductions</w:t>
            </w:r>
          </w:p>
        </w:tc>
        <w:tc>
          <w:tcPr>
            <w:tcW w:w="200" w:type="dxa"/>
            <w:vAlign w:val="bottom"/>
          </w:tcPr>
          <w:p>
            <w:pPr>
              <w:spacing w:after="0"/>
              <w:rPr>
                <w:sz w:val="12"/>
                <w:szCs w:val="12"/>
                <w:color w:val="auto"/>
              </w:rPr>
            </w:pPr>
          </w:p>
        </w:tc>
        <w:tc>
          <w:tcPr>
            <w:tcW w:w="1020" w:type="dxa"/>
            <w:vAlign w:val="bottom"/>
          </w:tcPr>
          <w:p>
            <w:pPr>
              <w:jc w:val="center"/>
              <w:ind w:right="134"/>
              <w:spacing w:after="0" w:line="146" w:lineRule="exact"/>
              <w:rPr>
                <w:sz w:val="20"/>
                <w:szCs w:val="20"/>
                <w:color w:val="auto"/>
              </w:rPr>
            </w:pPr>
            <w:r>
              <w:rPr>
                <w:rFonts w:ascii="Arial" w:cs="Arial" w:eastAsia="Arial" w:hAnsi="Arial"/>
                <w:sz w:val="15"/>
                <w:szCs w:val="15"/>
                <w:b w:val="1"/>
                <w:bCs w:val="1"/>
                <w:color w:val="auto"/>
                <w:w w:val="90"/>
              </w:rPr>
              <w:t>Balance</w:t>
            </w:r>
          </w:p>
        </w:tc>
        <w:tc>
          <w:tcPr>
            <w:tcW w:w="0" w:type="dxa"/>
            <w:vAlign w:val="bottom"/>
          </w:tcPr>
          <w:p>
            <w:pPr>
              <w:spacing w:after="0"/>
              <w:rPr>
                <w:sz w:val="1"/>
                <w:szCs w:val="1"/>
                <w:color w:val="auto"/>
              </w:rPr>
            </w:pPr>
          </w:p>
        </w:tc>
      </w:tr>
      <w:tr>
        <w:trPr>
          <w:trHeight w:val="147"/>
        </w:trPr>
        <w:tc>
          <w:tcPr>
            <w:tcW w:w="458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Description</w:t>
            </w: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6" w:lineRule="exact"/>
              <w:rPr>
                <w:sz w:val="20"/>
                <w:szCs w:val="20"/>
                <w:color w:val="auto"/>
              </w:rPr>
            </w:pPr>
            <w:r>
              <w:rPr>
                <w:rFonts w:ascii="Arial" w:cs="Arial" w:eastAsia="Arial" w:hAnsi="Arial"/>
                <w:sz w:val="15"/>
                <w:szCs w:val="15"/>
                <w:b w:val="1"/>
                <w:bCs w:val="1"/>
                <w:color w:val="auto"/>
                <w:w w:val="89"/>
              </w:rPr>
              <w:t>Beginning</w:t>
            </w: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6" w:lineRule="exact"/>
              <w:rPr>
                <w:sz w:val="20"/>
                <w:szCs w:val="20"/>
                <w:color w:val="auto"/>
              </w:rPr>
            </w:pPr>
            <w:r>
              <w:rPr>
                <w:rFonts w:ascii="Arial" w:cs="Arial" w:eastAsia="Arial" w:hAnsi="Arial"/>
                <w:sz w:val="15"/>
                <w:szCs w:val="15"/>
                <w:b w:val="1"/>
                <w:bCs w:val="1"/>
                <w:color w:val="auto"/>
                <w:w w:val="88"/>
              </w:rPr>
              <w:t>Costs and</w:t>
            </w:r>
          </w:p>
        </w:tc>
        <w:tc>
          <w:tcPr>
            <w:tcW w:w="940" w:type="dxa"/>
            <w:vAlign w:val="bottom"/>
          </w:tcPr>
          <w:p>
            <w:pPr>
              <w:jc w:val="center"/>
              <w:ind w:left="216"/>
              <w:spacing w:after="0" w:line="146" w:lineRule="exact"/>
              <w:rPr>
                <w:sz w:val="20"/>
                <w:szCs w:val="20"/>
                <w:color w:val="auto"/>
              </w:rPr>
            </w:pPr>
            <w:r>
              <w:rPr>
                <w:rFonts w:ascii="Arial" w:cs="Arial" w:eastAsia="Arial" w:hAnsi="Arial"/>
                <w:sz w:val="15"/>
                <w:szCs w:val="15"/>
                <w:b w:val="1"/>
                <w:bCs w:val="1"/>
                <w:color w:val="auto"/>
                <w:w w:val="95"/>
              </w:rPr>
              <w:t>to Other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Arial" w:cs="Arial" w:eastAsia="Arial" w:hAnsi="Arial"/>
                <w:sz w:val="15"/>
                <w:szCs w:val="15"/>
                <w:b w:val="1"/>
                <w:bCs w:val="1"/>
                <w:color w:val="auto"/>
                <w:w w:val="89"/>
              </w:rPr>
              <w:t>from</w:t>
            </w:r>
          </w:p>
        </w:tc>
        <w:tc>
          <w:tcPr>
            <w:tcW w:w="200" w:type="dxa"/>
            <w:vAlign w:val="bottom"/>
          </w:tcPr>
          <w:p>
            <w:pPr>
              <w:spacing w:after="0"/>
              <w:rPr>
                <w:sz w:val="12"/>
                <w:szCs w:val="12"/>
                <w:color w:val="auto"/>
              </w:rPr>
            </w:pPr>
          </w:p>
        </w:tc>
        <w:tc>
          <w:tcPr>
            <w:tcW w:w="1020" w:type="dxa"/>
            <w:vAlign w:val="bottom"/>
          </w:tcPr>
          <w:p>
            <w:pPr>
              <w:jc w:val="center"/>
              <w:ind w:right="134"/>
              <w:spacing w:after="0" w:line="146" w:lineRule="exact"/>
              <w:rPr>
                <w:sz w:val="20"/>
                <w:szCs w:val="20"/>
                <w:color w:val="auto"/>
              </w:rPr>
            </w:pPr>
            <w:r>
              <w:rPr>
                <w:rFonts w:ascii="Arial" w:cs="Arial" w:eastAsia="Arial" w:hAnsi="Arial"/>
                <w:sz w:val="15"/>
                <w:szCs w:val="15"/>
                <w:b w:val="1"/>
                <w:bCs w:val="1"/>
                <w:color w:val="auto"/>
                <w:w w:val="95"/>
              </w:rPr>
              <w:t>at End</w:t>
            </w:r>
          </w:p>
        </w:tc>
        <w:tc>
          <w:tcPr>
            <w:tcW w:w="0" w:type="dxa"/>
            <w:vAlign w:val="bottom"/>
          </w:tcPr>
          <w:p>
            <w:pPr>
              <w:spacing w:after="0"/>
              <w:rPr>
                <w:sz w:val="1"/>
                <w:szCs w:val="1"/>
                <w:color w:val="auto"/>
              </w:rPr>
            </w:pPr>
          </w:p>
        </w:tc>
      </w:tr>
      <w:tr>
        <w:trPr>
          <w:trHeight w:val="197"/>
        </w:trPr>
        <w:tc>
          <w:tcPr>
            <w:tcW w:w="45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of Period</w:t>
            </w:r>
          </w:p>
        </w:tc>
        <w:tc>
          <w:tcPr>
            <w:tcW w:w="16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5"/>
              </w:rPr>
              <w:t>Expenses</w:t>
            </w:r>
          </w:p>
        </w:tc>
        <w:tc>
          <w:tcPr>
            <w:tcW w:w="940" w:type="dxa"/>
            <w:vAlign w:val="bottom"/>
          </w:tcPr>
          <w:p>
            <w:pPr>
              <w:jc w:val="center"/>
              <w:ind w:left="216"/>
              <w:spacing w:after="0"/>
              <w:rPr>
                <w:sz w:val="20"/>
                <w:szCs w:val="20"/>
                <w:color w:val="auto"/>
              </w:rPr>
            </w:pPr>
            <w:r>
              <w:rPr>
                <w:rFonts w:ascii="Arial" w:cs="Arial" w:eastAsia="Arial" w:hAnsi="Arial"/>
                <w:sz w:val="15"/>
                <w:szCs w:val="15"/>
                <w:b w:val="1"/>
                <w:bCs w:val="1"/>
                <w:color w:val="auto"/>
                <w:w w:val="87"/>
              </w:rPr>
              <w:t>Accounts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6"/>
              </w:rPr>
              <w:t>Reserves</w:t>
            </w:r>
          </w:p>
        </w:tc>
        <w:tc>
          <w:tcPr>
            <w:tcW w:w="200" w:type="dxa"/>
            <w:vAlign w:val="bottom"/>
          </w:tcPr>
          <w:p>
            <w:pPr>
              <w:spacing w:after="0"/>
              <w:rPr>
                <w:sz w:val="17"/>
                <w:szCs w:val="17"/>
                <w:color w:val="auto"/>
              </w:rPr>
            </w:pPr>
          </w:p>
        </w:tc>
        <w:tc>
          <w:tcPr>
            <w:tcW w:w="1020" w:type="dxa"/>
            <w:vAlign w:val="bottom"/>
          </w:tcPr>
          <w:p>
            <w:pPr>
              <w:jc w:val="center"/>
              <w:ind w:right="174"/>
              <w:spacing w:after="0"/>
              <w:rPr>
                <w:sz w:val="20"/>
                <w:szCs w:val="20"/>
                <w:color w:val="auto"/>
              </w:rPr>
            </w:pPr>
            <w:r>
              <w:rPr>
                <w:rFonts w:ascii="Arial" w:cs="Arial" w:eastAsia="Arial" w:hAnsi="Arial"/>
                <w:sz w:val="15"/>
                <w:szCs w:val="15"/>
                <w:b w:val="1"/>
                <w:bCs w:val="1"/>
                <w:color w:val="auto"/>
                <w:w w:val="92"/>
              </w:rPr>
              <w:t>of Period</w:t>
            </w:r>
          </w:p>
        </w:tc>
        <w:tc>
          <w:tcPr>
            <w:tcW w:w="0" w:type="dxa"/>
            <w:vAlign w:val="bottom"/>
          </w:tcPr>
          <w:p>
            <w:pPr>
              <w:spacing w:after="0"/>
              <w:rPr>
                <w:sz w:val="1"/>
                <w:szCs w:val="1"/>
                <w:color w:val="auto"/>
              </w:rPr>
            </w:pPr>
          </w:p>
        </w:tc>
      </w:tr>
      <w:tr>
        <w:trPr>
          <w:trHeight w:val="183"/>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 of dollars</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For the year ended December 31, 2020</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Allowances deducted from assets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receivable—trade, net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0" w:type="dxa"/>
            <w:vAlign w:val="bottom"/>
          </w:tcPr>
          <w:p>
            <w:pPr>
              <w:spacing w:after="0"/>
              <w:rPr>
                <w:sz w:val="1"/>
                <w:szCs w:val="1"/>
                <w:color w:val="auto"/>
              </w:rPr>
            </w:pPr>
          </w:p>
        </w:tc>
      </w:tr>
      <w:tr>
        <w:trPr>
          <w:trHeight w:val="226"/>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Valuation allowance on net deferred taxes (b)</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206,743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193,310</w:t>
            </w:r>
          </w:p>
        </w:tc>
        <w:tc>
          <w:tcPr>
            <w:tcW w:w="0" w:type="dxa"/>
            <w:vAlign w:val="bottom"/>
          </w:tcPr>
          <w:p>
            <w:pPr>
              <w:spacing w:after="0"/>
              <w:rPr>
                <w:sz w:val="1"/>
                <w:szCs w:val="1"/>
                <w:color w:val="auto"/>
              </w:rPr>
            </w:pPr>
          </w:p>
        </w:tc>
      </w:tr>
      <w:tr>
        <w:trPr>
          <w:trHeight w:val="227"/>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Inventory obsolescence reserve (c)</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17,703</w:t>
            </w:r>
          </w:p>
        </w:tc>
        <w:tc>
          <w:tcPr>
            <w:tcW w:w="0" w:type="dxa"/>
            <w:vAlign w:val="bottom"/>
          </w:tcPr>
          <w:p>
            <w:pPr>
              <w:spacing w:after="0"/>
              <w:rPr>
                <w:sz w:val="1"/>
                <w:szCs w:val="1"/>
                <w:color w:val="auto"/>
              </w:rPr>
            </w:pPr>
          </w:p>
        </w:tc>
      </w:tr>
      <w:tr>
        <w:trPr>
          <w:trHeight w:val="221"/>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Total allowances deducted from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253,758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210,529</w:t>
            </w:r>
          </w:p>
        </w:tc>
        <w:tc>
          <w:tcPr>
            <w:tcW w:w="100" w:type="dxa"/>
            <w:vAlign w:val="bottom"/>
          </w:tcPr>
          <w:p>
            <w:pPr>
              <w:spacing w:after="0"/>
              <w:rPr>
                <w:sz w:val="19"/>
                <w:szCs w:val="19"/>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(228,299)</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235,988</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58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 December 31, 2019</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Allowances deducted from assets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Accounts receivable—trade, net (a)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24,610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159,140</w:t>
            </w:r>
          </w:p>
        </w:tc>
        <w:tc>
          <w:tcPr>
            <w:tcW w:w="100" w:type="dxa"/>
            <w:vAlign w:val="bottom"/>
          </w:tcPr>
          <w:p>
            <w:pPr>
              <w:spacing w:after="0"/>
              <w:rPr>
                <w:sz w:val="19"/>
                <w:szCs w:val="19"/>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(158,784)</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24,966</w:t>
            </w:r>
          </w:p>
        </w:tc>
        <w:tc>
          <w:tcPr>
            <w:tcW w:w="0" w:type="dxa"/>
            <w:vAlign w:val="bottom"/>
          </w:tcPr>
          <w:p>
            <w:pPr>
              <w:spacing w:after="0"/>
              <w:rPr>
                <w:sz w:val="1"/>
                <w:szCs w:val="1"/>
                <w:color w:val="auto"/>
              </w:rPr>
            </w:pPr>
          </w:p>
        </w:tc>
      </w:tr>
      <w:tr>
        <w:trPr>
          <w:trHeight w:val="227"/>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Valuation allowance on net deferred taxes (b)</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206,743</w:t>
            </w:r>
          </w:p>
        </w:tc>
        <w:tc>
          <w:tcPr>
            <w:tcW w:w="0" w:type="dxa"/>
            <w:vAlign w:val="bottom"/>
          </w:tcPr>
          <w:p>
            <w:pPr>
              <w:spacing w:after="0"/>
              <w:rPr>
                <w:sz w:val="1"/>
                <w:szCs w:val="1"/>
                <w:color w:val="auto"/>
              </w:rPr>
            </w:pPr>
          </w:p>
        </w:tc>
      </w:tr>
      <w:tr>
        <w:trPr>
          <w:trHeight w:val="226"/>
        </w:trPr>
        <w:tc>
          <w:tcPr>
            <w:tcW w:w="4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Inventory obsolescence reserve (c)</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22,049</w:t>
            </w:r>
          </w:p>
        </w:tc>
        <w:tc>
          <w:tcPr>
            <w:tcW w:w="0" w:type="dxa"/>
            <w:vAlign w:val="bottom"/>
          </w:tcPr>
          <w:p>
            <w:pPr>
              <w:spacing w:after="0"/>
              <w:rPr>
                <w:sz w:val="1"/>
                <w:szCs w:val="1"/>
                <w:color w:val="auto"/>
              </w:rPr>
            </w:pPr>
          </w:p>
        </w:tc>
      </w:tr>
      <w:tr>
        <w:trPr>
          <w:trHeight w:val="24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allowances deducted from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160,027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(190,974)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253,758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For the year ended December 31, 2018</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Allowances deducted from assets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receivable—trade, net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222,819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0" w:type="dxa"/>
            <w:vAlign w:val="bottom"/>
          </w:tcPr>
          <w:p>
            <w:pPr>
              <w:spacing w:after="0"/>
              <w:rPr>
                <w:sz w:val="1"/>
                <w:szCs w:val="1"/>
                <w:color w:val="auto"/>
              </w:rPr>
            </w:pPr>
          </w:p>
        </w:tc>
      </w:tr>
      <w:tr>
        <w:trPr>
          <w:trHeight w:val="226"/>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Valuation allowance on net deferred taxes (b)</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18,413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(90,602)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239,959</w:t>
            </w:r>
          </w:p>
        </w:tc>
        <w:tc>
          <w:tcPr>
            <w:tcW w:w="0" w:type="dxa"/>
            <w:vAlign w:val="bottom"/>
          </w:tcPr>
          <w:p>
            <w:pPr>
              <w:spacing w:after="0"/>
              <w:rPr>
                <w:sz w:val="1"/>
                <w:szCs w:val="1"/>
                <w:color w:val="auto"/>
              </w:rPr>
            </w:pPr>
          </w:p>
        </w:tc>
      </w:tr>
      <w:tr>
        <w:trPr>
          <w:trHeight w:val="227"/>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Inventory obsolescence reserve (c)</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32,379</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20,136</w:t>
            </w:r>
          </w:p>
        </w:tc>
        <w:tc>
          <w:tcPr>
            <w:tcW w:w="0" w:type="dxa"/>
            <w:vAlign w:val="bottom"/>
          </w:tcPr>
          <w:p>
            <w:pPr>
              <w:spacing w:after="0"/>
              <w:rPr>
                <w:sz w:val="1"/>
                <w:szCs w:val="1"/>
                <w:color w:val="auto"/>
              </w:rPr>
            </w:pPr>
          </w:p>
        </w:tc>
      </w:tr>
      <w:tr>
        <w:trPr>
          <w:trHeight w:val="221"/>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Total allowances deducted from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373,288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273,611</w:t>
            </w:r>
          </w:p>
        </w:tc>
        <w:tc>
          <w:tcPr>
            <w:tcW w:w="100" w:type="dxa"/>
            <w:vAlign w:val="bottom"/>
          </w:tcPr>
          <w:p>
            <w:pPr>
              <w:spacing w:after="0"/>
              <w:rPr>
                <w:sz w:val="19"/>
                <w:szCs w:val="19"/>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(362,194)</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284,705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233"/>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allowances for doubtful accounts, anticipated discounts and write-offs of uncollectible accounts receivable.</w:t>
      </w:r>
    </w:p>
    <w:p>
      <w:pPr>
        <w:spacing w:after="0" w:line="17" w:lineRule="exact"/>
        <w:rPr>
          <w:rFonts w:ascii="Arial" w:cs="Arial" w:eastAsia="Arial" w:hAnsi="Arial"/>
          <w:sz w:val="18"/>
          <w:szCs w:val="18"/>
          <w:color w:val="auto"/>
        </w:rPr>
      </w:pPr>
    </w:p>
    <w:p>
      <w:pPr>
        <w:ind w:left="480" w:hanging="253"/>
        <w:spacing w:after="0"/>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adjustments to the valuation allowance for deferred tax assets that we do not expect to realize, as well as the release of valuation allowances.</w:t>
      </w:r>
    </w:p>
    <w:p>
      <w:pPr>
        <w:spacing w:after="0" w:line="29" w:lineRule="exact"/>
        <w:rPr>
          <w:rFonts w:ascii="Arial" w:cs="Arial" w:eastAsia="Arial" w:hAnsi="Arial"/>
          <w:sz w:val="16"/>
          <w:szCs w:val="16"/>
          <w:color w:val="auto"/>
        </w:rPr>
      </w:pPr>
    </w:p>
    <w:p>
      <w:pPr>
        <w:ind w:left="460" w:hanging="233"/>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adjustments to the inventory reserve, transfers, disposals and write-offs of obsolete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1104900</wp:posOffset>
            </wp:positionV>
            <wp:extent cx="194945" cy="169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8">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39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2020 Form 10-K | Page 108</w:t>
      </w:r>
    </w:p>
    <w:p>
      <w:pPr>
        <w:sectPr>
          <w:pgSz w:w="11900" w:h="16838" w:orient="portrait"/>
          <w:cols w:equalWidth="0" w:num="1">
            <w:col w:w="11180"/>
          </w:cols>
          <w:pgMar w:left="340" w:top="1241" w:right="3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4.2</w:t>
      </w:r>
    </w:p>
    <w:p>
      <w:pPr>
        <w:spacing w:after="0" w:line="246" w:lineRule="exact"/>
        <w:rPr>
          <w:sz w:val="20"/>
          <w:szCs w:val="20"/>
          <w:color w:val="auto"/>
        </w:rPr>
      </w:pPr>
    </w:p>
    <w:p>
      <w:pPr>
        <w:jc w:val="center"/>
        <w:spacing w:after="0" w:line="245" w:lineRule="auto"/>
        <w:rPr>
          <w:sz w:val="20"/>
          <w:szCs w:val="20"/>
          <w:color w:val="auto"/>
        </w:rPr>
      </w:pPr>
      <w:r>
        <w:rPr>
          <w:rFonts w:ascii="Arial" w:cs="Arial" w:eastAsia="Arial" w:hAnsi="Arial"/>
          <w:sz w:val="18"/>
          <w:szCs w:val="18"/>
          <w:b w:val="1"/>
          <w:bCs w:val="1"/>
          <w:color w:val="auto"/>
        </w:rPr>
        <w:t>DESCRIPTION OF COMMON STOCK AND CLASS B COMMON STOCK REGISTERED UNDER SECTION 12 OF THE SECURITIES EXCHANGE ACT OF 1934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authorized capital stock of The Hershey Company (the “Company,” “us,” “we,” or “our”) consists of (a) 900,000,000 shares of Common Stock, one dollar ($1.00) par value per share (the “Common Stock”); (b) 150,000,000 shares of Class B Common Stock, one dollar ($1.00) par value per share (the “Class B Common Stock”); and (c) 5,000,000 shares of Preferred Stock, one dollar ($1.00) par value per share (the “Preferred Stock”). All outstanding shares of capital stock are fully paid and nonassessable. Our Common Stock is registered under Section 12(b) of the Exchange Act, and our Class B Common Stock is registered under Section 12(g) of the Exchange Act.</w:t>
      </w:r>
    </w:p>
    <w:p>
      <w:pPr>
        <w:spacing w:after="0" w:line="217" w:lineRule="exact"/>
        <w:rPr>
          <w:sz w:val="20"/>
          <w:szCs w:val="20"/>
          <w:color w:val="auto"/>
        </w:rPr>
      </w:pPr>
    </w:p>
    <w:p>
      <w:pPr>
        <w:ind w:right="660"/>
        <w:spacing w:after="0" w:line="251" w:lineRule="auto"/>
        <w:rPr>
          <w:sz w:val="20"/>
          <w:szCs w:val="20"/>
          <w:color w:val="auto"/>
        </w:rPr>
      </w:pPr>
      <w:r>
        <w:rPr>
          <w:rFonts w:ascii="Arial" w:cs="Arial" w:eastAsia="Arial" w:hAnsi="Arial"/>
          <w:sz w:val="18"/>
          <w:szCs w:val="18"/>
          <w:color w:val="auto"/>
        </w:rPr>
        <w:t>The following summary is qualified in its entirety by reference to applicable provisions of our Restated Certificate of Incorporation, as amended (the “Certificate of Incorporation”), our By-Laws and the Delaware General Corporation Law (the “DGCL”).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9"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The Company’s Board of Directors (the “Board”) may declare and pay such dividends upon the shares of the Company’s capital stock out of the surplus of the Company as it may deem expedient and as the condition of the Company shall warrant.</w:t>
      </w:r>
    </w:p>
    <w:p>
      <w:pPr>
        <w:spacing w:after="0" w:line="207" w:lineRule="exact"/>
        <w:rPr>
          <w:sz w:val="20"/>
          <w:szCs w:val="20"/>
          <w:color w:val="auto"/>
        </w:rPr>
      </w:pPr>
    </w:p>
    <w:p>
      <w:pPr>
        <w:ind w:left="640" w:right="180" w:hanging="314"/>
        <w:spacing w:after="0" w:line="237"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Cash Dividends</w:t>
      </w:r>
      <w:r>
        <w:rPr>
          <w:rFonts w:ascii="Arial" w:cs="Arial" w:eastAsia="Arial" w:hAnsi="Arial"/>
          <w:sz w:val="18"/>
          <w:szCs w:val="18"/>
          <w:color w:val="auto"/>
        </w:rPr>
        <w:t>. At any time shares of the Class B Common Stock are outstanding, as and when cash dividends may be declared by the Board, the</w:t>
      </w:r>
      <w:r>
        <w:rPr>
          <w:rFonts w:ascii="Arial" w:cs="Arial" w:eastAsia="Arial" w:hAnsi="Arial"/>
          <w:sz w:val="18"/>
          <w:szCs w:val="18"/>
          <w:i w:val="1"/>
          <w:iCs w:val="1"/>
          <w:color w:val="auto"/>
        </w:rPr>
        <w:t xml:space="preserve"> </w:t>
      </w:r>
      <w:r>
        <w:rPr>
          <w:rFonts w:ascii="Arial" w:cs="Arial" w:eastAsia="Arial" w:hAnsi="Arial"/>
          <w:sz w:val="18"/>
          <w:szCs w:val="18"/>
          <w:color w:val="auto"/>
        </w:rPr>
        <w:t>cash dividend payable on shares of the Common Stock shall in all cases be ten percent (10%) higher on a per share basis than the cash dividend payable on shares of the Class B Common Stock. For purposes of calculating the cash dividend to be paid on shares of the Common Stock and the Class B Common Stock, the amount of the cash dividend declared and payable on shares of the Common Stock may be rounded up to the next highest half cent or fraction thereof.</w:t>
      </w:r>
    </w:p>
    <w:p>
      <w:pPr>
        <w:spacing w:after="0" w:line="217" w:lineRule="exact"/>
        <w:rPr>
          <w:rFonts w:ascii="Arial" w:cs="Arial" w:eastAsia="Arial" w:hAnsi="Arial"/>
          <w:sz w:val="18"/>
          <w:szCs w:val="18"/>
          <w:color w:val="auto"/>
        </w:rPr>
      </w:pPr>
    </w:p>
    <w:p>
      <w:pPr>
        <w:ind w:left="640" w:right="220" w:hanging="314"/>
        <w:spacing w:after="0" w:line="237"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Other Dividends and Distributions</w:t>
      </w:r>
      <w:r>
        <w:rPr>
          <w:rFonts w:ascii="Arial" w:cs="Arial" w:eastAsia="Arial" w:hAnsi="Arial"/>
          <w:sz w:val="18"/>
          <w:szCs w:val="18"/>
          <w:color w:val="auto"/>
        </w:rPr>
        <w:t>. Each share of the Common Stock and each share of the Class B Common Stock shall be equal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dividends (other than cash) and distributions, when and as declared, in the form of stock or other property of the Company, except that in the case of dividends or other distributions payable in stock of the Company, including distributions pursuant to stock split-ups or divisions, only shares of the Common Stock shall be distributed with respect to the Common Stock and only shares of the Class B Common Stock shall be distributed with respect to the Class B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23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Each share of the Class B Common Stock may at any time be converted at the election of the holder thereof into one fully paid and nonassessable share of the Common Stock. Any holder of shares of the Class B Common Stock may elect to convert any or all of such shares at one time or at various times in such holder’s discretion. No adjustments in respect of past cash dividends shall be made upon the conversion of any share of the Class B Common Stock; provided, however, that if any shares of the Class B Common Stock shall be converted subsequent to the record date for the payment of a cash or stock dividend or other distribution on shares of the Class B Common Stock but prior to such payment, the registered holder of such shares at the close of business on such record date shall be entitled to receive the cash or stock dividend or other distribution payable to holders of the Common Stock. If any shares of the Common Stock require registration with or approval of any governmental authority under any federal or state law before such shares of the Common Stock may be issued upon conversion, the Company will cause such shares to be duly registered or approved, as the case may be. The Company will endeavor to list shares of the Common Stock required to be delivered upon conversion prior to such delivery upon any national securities exchange or national market system on which the outstanding shares of the Common Stock may be listed at the time of such delivery.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0"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color w:val="auto"/>
        </w:rPr>
        <w:t>shares of the Common Stock which may be issued upon conversion of shares of the Class B Common Stock will, upon issue, be fully paid and nonassessable.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and Redemption</w:t>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Shares of Common Stock do not entitle a holder to any preemptive rights enabling a holder to subscribe for or receive shares of stock of any class or any other securities convertible into shares of stock of any class of the Company’s stock. The Board may only issue shares of the Class B Common Stock to the then holders of the outstanding shares of the Class B Common Stock. There are no redemption or sinking fund provisions applicable to the Common Stock or Class B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9"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With respect to all matters upon which stockholders are entitled to vote or to which stockholders are entitled to give consent, the holders of the outstanding shares of the Common Stock and the holders of any outstanding shares of the Class B Common Stock shall vote together without regard to class, and every holder of the outstanding shares of the Common Stock shall be entitled to cast thereon one (1) vote in person or by proxy for each share of the Common Stock standing in his name, and every holder of any outstanding shares of the Class B Common Stock shall be entitled to cast thereon ten (10) votes in person or by proxy for each share of the Class B Common Stock standing in his name, provided that at such time as shares of the Class B Common Stock become outstanding, holders of the Common Stock, voting separately as a class with each holder of the outstanding shares of the Common Stock being entitled to one</w:t>
      </w:r>
    </w:p>
    <w:p>
      <w:pPr>
        <w:spacing w:after="0" w:line="4" w:lineRule="exact"/>
        <w:rPr>
          <w:sz w:val="20"/>
          <w:szCs w:val="20"/>
          <w:color w:val="auto"/>
        </w:rPr>
      </w:pPr>
    </w:p>
    <w:p>
      <w:pPr>
        <w:ind w:right="120" w:firstLine="7"/>
        <w:spacing w:after="0" w:line="247" w:lineRule="auto"/>
        <w:tabs>
          <w:tab w:leader="none" w:pos="252" w:val="left"/>
        </w:tabs>
        <w:numPr>
          <w:ilvl w:val="0"/>
          <w:numId w:val="61"/>
        </w:numPr>
        <w:rPr>
          <w:rFonts w:ascii="Arial" w:cs="Arial" w:eastAsia="Arial" w:hAnsi="Arial"/>
          <w:sz w:val="17"/>
          <w:szCs w:val="17"/>
          <w:color w:val="auto"/>
        </w:rPr>
      </w:pPr>
      <w:r>
        <w:rPr>
          <w:rFonts w:ascii="Arial" w:cs="Arial" w:eastAsia="Arial" w:hAnsi="Arial"/>
          <w:sz w:val="17"/>
          <w:szCs w:val="17"/>
          <w:color w:val="auto"/>
        </w:rPr>
        <w:t>vote in person or by proxy for each share of the Common Stock standing in his name, shall have the right to elect that number of directors so that one-sixth (calculated to the nearest whole number, rounding a fractional number of five-tenths (.5) to the next highest whole number) of the total number of directors of the Company fixed from time to time by, or in the manner provided for in, the By-Laws, shall have been elected by the holders of the Common Stock. With respect to any proposed amendment to the Certificate of Incorporation that would increase or decrease the number of authorized shares of either the Common Stock or the Class B Common Stock, increase or decrease the par value of the shares of the Common Stock or the Class B Common Stock, or alter or change the powers, preferences, relative voting power or special rights of the shares of the Common Stock or the Class B Common Stock so as to affect them adversely, the approval of a majority of the votes entitled to be cast by the holders of the class affected by the proposed amendment, voting separately as a class, must be obtained in addition to the approval of a majority of the votes entitled to be cast by the holders of the Common Stock and the Class B Common Stock voting together without regard to class.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39"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Except as otherwise required by the DGCL or as otherwise provided in the Certificate of Incorporation, each share of the Common Stock and each share of the Class B Common Stock shall have identical powers, preferences and rights, including rights in liquidation.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Additional Issuances</w:t>
      </w:r>
    </w:p>
    <w:p>
      <w:pPr>
        <w:spacing w:after="0" w:line="23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Board may from time to time authorize by resolution the issuance of any or all shares of the Common Stock and the Preferred Stock for such purposes, in such amounts, to such persons, corporations, or entities, for such consideration, and in the case of the Preferred Stock, in one or more series, all as the Board in its discretion may determine and without any vote or other action by the stockholders, except as otherwise required by law, provided, however, that, subject to the Change in Control provision below, the approval of Hershey Trust Company (a Pennsylvania corporation), as Trustee for Milton Hershey School (a Pennsylvania not-for-profit corporation), under Deed of Trust dated November 15, 1909, or any successor to Hershey Trust Company as Trustee for Milton Hershey School, or Milton Hershey School, as appropriate, shall be obtained prior to the Board authorizing the issuance of any shares of the Common Stock or the Preferred Stock, or taking any other action, which would cause said Hershey Trust Company, successor Trustee, or Milton Hershey School to cease to be able at any time (either at a meeting of stockholders or by written consent) to cast a majority of the votes entitled to be cast with regard to any matter upon which the Class B Common Stock is entitled to vote either separately as a class or together with any other class. At any time shares of the Class B Common Stock are outstanding, the Board may issue shares of the Common Stock in the form of a distribution or distributions pursuant to a stock dividend on or split-up of the shares of the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7" w:right="339" w:bottom="1440" w:gutter="0" w:footer="0" w:header="0"/>
        </w:sectPr>
      </w:pPr>
    </w:p>
    <w:bookmarkStart w:id="112" w:name="page113"/>
    <w:bookmarkEnd w:id="112"/>
    <w:p>
      <w:pPr>
        <w:ind w:right="20"/>
        <w:spacing w:after="0" w:line="251" w:lineRule="auto"/>
        <w:rPr>
          <w:sz w:val="20"/>
          <w:szCs w:val="20"/>
          <w:color w:val="auto"/>
        </w:rPr>
      </w:pPr>
      <w:r>
        <w:rPr>
          <w:rFonts w:ascii="Arial" w:cs="Arial" w:eastAsia="Arial" w:hAnsi="Arial"/>
          <w:sz w:val="18"/>
          <w:szCs w:val="18"/>
          <w:color w:val="auto"/>
        </w:rPr>
        <w:t>Stock only to the then holders of the outstanding shares of the Common Stock and in conjunction with and in the same ratio as a stock dividend on or split-up of the shares of the Class B Common Stock.</w:t>
      </w:r>
    </w:p>
    <w:p>
      <w:pPr>
        <w:spacing w:after="0" w:line="20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Board may only issue shares of the Class B Common Stock in the form of a distribution or distributions pursuant to a stock dividend on or split-up of the shares of the Class B Common Stock and only to the then holders of the outstanding shares of the Class B Common Stock in conjunction with and in the same ratio as a stock dividend on or split-up of the shares of the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3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At any time when (a) Hershey Trust Company (a Pennsylvania corporation), as Trustee for Milton Hershey School (a Pennsylvania not-for-profit corporation) under Deed of Trust dated November 15, 1909, or any successor to Hershey Trust Company as Trustee for Milton Hershey School, or Milton Hershey School, ceases to hold (1) more than fifty percent (50%) of the outstanding shares of the Class B Common Stock at a time when shares of such class are outstanding and (2) at least fifteen percent (15%) of the total number of shares of the Common Stock and the Class B Common Stock outstanding or (b) there shall be only shares of either the Common Stock or shares of the Class B Common Stock outstanding, any shares of the Class B Common Stock which are then outstanding shall, without any action by the Board or the holder or holders thereof, automatically convert into and become for all purposes shares of the Common Stock, and the provisions of the Certificate of Incorporation which provide for different voting or cash dividend rights for the Common Stock and the Class B Common Stock shall not be of any effect. All shares of either or both the Common Stock or the Class B Common Stock which are then outstanding shall have equal and general voting power in the election of directors and in all other matters upon which stockholders of the Company are entitled to vote or give consent, even if at such time there shall have been fixed by the Board a record date for voting at any meeting of stockholders. If any cash dividends shall have been declared at such time but not paid, holders of the Class B Common Stock shall be entitled to the same cash dividend payable to holders of the Common Stock, and future cash dividends, as and when declared, shall be payable at the same rate for all shares of the one class of Common Stock then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Certificate of Incorporation and By-Laws</w:t>
      </w:r>
    </w:p>
    <w:p>
      <w:pPr>
        <w:spacing w:after="0" w:line="2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long as shares of the Class B Common Stock remain outstanding, it would be very difficult to acquire control of the Company in a merger or other type of transaction if the holders of Class B Common Stock opposed the merger or other type of transaction. Even if Class B Common Stock were converted to Common Stock at a later date, the Certificate of Incorporation and By-Laws would make the Company’s acquisition by tender offer or proxy, or the removal of its officers and directors, difficult given the provisions described below.</w:t>
      </w:r>
    </w:p>
    <w:p>
      <w:pPr>
        <w:spacing w:after="0" w:line="218" w:lineRule="exact"/>
        <w:rPr>
          <w:sz w:val="20"/>
          <w:szCs w:val="20"/>
          <w:color w:val="auto"/>
        </w:rPr>
      </w:pPr>
    </w:p>
    <w:p>
      <w:pPr>
        <w:ind w:left="640" w:right="500" w:hanging="314"/>
        <w:spacing w:after="0" w:line="313" w:lineRule="auto"/>
        <w:tabs>
          <w:tab w:leader="none" w:pos="635"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Advance Notice Provisions. </w:t>
      </w:r>
      <w:r>
        <w:rPr>
          <w:rFonts w:ascii="Arial" w:cs="Arial" w:eastAsia="Arial" w:hAnsi="Arial"/>
          <w:sz w:val="16"/>
          <w:szCs w:val="16"/>
          <w:color w:val="auto"/>
        </w:rPr>
        <w:t>The By-Laws establish advance notice procedures and conditions for stockholders to make nomination of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or present any other proposal to be acted upon at any annual or special meeting of stockholders.</w:t>
      </w:r>
    </w:p>
    <w:p>
      <w:pPr>
        <w:spacing w:after="0" w:line="159" w:lineRule="exact"/>
        <w:rPr>
          <w:rFonts w:ascii="Arial" w:cs="Arial" w:eastAsia="Arial" w:hAnsi="Arial"/>
          <w:sz w:val="16"/>
          <w:szCs w:val="16"/>
          <w:color w:val="auto"/>
        </w:rPr>
      </w:pPr>
    </w:p>
    <w:p>
      <w:pPr>
        <w:ind w:left="640" w:right="80" w:hanging="314"/>
        <w:spacing w:after="0" w:line="249" w:lineRule="auto"/>
        <w:tabs>
          <w:tab w:leader="none" w:pos="635"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Delaware Business Combination Statute. </w:t>
      </w:r>
      <w:r>
        <w:rPr>
          <w:rFonts w:ascii="Arial" w:cs="Arial" w:eastAsia="Arial" w:hAnsi="Arial"/>
          <w:sz w:val="17"/>
          <w:szCs w:val="17"/>
          <w:color w:val="auto"/>
        </w:rPr>
        <w:t>The provisions of Section 203 of the DGCL apply. In general, the statute prohibits a Delaware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that has either a class of stock listed on a national stock exchange or at least 2,000 stockholders of record from engaging in a business combination with an interested stockholder (generally, the beneficial owner of 15% or more of the corporation’s outstanding voting stock) for three years following the time the stockholder became an interested stockholder, unless, prior to that time: (1) the corporation’s board of directors approved either the business combination or the transaction that resulted in the stockholder becoming an interested stockholder, (2) at least two-thirds of the outstanding shares not owned by that interested stockholder approve the business combination, or (3) upon becoming an interested stockholder, that stockholder owned at least 85% of the outstanding shares, excluding those held by officers, directors and some employee stock plans. A “business combination” includes a merger, asset sale, or other transaction resulting in a financial benefit, other than proportionately as a stockholder, to the interested stockholder.</w:t>
      </w:r>
    </w:p>
    <w:p>
      <w:pPr>
        <w:spacing w:after="0" w:line="213" w:lineRule="exact"/>
        <w:rPr>
          <w:rFonts w:ascii="Arial" w:cs="Arial" w:eastAsia="Arial" w:hAnsi="Arial"/>
          <w:sz w:val="17"/>
          <w:szCs w:val="17"/>
          <w:color w:val="auto"/>
        </w:rPr>
      </w:pPr>
    </w:p>
    <w:p>
      <w:pPr>
        <w:ind w:left="640" w:right="120" w:hanging="314"/>
        <w:spacing w:after="0" w:line="241"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Director Removal. </w:t>
      </w:r>
      <w:r>
        <w:rPr>
          <w:rFonts w:ascii="Arial" w:cs="Arial" w:eastAsia="Arial" w:hAnsi="Arial"/>
          <w:sz w:val="18"/>
          <w:szCs w:val="18"/>
          <w:color w:val="auto"/>
        </w:rPr>
        <w:t>Directors elected or electable (in the case of vacancies or newly created directorships filled by the remaining directors)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the Common Stock and the Class B Common Stock voting together without regard to class may be removed, with or without cause, only by the vote or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6" w:right="339" w:bottom="1440" w:gutter="0" w:footer="0" w:header="0"/>
        </w:sectPr>
      </w:pPr>
    </w:p>
    <w:bookmarkStart w:id="113" w:name="page114"/>
    <w:bookmarkEnd w:id="113"/>
    <w:p>
      <w:pPr>
        <w:ind w:left="320"/>
        <w:spacing w:after="0" w:line="238" w:lineRule="auto"/>
        <w:rPr>
          <w:sz w:val="20"/>
          <w:szCs w:val="20"/>
          <w:color w:val="auto"/>
        </w:rPr>
      </w:pPr>
      <w:r>
        <w:rPr>
          <w:rFonts w:ascii="Arial" w:cs="Arial" w:eastAsia="Arial" w:hAnsi="Arial"/>
          <w:sz w:val="18"/>
          <w:szCs w:val="18"/>
          <w:color w:val="auto"/>
        </w:rPr>
        <w:t>of a majority of the votes then entitled to be cast by the holders of the Common Stock and Class B Common Stock, voting together without regard to class. Directors separately elected or electable (in the case of vacancies or newly created directorships filled by the remaining directors) by the holders of the Common Stock may be removed, with or without cause, only by the vote or consent of a majority of the votes then entitled to be cast by the holders of the Common Stock, voting separately as a class.</w:t>
      </w:r>
    </w:p>
    <w:p>
      <w:pPr>
        <w:spacing w:after="0" w:line="218" w:lineRule="exact"/>
        <w:rPr>
          <w:sz w:val="20"/>
          <w:szCs w:val="20"/>
          <w:color w:val="auto"/>
        </w:rPr>
      </w:pPr>
    </w:p>
    <w:p>
      <w:pPr>
        <w:ind w:left="320" w:hanging="314"/>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Certificate of Incorporation and By-Laws do not provide for cumulative voting in the election of directors.</w:t>
      </w:r>
    </w:p>
    <w:p>
      <w:pPr>
        <w:spacing w:after="0" w:line="232" w:lineRule="exact"/>
        <w:rPr>
          <w:rFonts w:ascii="Arial" w:cs="Arial" w:eastAsia="Arial" w:hAnsi="Arial"/>
          <w:sz w:val="18"/>
          <w:szCs w:val="18"/>
          <w:color w:val="auto"/>
        </w:rPr>
      </w:pPr>
    </w:p>
    <w:p>
      <w:pPr>
        <w:ind w:left="320" w:right="80" w:hanging="314"/>
        <w:spacing w:after="0" w:line="241" w:lineRule="auto"/>
        <w:tabs>
          <w:tab w:leader="none" w:pos="31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Subject to the restrictions on additional issuances described above, the authorization of undesignated preferred stock, makes it</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for the Board to issue preferred stock with the powers, preferences, rights, qualifications, limitations and restrictions pertaining thereto that could impede the success of any attempt to change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640" w:top="1407" w:right="35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21.1</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SUBSIDIARIES OF REGISTRANT</w:t>
      </w:r>
    </w:p>
    <w:p>
      <w:pPr>
        <w:spacing w:after="0" w:line="106"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Below is a listing of our major subsidiaries as of December 31, 2020, their jurisdictions of incorporation, and the name under which they do business. Each is wholly owned unless otherwise noted.</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Subsidiary Name</w:t>
            </w:r>
          </w:p>
        </w:tc>
        <w:tc>
          <w:tcPr>
            <w:tcW w:w="100" w:type="dxa"/>
            <w:vAlign w:val="bottom"/>
          </w:tcPr>
          <w:p>
            <w:pPr>
              <w:spacing w:after="0"/>
              <w:rPr>
                <w:sz w:val="19"/>
                <w:szCs w:val="19"/>
                <w:color w:val="auto"/>
              </w:rPr>
            </w:pPr>
          </w:p>
        </w:tc>
        <w:tc>
          <w:tcPr>
            <w:tcW w:w="28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Jurisdiction of Incorporation</w:t>
            </w:r>
          </w:p>
        </w:tc>
      </w:tr>
      <w:tr>
        <w:trPr>
          <w:trHeight w:val="366"/>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Netherlands B.V.</w:t>
            </w:r>
          </w:p>
        </w:tc>
        <w:tc>
          <w:tcPr>
            <w:tcW w:w="2840" w:type="dxa"/>
            <w:vAlign w:val="bottom"/>
          </w:tcPr>
          <w:p>
            <w:pPr>
              <w:ind w:left="340"/>
              <w:spacing w:after="0"/>
              <w:rPr>
                <w:sz w:val="20"/>
                <w:szCs w:val="20"/>
                <w:color w:val="auto"/>
              </w:rPr>
            </w:pPr>
            <w:r>
              <w:rPr>
                <w:rFonts w:ascii="Arial" w:cs="Arial" w:eastAsia="Arial" w:hAnsi="Arial"/>
                <w:sz w:val="18"/>
                <w:szCs w:val="18"/>
                <w:color w:val="auto"/>
              </w:rPr>
              <w:t>The Netherlands</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Canada, Inc.</w:t>
            </w:r>
          </w:p>
        </w:tc>
        <w:tc>
          <w:tcPr>
            <w:tcW w:w="2840" w:type="dxa"/>
            <w:vAlign w:val="bottom"/>
          </w:tcPr>
          <w:p>
            <w:pPr>
              <w:ind w:left="340"/>
              <w:spacing w:after="0"/>
              <w:rPr>
                <w:sz w:val="20"/>
                <w:szCs w:val="20"/>
                <w:color w:val="auto"/>
              </w:rPr>
            </w:pPr>
            <w:r>
              <w:rPr>
                <w:rFonts w:ascii="Arial" w:cs="Arial" w:eastAsia="Arial" w:hAnsi="Arial"/>
                <w:sz w:val="18"/>
                <w:szCs w:val="18"/>
                <w:color w:val="auto"/>
              </w:rPr>
              <w:t>Canada</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Mexico S.A.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Hersmex S. de R.L.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Servicios de Hersmex S. de R.L.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Chocolate of Virginia LLC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Chocolate &amp; Confectionery LLC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International LLC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Reese Candy Corporation</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CSH Foods,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20"/>
              <w:spacing w:after="0"/>
              <w:rPr>
                <w:sz w:val="20"/>
                <w:szCs w:val="20"/>
                <w:color w:val="auto"/>
              </w:rPr>
            </w:pPr>
            <w:r>
              <w:rPr>
                <w:rFonts w:ascii="Arial" w:cs="Arial" w:eastAsia="Arial" w:hAnsi="Arial"/>
                <w:sz w:val="18"/>
                <w:szCs w:val="18"/>
                <w:color w:val="auto"/>
              </w:rPr>
              <w:t>The Hershey Sourcing Company</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20"/>
              <w:spacing w:after="0"/>
              <w:rPr>
                <w:sz w:val="20"/>
                <w:szCs w:val="20"/>
                <w:color w:val="auto"/>
              </w:rPr>
            </w:pPr>
            <w:r>
              <w:rPr>
                <w:rFonts w:ascii="Arial" w:cs="Arial" w:eastAsia="Arial" w:hAnsi="Arial"/>
                <w:sz w:val="18"/>
                <w:szCs w:val="18"/>
                <w:color w:val="auto"/>
              </w:rPr>
              <w:t>The Hershey Sales Company</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20"/>
              <w:spacing w:after="0"/>
              <w:rPr>
                <w:sz w:val="20"/>
                <w:szCs w:val="20"/>
                <w:color w:val="auto"/>
              </w:rPr>
            </w:pPr>
            <w:r>
              <w:rPr>
                <w:rFonts w:ascii="Arial" w:cs="Arial" w:eastAsia="Arial" w:hAnsi="Arial"/>
                <w:sz w:val="18"/>
                <w:szCs w:val="18"/>
                <w:color w:val="auto"/>
              </w:rPr>
              <w:t>The Hershey Investment Company, LLC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20"/>
              <w:spacing w:after="0"/>
              <w:rPr>
                <w:sz w:val="20"/>
                <w:szCs w:val="20"/>
                <w:color w:val="auto"/>
              </w:rPr>
            </w:pPr>
            <w:r>
              <w:rPr>
                <w:rFonts w:ascii="Arial" w:cs="Arial" w:eastAsia="Arial" w:hAnsi="Arial"/>
                <w:sz w:val="18"/>
                <w:szCs w:val="18"/>
                <w:color w:val="auto"/>
              </w:rPr>
              <w:t>The Hershey Licensing Company</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Ripple Brand Collective, LLC</w:t>
            </w:r>
          </w:p>
        </w:tc>
        <w:tc>
          <w:tcPr>
            <w:tcW w:w="2840" w:type="dxa"/>
            <w:vAlign w:val="bottom"/>
          </w:tcPr>
          <w:p>
            <w:pPr>
              <w:ind w:left="340"/>
              <w:spacing w:after="0"/>
              <w:rPr>
                <w:sz w:val="20"/>
                <w:szCs w:val="20"/>
                <w:color w:val="auto"/>
              </w:rPr>
            </w:pPr>
            <w:r>
              <w:rPr>
                <w:rFonts w:ascii="Arial" w:cs="Arial" w:eastAsia="Arial" w:hAnsi="Arial"/>
                <w:sz w:val="18"/>
                <w:szCs w:val="18"/>
                <w:color w:val="auto"/>
              </w:rPr>
              <w:t>New York</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Amplify Snack Brands,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ONE Brands, LLC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Artisan Confections Company, LLC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Caribe, Inc.</w:t>
            </w:r>
          </w:p>
        </w:tc>
        <w:tc>
          <w:tcPr>
            <w:tcW w:w="2840" w:type="dxa"/>
            <w:vAlign w:val="bottom"/>
          </w:tcPr>
          <w:p>
            <w:pPr>
              <w:ind w:left="340"/>
              <w:spacing w:after="0"/>
              <w:rPr>
                <w:sz w:val="20"/>
                <w:szCs w:val="20"/>
                <w:color w:val="auto"/>
              </w:rPr>
            </w:pPr>
            <w:r>
              <w:rPr>
                <w:rFonts w:ascii="Arial" w:cs="Arial" w:eastAsia="Arial" w:hAnsi="Arial"/>
                <w:sz w:val="18"/>
                <w:szCs w:val="18"/>
                <w:color w:val="auto"/>
              </w:rPr>
              <w:t>Puerto Rico</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UK Holding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United Kingdom</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UK Finance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United Kingdom</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Trading GmbH</w:t>
            </w:r>
          </w:p>
        </w:tc>
        <w:tc>
          <w:tcPr>
            <w:tcW w:w="2840" w:type="dxa"/>
            <w:vAlign w:val="bottom"/>
          </w:tcPr>
          <w:p>
            <w:pPr>
              <w:ind w:left="340"/>
              <w:spacing w:after="0"/>
              <w:rPr>
                <w:sz w:val="20"/>
                <w:szCs w:val="20"/>
                <w:color w:val="auto"/>
              </w:rPr>
            </w:pPr>
            <w:r>
              <w:rPr>
                <w:rFonts w:ascii="Arial" w:cs="Arial" w:eastAsia="Arial" w:hAnsi="Arial"/>
                <w:sz w:val="18"/>
                <w:szCs w:val="18"/>
                <w:color w:val="auto"/>
              </w:rPr>
              <w:t>Switzerland</w:t>
            </w:r>
          </w:p>
        </w:tc>
      </w:tr>
      <w:tr>
        <w:trPr>
          <w:trHeight w:val="227"/>
        </w:trPr>
        <w:tc>
          <w:tcPr>
            <w:tcW w:w="8340" w:type="dxa"/>
            <w:vAlign w:val="bottom"/>
            <w:gridSpan w:val="2"/>
          </w:tcPr>
          <w:p>
            <w:pPr>
              <w:ind w:left="220"/>
              <w:spacing w:after="0"/>
              <w:rPr>
                <w:sz w:val="20"/>
                <w:szCs w:val="20"/>
                <w:color w:val="auto"/>
              </w:rPr>
            </w:pPr>
            <w:r>
              <w:rPr>
                <w:rFonts w:ascii="Arial" w:cs="Arial" w:eastAsia="Arial" w:hAnsi="Arial"/>
                <w:sz w:val="18"/>
                <w:szCs w:val="18"/>
                <w:color w:val="auto"/>
              </w:rPr>
              <w:t>The Hershey Trading North America Company</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India Private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India</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Nutrine Confectionery Company Private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India</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(Shanghai) Foods Research and Development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Commercial (Shanghai)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(China) Investment Management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Japan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Japan</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Philippines, Inc.</w:t>
            </w:r>
          </w:p>
        </w:tc>
        <w:tc>
          <w:tcPr>
            <w:tcW w:w="2840" w:type="dxa"/>
            <w:vAlign w:val="bottom"/>
          </w:tcPr>
          <w:p>
            <w:pPr>
              <w:ind w:left="340"/>
              <w:spacing w:after="0"/>
              <w:rPr>
                <w:sz w:val="20"/>
                <w:szCs w:val="20"/>
                <w:color w:val="auto"/>
              </w:rPr>
            </w:pPr>
            <w:r>
              <w:rPr>
                <w:rFonts w:ascii="Arial" w:cs="Arial" w:eastAsia="Arial" w:hAnsi="Arial"/>
                <w:sz w:val="18"/>
                <w:szCs w:val="18"/>
                <w:color w:val="auto"/>
              </w:rPr>
              <w:t>Philippines</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Regional Operating HQ</w:t>
            </w:r>
          </w:p>
        </w:tc>
        <w:tc>
          <w:tcPr>
            <w:tcW w:w="2840" w:type="dxa"/>
            <w:vAlign w:val="bottom"/>
          </w:tcPr>
          <w:p>
            <w:pPr>
              <w:ind w:left="340"/>
              <w:spacing w:after="0"/>
              <w:rPr>
                <w:sz w:val="20"/>
                <w:szCs w:val="20"/>
                <w:color w:val="auto"/>
              </w:rPr>
            </w:pPr>
            <w:r>
              <w:rPr>
                <w:rFonts w:ascii="Arial" w:cs="Arial" w:eastAsia="Arial" w:hAnsi="Arial"/>
                <w:sz w:val="18"/>
                <w:szCs w:val="18"/>
                <w:color w:val="auto"/>
              </w:rPr>
              <w:t>Philippines</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Asia Pacific Pte. Ltd.</w:t>
            </w:r>
          </w:p>
        </w:tc>
        <w:tc>
          <w:tcPr>
            <w:tcW w:w="2840" w:type="dxa"/>
            <w:vAlign w:val="bottom"/>
          </w:tcPr>
          <w:p>
            <w:pPr>
              <w:ind w:left="340"/>
              <w:spacing w:after="0"/>
              <w:rPr>
                <w:sz w:val="20"/>
                <w:szCs w:val="20"/>
                <w:color w:val="auto"/>
              </w:rPr>
            </w:pPr>
            <w:r>
              <w:rPr>
                <w:rFonts w:ascii="Arial" w:cs="Arial" w:eastAsia="Arial" w:hAnsi="Arial"/>
                <w:sz w:val="18"/>
                <w:szCs w:val="18"/>
                <w:color w:val="auto"/>
              </w:rPr>
              <w:t>Singapore</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Malaysia Sdn. Bhd.</w:t>
            </w:r>
          </w:p>
        </w:tc>
        <w:tc>
          <w:tcPr>
            <w:tcW w:w="2840" w:type="dxa"/>
            <w:vAlign w:val="bottom"/>
          </w:tcPr>
          <w:p>
            <w:pPr>
              <w:ind w:left="340"/>
              <w:spacing w:after="0"/>
              <w:rPr>
                <w:sz w:val="20"/>
                <w:szCs w:val="20"/>
                <w:color w:val="auto"/>
              </w:rPr>
            </w:pPr>
            <w:r>
              <w:rPr>
                <w:rFonts w:ascii="Arial" w:cs="Arial" w:eastAsia="Arial" w:hAnsi="Arial"/>
                <w:sz w:val="18"/>
                <w:szCs w:val="18"/>
                <w:color w:val="auto"/>
              </w:rPr>
              <w:t>Malaysia</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(Thailand)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Thailand</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Hershey do Brasil Ltda.</w:t>
            </w:r>
          </w:p>
        </w:tc>
        <w:tc>
          <w:tcPr>
            <w:tcW w:w="2840" w:type="dxa"/>
            <w:vAlign w:val="bottom"/>
          </w:tcPr>
          <w:p>
            <w:pPr>
              <w:ind w:left="340"/>
              <w:spacing w:after="0"/>
              <w:rPr>
                <w:sz w:val="20"/>
                <w:szCs w:val="20"/>
                <w:color w:val="auto"/>
              </w:rPr>
            </w:pPr>
            <w:r>
              <w:rPr>
                <w:rFonts w:ascii="Arial" w:cs="Arial" w:eastAsia="Arial" w:hAnsi="Arial"/>
                <w:sz w:val="18"/>
                <w:szCs w:val="18"/>
                <w:color w:val="auto"/>
              </w:rPr>
              <w:t>Brazil</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Lotte Shanghai Foods Co., Ltd. (50% ownership)</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27"/>
        </w:trPr>
        <w:tc>
          <w:tcPr>
            <w:tcW w:w="8340" w:type="dxa"/>
            <w:vAlign w:val="bottom"/>
            <w:gridSpan w:val="2"/>
          </w:tcPr>
          <w:p>
            <w:pPr>
              <w:ind w:left="240"/>
              <w:spacing w:after="0"/>
              <w:rPr>
                <w:sz w:val="20"/>
                <w:szCs w:val="20"/>
                <w:color w:val="auto"/>
              </w:rPr>
            </w:pPr>
            <w:r>
              <w:rPr>
                <w:rFonts w:ascii="Arial" w:cs="Arial" w:eastAsia="Arial" w:hAnsi="Arial"/>
                <w:sz w:val="18"/>
                <w:szCs w:val="18"/>
                <w:color w:val="auto"/>
              </w:rPr>
              <w:t>LH Foods Co., Limited (50 % ownership)</w:t>
            </w:r>
          </w:p>
        </w:tc>
        <w:tc>
          <w:tcPr>
            <w:tcW w:w="2840" w:type="dxa"/>
            <w:vAlign w:val="bottom"/>
          </w:tcPr>
          <w:p>
            <w:pPr>
              <w:ind w:left="340"/>
              <w:spacing w:after="0"/>
              <w:rPr>
                <w:sz w:val="20"/>
                <w:szCs w:val="20"/>
                <w:color w:val="auto"/>
              </w:rPr>
            </w:pPr>
            <w:r>
              <w:rPr>
                <w:rFonts w:ascii="Arial" w:cs="Arial" w:eastAsia="Arial" w:hAnsi="Arial"/>
                <w:sz w:val="18"/>
                <w:szCs w:val="18"/>
                <w:color w:val="auto"/>
              </w:rPr>
              <w:t>Hong Kong</w:t>
            </w:r>
          </w:p>
        </w:tc>
      </w:tr>
      <w:tr>
        <w:trPr>
          <w:trHeight w:val="916"/>
        </w:trPr>
        <w:tc>
          <w:tcPr>
            <w:tcW w:w="8340" w:type="dxa"/>
            <w:vAlign w:val="bottom"/>
            <w:gridSpan w:val="2"/>
          </w:tcPr>
          <w:p>
            <w:pPr>
              <w:ind w:left="3800"/>
              <w:spacing w:after="0"/>
              <w:rPr>
                <w:sz w:val="20"/>
                <w:szCs w:val="20"/>
                <w:color w:val="auto"/>
              </w:rPr>
            </w:pPr>
            <w:r>
              <w:rPr>
                <w:rFonts w:ascii="Arial" w:cs="Arial" w:eastAsia="Arial" w:hAnsi="Arial"/>
                <w:sz w:val="16"/>
                <w:szCs w:val="16"/>
                <w:color w:val="auto"/>
              </w:rPr>
              <w:t>The Hershey Company | 2020 Form 10-K | Exhibit 21.1</w:t>
            </w:r>
          </w:p>
        </w:tc>
        <w:tc>
          <w:tcPr>
            <w:tcW w:w="2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-173355</wp:posOffset>
            </wp:positionV>
            <wp:extent cx="194945" cy="169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9">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9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46" w:lineRule="exact"/>
        <w:rPr>
          <w:sz w:val="20"/>
          <w:szCs w:val="20"/>
          <w:color w:val="auto"/>
        </w:rPr>
      </w:pPr>
    </w:p>
    <w:p>
      <w:pPr>
        <w:ind w:left="900" w:hanging="254"/>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Registration Statement (Form S-3 No. 333-225303) pertaining to the prospectus for the sale of Debt Securities of The Hershey Company,</w:t>
      </w:r>
    </w:p>
    <w:p>
      <w:pPr>
        <w:spacing w:after="0" w:line="257" w:lineRule="exact"/>
        <w:rPr>
          <w:rFonts w:ascii="Arial" w:cs="Arial" w:eastAsia="Arial" w:hAnsi="Arial"/>
          <w:sz w:val="17"/>
          <w:szCs w:val="17"/>
          <w:color w:val="auto"/>
        </w:rPr>
      </w:pPr>
    </w:p>
    <w:p>
      <w:pPr>
        <w:ind w:left="900" w:hanging="254"/>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Registration Statement (Form S-8 No. 333-174123) pertaining to the Equity and Incentive Compensation Plan of The Hershey Company,</w:t>
      </w:r>
    </w:p>
    <w:p>
      <w:pPr>
        <w:spacing w:after="0" w:line="257" w:lineRule="exact"/>
        <w:rPr>
          <w:rFonts w:ascii="Arial" w:cs="Arial" w:eastAsia="Arial" w:hAnsi="Arial"/>
          <w:sz w:val="17"/>
          <w:szCs w:val="17"/>
          <w:color w:val="auto"/>
        </w:rPr>
      </w:pPr>
    </w:p>
    <w:p>
      <w:pPr>
        <w:ind w:left="900" w:hanging="254"/>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Registration Statement (Form S-8 No. 333-143764) pertaining to the Equity and Incentive Compensation Plan of The Hershey Company,</w:t>
      </w:r>
    </w:p>
    <w:p>
      <w:pPr>
        <w:spacing w:after="0" w:line="257" w:lineRule="exact"/>
        <w:rPr>
          <w:rFonts w:ascii="Arial" w:cs="Arial" w:eastAsia="Arial" w:hAnsi="Arial"/>
          <w:sz w:val="17"/>
          <w:szCs w:val="17"/>
          <w:color w:val="auto"/>
        </w:rPr>
      </w:pPr>
    </w:p>
    <w:p>
      <w:pPr>
        <w:ind w:left="900" w:hanging="254"/>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Registration Statement (Form S-8 No. 333-107706) pertaining to the Directors’ Compensation Plan of Hershey Foods Corporation,</w:t>
      </w:r>
    </w:p>
    <w:p>
      <w:pPr>
        <w:spacing w:after="0" w:line="257" w:lineRule="exact"/>
        <w:rPr>
          <w:rFonts w:ascii="Arial" w:cs="Arial" w:eastAsia="Arial" w:hAnsi="Arial"/>
          <w:sz w:val="17"/>
          <w:szCs w:val="17"/>
          <w:color w:val="auto"/>
        </w:rPr>
      </w:pPr>
    </w:p>
    <w:p>
      <w:pPr>
        <w:ind w:left="900" w:hanging="254"/>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Registration Statement (Form S-8 No. 333-72100) pertaining to the 2001 Nonqualified Stock Option Agreement of Hershey Foods Corporation,</w:t>
      </w:r>
    </w:p>
    <w:p>
      <w:pPr>
        <w:spacing w:after="0" w:line="269" w:lineRule="exact"/>
        <w:rPr>
          <w:rFonts w:ascii="Arial" w:cs="Arial" w:eastAsia="Arial" w:hAnsi="Arial"/>
          <w:sz w:val="16"/>
          <w:szCs w:val="16"/>
          <w:color w:val="auto"/>
        </w:rPr>
      </w:pPr>
    </w:p>
    <w:p>
      <w:pPr>
        <w:ind w:left="900" w:hanging="254"/>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Registration Statement (Form S-8 No. 333-72112) pertaining to the Broad-Based Stock Option Plan of Hershey Foods Corporation,</w:t>
      </w:r>
    </w:p>
    <w:p>
      <w:pPr>
        <w:spacing w:after="0" w:line="257" w:lineRule="exact"/>
        <w:rPr>
          <w:rFonts w:ascii="Arial" w:cs="Arial" w:eastAsia="Arial" w:hAnsi="Arial"/>
          <w:sz w:val="17"/>
          <w:szCs w:val="17"/>
          <w:color w:val="auto"/>
        </w:rPr>
      </w:pPr>
    </w:p>
    <w:p>
      <w:pPr>
        <w:ind w:left="900" w:hanging="254"/>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Registration Statement (Form S-8 No. 333-52509) pertaining to the Key Employee Incentive Plan of Hershey Foods Corporation, and</w:t>
      </w:r>
    </w:p>
    <w:p>
      <w:pPr>
        <w:spacing w:after="0" w:line="257" w:lineRule="exact"/>
        <w:rPr>
          <w:rFonts w:ascii="Arial" w:cs="Arial" w:eastAsia="Arial" w:hAnsi="Arial"/>
          <w:sz w:val="17"/>
          <w:szCs w:val="17"/>
          <w:color w:val="auto"/>
        </w:rPr>
      </w:pPr>
    </w:p>
    <w:p>
      <w:pPr>
        <w:ind w:left="900" w:hanging="254"/>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333-25853) pertaining to the Directors’ Compensation Plan of Hershey Foods Corporation;</w:t>
      </w:r>
    </w:p>
    <w:p>
      <w:pPr>
        <w:spacing w:after="0" w:line="24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of our reports dated February 17, 2021, with respect to the consolidated financial statements and schedule of The Hershey Company and the effectiveness of internal control over financial reporting of The Hershey Company included in this Annual Report on Form 10-K of The Hershey Company for the year ended December 31, 2020.</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17, 2021</w:t>
      </w:r>
    </w:p>
    <w:p>
      <w:pPr>
        <w:sectPr>
          <w:pgSz w:w="11900" w:h="16838" w:orient="portrait"/>
          <w:cols w:equalWidth="0" w:num="1">
            <w:col w:w="11240"/>
          </w:cols>
          <w:pgMar w:left="320" w:top="88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21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100" w:lineRule="exact"/>
        <w:rPr>
          <w:sz w:val="20"/>
          <w:szCs w:val="20"/>
          <w:color w:val="auto"/>
        </w:rPr>
      </w:pPr>
    </w:p>
    <w:p>
      <w:pPr>
        <w:ind w:left="320" w:hanging="313"/>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Hershey Company;</w:t>
      </w:r>
    </w:p>
    <w:p>
      <w:pPr>
        <w:spacing w:after="0" w:line="86" w:lineRule="exact"/>
        <w:rPr>
          <w:rFonts w:ascii="Arial" w:cs="Arial" w:eastAsia="Arial" w:hAnsi="Arial"/>
          <w:sz w:val="18"/>
          <w:szCs w:val="18"/>
          <w:color w:val="auto"/>
        </w:rPr>
      </w:pPr>
    </w:p>
    <w:p>
      <w:pPr>
        <w:ind w:left="400" w:right="480" w:hanging="393"/>
        <w:spacing w:after="0" w:line="257" w:lineRule="auto"/>
        <w:tabs>
          <w:tab w:leader="none" w:pos="3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8"/>
          <w:szCs w:val="18"/>
          <w:color w:val="auto"/>
        </w:rPr>
      </w:pPr>
    </w:p>
    <w:p>
      <w:pPr>
        <w:ind w:left="400" w:right="520" w:hanging="393"/>
        <w:spacing w:after="0" w:line="297" w:lineRule="auto"/>
        <w:tabs>
          <w:tab w:leader="none" w:pos="311"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7"/>
          <w:szCs w:val="17"/>
          <w:color w:val="auto"/>
        </w:rPr>
      </w:pPr>
    </w:p>
    <w:p>
      <w:pPr>
        <w:ind w:left="400" w:right="40" w:hanging="393"/>
        <w:spacing w:after="0" w:line="257" w:lineRule="auto"/>
        <w:tabs>
          <w:tab w:leader="none" w:pos="3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jc w:val="both"/>
        <w:ind w:left="840" w:right="300" w:hanging="394"/>
        <w:spacing w:after="0" w:line="257" w:lineRule="auto"/>
        <w:tabs>
          <w:tab w:leader="none" w:pos="81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840" w:right="580" w:hanging="394"/>
        <w:spacing w:after="0" w:line="257" w:lineRule="auto"/>
        <w:tabs>
          <w:tab w:leader="none" w:pos="82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840" w:right="760" w:hanging="394"/>
        <w:spacing w:after="0" w:line="377" w:lineRule="auto"/>
        <w:tabs>
          <w:tab w:leader="none" w:pos="815" w:val="left"/>
        </w:tabs>
        <w:numPr>
          <w:ilvl w:val="1"/>
          <w:numId w:val="6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40" w:right="280" w:hanging="394"/>
        <w:spacing w:after="0" w:line="257" w:lineRule="auto"/>
        <w:tabs>
          <w:tab w:leader="none" w:pos="82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00" w:right="260" w:hanging="393"/>
        <w:spacing w:after="0" w:line="330" w:lineRule="auto"/>
        <w:tabs>
          <w:tab w:leader="none" w:pos="30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Arial" w:cs="Arial" w:eastAsia="Arial" w:hAnsi="Arial"/>
          <w:sz w:val="16"/>
          <w:szCs w:val="16"/>
          <w:color w:val="auto"/>
        </w:rPr>
      </w:pPr>
    </w:p>
    <w:p>
      <w:pPr>
        <w:ind w:left="840" w:right="220" w:hanging="394"/>
        <w:spacing w:after="0" w:line="297" w:lineRule="auto"/>
        <w:tabs>
          <w:tab w:leader="none" w:pos="805"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7"/>
          <w:szCs w:val="17"/>
          <w:color w:val="auto"/>
        </w:rPr>
      </w:pPr>
    </w:p>
    <w:p>
      <w:pPr>
        <w:ind w:left="840" w:right="160" w:hanging="394"/>
        <w:spacing w:after="0" w:line="267" w:lineRule="auto"/>
        <w:tabs>
          <w:tab w:leader="none" w:pos="81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88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87630</wp:posOffset>
            </wp:positionV>
            <wp:extent cx="35286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0">
                      <a:extLst>
                        <a:ext uri="{28A0092B-C50C-407E-A947-70E740481C1C}"/>
                      </a:extLst>
                    </a:blip>
                    <a:srcRect/>
                    <a:stretch>
                      <a:fillRect/>
                    </a:stretch>
                  </pic:blipFill>
                  <pic:spPr bwMode="auto">
                    <a:xfrm>
                      <a:off x="0" y="0"/>
                      <a:ext cx="3528695" cy="8255"/>
                    </a:xfrm>
                    <a:prstGeom prst="rect">
                      <a:avLst/>
                    </a:prstGeom>
                    <a:noFill/>
                  </pic:spPr>
                </pic:pic>
              </a:graphicData>
            </a:graphic>
          </wp:anchor>
        </w:drawing>
      </w:r>
    </w:p>
    <w:p>
      <w:pPr>
        <w:spacing w:after="0" w:line="135" w:lineRule="exact"/>
        <w:rPr>
          <w:sz w:val="20"/>
          <w:szCs w:val="20"/>
          <w:color w:val="auto"/>
        </w:rPr>
      </w:pPr>
    </w:p>
    <w:p>
      <w:pPr>
        <w:jc w:val="center"/>
        <w:ind w:right="5880"/>
        <w:spacing w:after="0"/>
        <w:rPr>
          <w:sz w:val="20"/>
          <w:szCs w:val="20"/>
          <w:color w:val="auto"/>
        </w:rPr>
      </w:pPr>
      <w:r>
        <w:rPr>
          <w:rFonts w:ascii="Arial" w:cs="Arial" w:eastAsia="Arial" w:hAnsi="Arial"/>
          <w:sz w:val="14"/>
          <w:szCs w:val="14"/>
          <w:b w:val="1"/>
          <w:bCs w:val="1"/>
          <w:color w:val="auto"/>
        </w:rPr>
        <w:t>Michele G. Buck</w:t>
      </w:r>
    </w:p>
    <w:p>
      <w:pPr>
        <w:spacing w:after="0" w:line="15" w:lineRule="exact"/>
        <w:rPr>
          <w:sz w:val="20"/>
          <w:szCs w:val="20"/>
          <w:color w:val="auto"/>
        </w:rPr>
      </w:pPr>
    </w:p>
    <w:p>
      <w:pPr>
        <w:jc w:val="center"/>
        <w:ind w:right="5880"/>
        <w:spacing w:after="0"/>
        <w:rPr>
          <w:sz w:val="20"/>
          <w:szCs w:val="20"/>
          <w:color w:val="auto"/>
        </w:rPr>
      </w:pPr>
      <w:r>
        <w:rPr>
          <w:rFonts w:ascii="Arial" w:cs="Arial" w:eastAsia="Arial" w:hAnsi="Arial"/>
          <w:sz w:val="14"/>
          <w:szCs w:val="14"/>
          <w:b w:val="1"/>
          <w:bCs w:val="1"/>
          <w:color w:val="auto"/>
        </w:rPr>
        <w:t>Chief Executive Officer</w:t>
      </w:r>
    </w:p>
    <w:p>
      <w:pPr>
        <w:spacing w:after="0" w:line="36"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February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6910070</wp:posOffset>
            </wp:positionH>
            <wp:positionV relativeFrom="paragraph">
              <wp:posOffset>775335</wp:posOffset>
            </wp:positionV>
            <wp:extent cx="194945" cy="169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1">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2020 Form 10-K | Exhibit 31.1</w:t>
      </w:r>
    </w:p>
    <w:p>
      <w:pPr>
        <w:sectPr>
          <w:pgSz w:w="11900" w:h="16838" w:orient="portrait"/>
          <w:cols w:equalWidth="0" w:num="1">
            <w:col w:w="11200"/>
          </w:cols>
          <w:pgMar w:left="360" w:top="76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21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100" w:lineRule="exact"/>
        <w:rPr>
          <w:sz w:val="20"/>
          <w:szCs w:val="20"/>
          <w:color w:val="auto"/>
        </w:rPr>
      </w:pPr>
    </w:p>
    <w:p>
      <w:pPr>
        <w:ind w:left="320" w:hanging="31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Hershey Company;</w:t>
      </w:r>
    </w:p>
    <w:p>
      <w:pPr>
        <w:spacing w:after="0" w:line="86" w:lineRule="exact"/>
        <w:rPr>
          <w:rFonts w:ascii="Arial" w:cs="Arial" w:eastAsia="Arial" w:hAnsi="Arial"/>
          <w:sz w:val="18"/>
          <w:szCs w:val="18"/>
          <w:color w:val="auto"/>
        </w:rPr>
      </w:pPr>
    </w:p>
    <w:p>
      <w:pPr>
        <w:ind w:left="400" w:right="480" w:hanging="393"/>
        <w:spacing w:after="0" w:line="257" w:lineRule="auto"/>
        <w:tabs>
          <w:tab w:leader="none" w:pos="3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8"/>
          <w:szCs w:val="18"/>
          <w:color w:val="auto"/>
        </w:rPr>
      </w:pPr>
    </w:p>
    <w:p>
      <w:pPr>
        <w:ind w:left="400" w:right="520" w:hanging="393"/>
        <w:spacing w:after="0" w:line="297" w:lineRule="auto"/>
        <w:tabs>
          <w:tab w:leader="none" w:pos="311"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7"/>
          <w:szCs w:val="17"/>
          <w:color w:val="auto"/>
        </w:rPr>
      </w:pPr>
    </w:p>
    <w:p>
      <w:pPr>
        <w:ind w:left="400" w:right="40" w:hanging="393"/>
        <w:spacing w:after="0" w:line="257" w:lineRule="auto"/>
        <w:tabs>
          <w:tab w:leader="none" w:pos="3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jc w:val="both"/>
        <w:ind w:left="840" w:right="300" w:hanging="394"/>
        <w:spacing w:after="0" w:line="257" w:lineRule="auto"/>
        <w:tabs>
          <w:tab w:leader="none" w:pos="81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840" w:right="580" w:hanging="394"/>
        <w:spacing w:after="0" w:line="257" w:lineRule="auto"/>
        <w:tabs>
          <w:tab w:leader="none" w:pos="82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840" w:right="760" w:hanging="394"/>
        <w:spacing w:after="0" w:line="377" w:lineRule="auto"/>
        <w:tabs>
          <w:tab w:leader="none" w:pos="815" w:val="left"/>
        </w:tabs>
        <w:numPr>
          <w:ilvl w:val="1"/>
          <w:numId w:val="6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40" w:right="280" w:hanging="394"/>
        <w:spacing w:after="0" w:line="257" w:lineRule="auto"/>
        <w:tabs>
          <w:tab w:leader="none" w:pos="82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00" w:right="260" w:hanging="393"/>
        <w:spacing w:after="0" w:line="330" w:lineRule="auto"/>
        <w:tabs>
          <w:tab w:leader="none" w:pos="308"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Arial" w:cs="Arial" w:eastAsia="Arial" w:hAnsi="Arial"/>
          <w:sz w:val="16"/>
          <w:szCs w:val="16"/>
          <w:color w:val="auto"/>
        </w:rPr>
      </w:pPr>
    </w:p>
    <w:p>
      <w:pPr>
        <w:ind w:left="840" w:right="220" w:hanging="394"/>
        <w:spacing w:after="0" w:line="297" w:lineRule="auto"/>
        <w:tabs>
          <w:tab w:leader="none" w:pos="805"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7"/>
          <w:szCs w:val="17"/>
          <w:color w:val="auto"/>
        </w:rPr>
      </w:pPr>
    </w:p>
    <w:p>
      <w:pPr>
        <w:ind w:left="840" w:right="160" w:hanging="394"/>
        <w:spacing w:after="0" w:line="267" w:lineRule="auto"/>
        <w:tabs>
          <w:tab w:leader="none" w:pos="815"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78740</wp:posOffset>
            </wp:positionV>
            <wp:extent cx="35286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2">
                      <a:extLst>
                        <a:ext uri="{28A0092B-C50C-407E-A947-70E740481C1C}"/>
                      </a:extLst>
                    </a:blip>
                    <a:srcRect/>
                    <a:stretch>
                      <a:fillRect/>
                    </a:stretch>
                  </pic:blipFill>
                  <pic:spPr bwMode="auto">
                    <a:xfrm>
                      <a:off x="0" y="0"/>
                      <a:ext cx="3528695" cy="8255"/>
                    </a:xfrm>
                    <a:prstGeom prst="rect">
                      <a:avLst/>
                    </a:prstGeom>
                    <a:noFill/>
                  </pic:spPr>
                </pic:pic>
              </a:graphicData>
            </a:graphic>
          </wp:anchor>
        </w:drawing>
      </w:r>
    </w:p>
    <w:p>
      <w:pPr>
        <w:spacing w:after="0" w:line="122"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Steven E. Voskuil</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Chief Financial Officer</w:t>
      </w:r>
    </w:p>
    <w:p>
      <w:pPr>
        <w:spacing w:after="0" w:line="36"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February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6910070</wp:posOffset>
            </wp:positionH>
            <wp:positionV relativeFrom="paragraph">
              <wp:posOffset>775335</wp:posOffset>
            </wp:positionV>
            <wp:extent cx="194945" cy="169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3">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2020 Form 10-K | Exhibit 31.2</w:t>
      </w:r>
    </w:p>
    <w:p>
      <w:pPr>
        <w:sectPr>
          <w:pgSz w:w="11900" w:h="16838" w:orient="portrait"/>
          <w:cols w:equalWidth="0" w:num="1">
            <w:col w:w="11200"/>
          </w:cols>
          <w:pgMar w:left="360" w:top="76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CERTIFICATION</w:t>
      </w:r>
    </w:p>
    <w:p>
      <w:pPr>
        <w:spacing w:after="0" w:line="172" w:lineRule="exact"/>
        <w:rPr>
          <w:sz w:val="20"/>
          <w:szCs w:val="20"/>
          <w:color w:val="auto"/>
        </w:rPr>
      </w:pPr>
    </w:p>
    <w:p>
      <w:pPr>
        <w:jc w:val="both"/>
        <w:ind w:right="400"/>
        <w:spacing w:after="0" w:line="253"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that the Company’s Annual Report on Form 10-K for the year ended December 31, 2020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13" w:lineRule="exact"/>
        <w:rPr>
          <w:sz w:val="20"/>
          <w:szCs w:val="20"/>
          <w:color w:val="auto"/>
        </w:rPr>
      </w:pPr>
    </w:p>
    <w:tbl>
      <w:tblPr>
        <w:tblLayout w:type="fixed"/>
        <w:tblInd w:w="480" w:type="dxa"/>
        <w:tblCellMar>
          <w:top w:w="0" w:type="dxa"/>
          <w:left w:w="0" w:type="dxa"/>
          <w:bottom w:w="0" w:type="dxa"/>
          <w:right w:w="0" w:type="dxa"/>
        </w:tblCellMar>
      </w:tblPr>
      <w:tr>
        <w:trPr>
          <w:trHeight w:val="25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20"/>
              <w:spacing w:after="0"/>
              <w:rPr>
                <w:sz w:val="20"/>
                <w:szCs w:val="20"/>
                <w:color w:val="auto"/>
              </w:rPr>
            </w:pPr>
            <w:r>
              <w:rPr>
                <w:rFonts w:ascii="Arial" w:cs="Arial" w:eastAsia="Arial" w:hAnsi="Arial"/>
                <w:sz w:val="18"/>
                <w:szCs w:val="18"/>
                <w:color w:val="auto"/>
              </w:rPr>
              <w:t>February 17, 2021</w:t>
            </w: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MICHELE G. BUCK</w:t>
            </w:r>
          </w:p>
        </w:tc>
      </w:tr>
      <w:tr>
        <w:trPr>
          <w:trHeight w:val="194"/>
        </w:trPr>
        <w:tc>
          <w:tcPr>
            <w:tcW w:w="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92"/>
              </w:rPr>
              <w:t>Michele G. Buck</w:t>
            </w:r>
          </w:p>
        </w:tc>
      </w:tr>
      <w:tr>
        <w:trPr>
          <w:trHeight w:val="208"/>
        </w:trPr>
        <w:tc>
          <w:tcPr>
            <w:tcW w:w="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91"/>
              </w:rPr>
              <w:t>Chief Executive Officer</w:t>
            </w:r>
          </w:p>
        </w:tc>
      </w:tr>
      <w:tr>
        <w:trPr>
          <w:trHeight w:val="48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20"/>
              <w:spacing w:after="0"/>
              <w:rPr>
                <w:sz w:val="20"/>
                <w:szCs w:val="20"/>
                <w:color w:val="auto"/>
              </w:rPr>
            </w:pPr>
            <w:r>
              <w:rPr>
                <w:rFonts w:ascii="Arial" w:cs="Arial" w:eastAsia="Arial" w:hAnsi="Arial"/>
                <w:sz w:val="18"/>
                <w:szCs w:val="18"/>
                <w:color w:val="auto"/>
              </w:rPr>
              <w:t>February 17, 2021</w:t>
            </w: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STEVEN E. VOSKUIL</w:t>
            </w:r>
          </w:p>
        </w:tc>
      </w:tr>
      <w:tr>
        <w:trPr>
          <w:trHeight w:val="194"/>
        </w:trPr>
        <w:tc>
          <w:tcPr>
            <w:tcW w:w="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89"/>
              </w:rPr>
              <w:t>Steven E. Voskuil</w:t>
            </w:r>
          </w:p>
        </w:tc>
      </w:tr>
      <w:tr>
        <w:trPr>
          <w:trHeight w:val="208"/>
        </w:trPr>
        <w:tc>
          <w:tcPr>
            <w:tcW w:w="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93"/>
              </w:rPr>
              <w:t>Chief Financial Officer</w:t>
            </w:r>
          </w:p>
        </w:tc>
      </w:tr>
    </w:tbl>
    <w:p>
      <w:pPr>
        <w:spacing w:after="0" w:line="23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6935470</wp:posOffset>
            </wp:positionH>
            <wp:positionV relativeFrom="paragraph">
              <wp:posOffset>1183005</wp:posOffset>
            </wp:positionV>
            <wp:extent cx="194945" cy="169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4">
                      <a:extLst>
                        <a:ext uri="{28A0092B-C50C-407E-A947-70E740481C1C}"/>
                      </a:extLst>
                    </a:blip>
                    <a:srcRect/>
                    <a:stretch>
                      <a:fillRect/>
                    </a:stretch>
                  </pic:blipFill>
                  <pic:spPr bwMode="auto">
                    <a:xfrm>
                      <a:off x="0" y="0"/>
                      <a:ext cx="19494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Hershey Company | 2020 Form 10-K | Exhibit 32.1</w:t>
      </w:r>
    </w:p>
    <w:sectPr>
      <w:pgSz w:w="11900" w:h="16838" w:orient="portrait"/>
      <w:cols w:equalWidth="0" w:num="1">
        <w:col w:w="11240"/>
      </w:cols>
      <w:pgMar w:left="320" w:top="7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lvl w:ilvl="1">
      <w:lvlJc w:val="left"/>
      <w:lvlText w:val="◦"/>
      <w:numFmt w:val="bullet"/>
      <w:start w:val="1"/>
    </w:lvl>
  </w:abstractNum>
  <w:abstractNum w:abstractNumId="14">
    <w:nsid w:val="580BD78F"/>
    <w:multiLevelType w:val="hybridMultilevel"/>
    <w:lvl w:ilvl="0">
      <w:lvlJc w:val="left"/>
      <w:lvlText w:val="•"/>
      <w:numFmt w:val="bullet"/>
      <w:start w:val="1"/>
    </w:lvl>
    <w:lvl w:ilvl="1">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
      <w:numFmt w:val="bullet"/>
      <w:start w:val="1"/>
    </w:lvl>
    <w:lvl w:ilvl="1">
      <w:lvlJc w:val="left"/>
      <w:lvlText w:val="◦"/>
      <w:numFmt w:val="bullet"/>
      <w:start w:val="1"/>
    </w:lvl>
  </w:abstractNum>
  <w:abstractNum w:abstractNumId="18">
    <w:nsid w:val="6A2342EC"/>
    <w:multiLevelType w:val="hybridMultilevel"/>
    <w:lvl w:ilvl="0">
      <w:lvlJc w:val="left"/>
      <w:lvlText w:val="•"/>
      <w:numFmt w:val="bullet"/>
      <w:start w:val="1"/>
    </w:lvl>
    <w:lvl w:ilvl="1">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5"/>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lowerLetter"/>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2"/>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1."/>
      <w:numFmt w:val="decimal"/>
      <w:start w:val="8"/>
    </w:lvl>
    <w:lvl w:ilvl="1">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lowerLetter"/>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104"/>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1)"/>
      <w:numFmt w:val="decimal"/>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48" Type="http://schemas.openxmlformats.org/officeDocument/2006/relationships/image" Target="media/image231.jpeg"/><Relationship Id="rId249" Type="http://schemas.openxmlformats.org/officeDocument/2006/relationships/image" Target="media/image232.png"/><Relationship Id="rId264" Type="http://schemas.openxmlformats.org/officeDocument/2006/relationships/image" Target="media/image233.jpeg"/><Relationship Id="rId265" Type="http://schemas.openxmlformats.org/officeDocument/2006/relationships/image" Target="media/image234.png"/><Relationship Id="rId286" Type="http://schemas.openxmlformats.org/officeDocument/2006/relationships/image" Target="media/image235.jpeg"/><Relationship Id="rId287" Type="http://schemas.openxmlformats.org/officeDocument/2006/relationships/image" Target="media/image236.png"/><Relationship Id="rId293" Type="http://schemas.openxmlformats.org/officeDocument/2006/relationships/image" Target="media/image237.jpeg"/><Relationship Id="rId294" Type="http://schemas.openxmlformats.org/officeDocument/2006/relationships/image" Target="media/image238.png"/><Relationship Id="rId295" Type="http://schemas.openxmlformats.org/officeDocument/2006/relationships/image" Target="media/image239.png"/><Relationship Id="rId296" Type="http://schemas.openxmlformats.org/officeDocument/2006/relationships/image" Target="media/image240.jpeg"/><Relationship Id="rId297" Type="http://schemas.openxmlformats.org/officeDocument/2006/relationships/image" Target="media/image241.png"/><Relationship Id="rId298" Type="http://schemas.openxmlformats.org/officeDocument/2006/relationships/image" Target="media/image242.jpeg"/><Relationship Id="rId299" Type="http://schemas.openxmlformats.org/officeDocument/2006/relationships/image" Target="media/image243.jpeg"/><Relationship Id="rId300" Type="http://schemas.openxmlformats.org/officeDocument/2006/relationships/image" Target="media/image244.png"/><Relationship Id="rId301" Type="http://schemas.openxmlformats.org/officeDocument/2006/relationships/image" Target="media/image245.jpeg"/><Relationship Id="rId302" Type="http://schemas.openxmlformats.org/officeDocument/2006/relationships/image" Target="media/image246.png"/><Relationship Id="rId303" Type="http://schemas.openxmlformats.org/officeDocument/2006/relationships/image" Target="media/image247.jpeg"/><Relationship Id="rId304" Type="http://schemas.openxmlformats.org/officeDocument/2006/relationships/image" Target="media/image248.jpeg"/><Relationship Id="rId238" Type="http://schemas.openxmlformats.org/officeDocument/2006/relationships/hyperlink" Target="http://www.sec.gov/Archives/edgar/data/47111/000004711105000159/exhibit3.htm?_sm_byp=iVV7PRrr5tFtD2T5" TargetMode="External"/><Relationship Id="rId239" Type="http://schemas.openxmlformats.org/officeDocument/2006/relationships/hyperlink" Target="http://www.sec.gov/Archives/edgar/data/47111/000004711119000010/hsy_20181231exhibit32by-la.htm" TargetMode="External"/><Relationship Id="rId240" Type="http://schemas.openxmlformats.org/officeDocument/2006/relationships/hyperlink" Target="http://www.sec.gov/Archives/edgar/data/47111/000119312518152919/d579555d424b5.htm" TargetMode="External"/><Relationship Id="rId241" Type="http://schemas.openxmlformats.org/officeDocument/2006/relationships/hyperlink" Target="http://www.sec.gov/Archives/edgar/data/47111/000119312513221764/d536118d424b5.htm" TargetMode="External"/><Relationship Id="rId242" Type="http://schemas.openxmlformats.org/officeDocument/2006/relationships/hyperlink" Target="http://www.sec.gov/Archives/edgar/data/47111/000119312519277764/d812621d424b5.htm" TargetMode="External"/><Relationship Id="rId243" Type="http://schemas.openxmlformats.org/officeDocument/2006/relationships/hyperlink" Target="https://www.sec.gov/Archives/edgar/data/47111/000110465920067136/tm2020790-2_424b5.htm" TargetMode="External"/><Relationship Id="rId244" Type="http://schemas.openxmlformats.org/officeDocument/2006/relationships/hyperlink" Target="http://www.sec.gov/Archives/edgar/data/47111/000110465920067136/tm2020790-2_424b5.htm" TargetMode="External"/><Relationship Id="rId245" Type="http://schemas.openxmlformats.org/officeDocument/2006/relationships/hyperlink" Target="http://www.sec.gov/Archives/edgar/data/47111/000119312515295854/d48982d424b5.htm?_sm_byp=iVV7PRrr5tFtD2T5" TargetMode="External"/><Relationship Id="rId246" Type="http://schemas.openxmlformats.org/officeDocument/2006/relationships/hyperlink" Target="http://www.sec.gov/Archives/edgar/data/47111/000119312516670259/d164282d424b5.htm?_sm_byp=iVV7PRrr5tFtD2T5" TargetMode="External"/><Relationship Id="rId247" Type="http://schemas.openxmlformats.org/officeDocument/2006/relationships/hyperlink" Target="http://www.sec.gov/Archives/edgar/data/47111/0000950109-97-005529.txt?_sm_byp=iVV7PRrr5tFtD2T5" TargetMode="External"/><Relationship Id="rId250" Type="http://schemas.openxmlformats.org/officeDocument/2006/relationships/hyperlink" Target="http://www.sec.gov/Archives/edgar/data/47111/0000047111-97-000004.txt?_sm_byp=iVV7PRrr5tFtD2T5" TargetMode="External"/><Relationship Id="rId251" Type="http://schemas.openxmlformats.org/officeDocument/2006/relationships/hyperlink" Target="http://www.sec.gov/Archives/edgar/data/47111/000004711100000070/0000047111-00-000070.txt?_sm_byp=iVVJrjKkjnjqPr4r" TargetMode="External"/><Relationship Id="rId252" Type="http://schemas.openxmlformats.org/officeDocument/2006/relationships/hyperlink" Target="http://www.sec.gov/Archives/edgar/data/47111/000004711119000029/exhibit101-creditagreement.htm" TargetMode="External"/><Relationship Id="rId253" Type="http://schemas.openxmlformats.org/officeDocument/2006/relationships/hyperlink" Target="http://www.sec.gov/Archives/edgar/data/47111/000004711107000168/exh101.htm?_sm_byp=iVVJrjKkjnjqPr4r" TargetMode="External"/><Relationship Id="rId254" Type="http://schemas.openxmlformats.org/officeDocument/2006/relationships/hyperlink" Target="http://www.sec.gov/Archives/edgar/data/47111/000004711111000066/exh104.htm?_sm_byp=iVV7PRrr5tFtD2T5" TargetMode="External"/><Relationship Id="rId255" Type="http://schemas.openxmlformats.org/officeDocument/2006/relationships/hyperlink" Target="http://www.sec.gov/Archives/edgar/data/47111/000004711107000168/exh102.htm?_sm_byp=iVVJrjKkjnjqPr4r" TargetMode="External"/><Relationship Id="rId256" Type="http://schemas.openxmlformats.org/officeDocument/2006/relationships/hyperlink" Target="http://www.sec.gov/Archives/edgar/data/47111/000119312511066689/ddef14a.htm?_sm_byp=iVVJrjKkjnjqPr4r" TargetMode="External"/><Relationship Id="rId257" Type="http://schemas.openxmlformats.org/officeDocument/2006/relationships/hyperlink" Target="http://www.sec.gov/Archives/edgar/data/47111/000004711116000095/hsy_20151231exhibit109.htm" TargetMode="External"/><Relationship Id="rId258" Type="http://schemas.openxmlformats.org/officeDocument/2006/relationships/hyperlink" Target="http://www.sec.gov/Archives/edgar/data/47111/000004711117000005/hsy_20161231exhibit1010b.htm?_sm_byp=iVVJrjKkjnjqPr4r" TargetMode="External"/><Relationship Id="rId259" Type="http://schemas.openxmlformats.org/officeDocument/2006/relationships/hyperlink" Target="http://www.sec.gov/Archives/edgar/data/47111/000004711117000022/hsy_20170402exhibit101.htm?_sm_byp=iVV7PRrr5tFtD2T5" TargetMode="External"/><Relationship Id="rId260" Type="http://schemas.openxmlformats.org/officeDocument/2006/relationships/hyperlink" Target="http://www.sec.gov/Archives/edgar/data/47111/000004711119000023/exhibit101-2019rsunoti.htm" TargetMode="External"/><Relationship Id="rId261" Type="http://schemas.openxmlformats.org/officeDocument/2006/relationships/hyperlink" Target="http://www.sec.gov/Archives/edgar/data/47111/000004711111000052/exh102.htm?_sm_byp=iVVJrjKkjnjqPr4r" TargetMode="External"/><Relationship Id="rId262" Type="http://schemas.openxmlformats.org/officeDocument/2006/relationships/hyperlink" Target="http://www.sec.gov/Archives/edgar/data/47111/000004711116000115/a8-k_06172016exhibit101.htm?_sm_byp=iVVJrjKkjnjqPr4r" TargetMode="External"/><Relationship Id="rId263" Type="http://schemas.openxmlformats.org/officeDocument/2006/relationships/hyperlink" Target="http://www.sec.gov/Archives/edgar/data/47111/000004711117000022/hsy_20170402exhibit102a.htm?_sm_byp=iVV7PRrr5tFtD2T5" TargetMode="External"/><Relationship Id="rId266" Type="http://schemas.openxmlformats.org/officeDocument/2006/relationships/hyperlink" Target="http://www.sec.gov/Archives/edgar/data/47111/000004711119000023/exhibit102-2019rsunoti.htm" TargetMode="External"/><Relationship Id="rId267" Type="http://schemas.openxmlformats.org/officeDocument/2006/relationships/hyperlink" Target="http://www.sec.gov/Archives/edgar/data/47111/000004711116000088/exhibit_101x02182016.htm" TargetMode="External"/><Relationship Id="rId268" Type="http://schemas.openxmlformats.org/officeDocument/2006/relationships/hyperlink" Target="http://www.sec.gov/Archives/edgar/data/47111/000004711117000022/hsy_20170402exhibit102b.htm?_sm_byp=iVV7PRrr5tFtD2T5" TargetMode="External"/><Relationship Id="rId269" Type="http://schemas.openxmlformats.org/officeDocument/2006/relationships/hyperlink" Target="http://www.sec.gov/Archives/edgar/data/47111/000004711119000023/exhibit103-2019rsunoti.htm" TargetMode="External"/><Relationship Id="rId270" Type="http://schemas.openxmlformats.org/officeDocument/2006/relationships/hyperlink" Target="http://www.sec.gov/Archives/edgar/data/47111/000004711112000019/exh102.htm" TargetMode="External"/><Relationship Id="rId271" Type="http://schemas.openxmlformats.org/officeDocument/2006/relationships/hyperlink" Target="http://www.sec.gov/Archives/edgar/data/47111/000004711117000005/hsy_20161231exhibit1012b.htm?_sm_byp=iVVJrjKkjnjqPr4r" TargetMode="External"/><Relationship Id="rId272" Type="http://schemas.openxmlformats.org/officeDocument/2006/relationships/hyperlink" Target="http://www.sec.gov/Archives/edgar/data/47111/000004711117000022/hsy_20170402exhibit103.htm?_sm_byp=iVV7PRrr5tFtD2T5" TargetMode="External"/><Relationship Id="rId273" Type="http://schemas.openxmlformats.org/officeDocument/2006/relationships/hyperlink" Target="http://www.sec.gov/Archives/edgar/data/47111/000004711119000023/exhibit104-2019optiont.htm" TargetMode="External"/><Relationship Id="rId274" Type="http://schemas.openxmlformats.org/officeDocument/2006/relationships/hyperlink" Target="http://www.sec.gov/Archives/edgar/data/47111/000004711112000019/exh101.htm" TargetMode="External"/><Relationship Id="rId275" Type="http://schemas.openxmlformats.org/officeDocument/2006/relationships/hyperlink" Target="http://www.sec.gov/Archives/edgar/data/47111/000004711117000005/hsy_20161231exhibit1013b.htm?_sm_byp=iVVJrjKkjnjqPr4r" TargetMode="External"/><Relationship Id="rId276" Type="http://schemas.openxmlformats.org/officeDocument/2006/relationships/hyperlink" Target="http://www.sec.gov/Archives/edgar/data/47111/000004711117000022/hsy_20170402exhibit104.htm?_sm_byp=iVV7PRrr5tFtD2T5" TargetMode="External"/><Relationship Id="rId277" Type="http://schemas.openxmlformats.org/officeDocument/2006/relationships/hyperlink" Target="http://www.sec.gov/Archives/edgar/data/47111/000004711119000023/exhibit105-2019psunoti.htm" TargetMode="External"/><Relationship Id="rId278" Type="http://schemas.openxmlformats.org/officeDocument/2006/relationships/hyperlink" Target="http://www.sec.gov/Archives/edgar/data/47111/000004711117000024/exhibit101noticeofspeciala.htm" TargetMode="External"/><Relationship Id="rId279" Type="http://schemas.openxmlformats.org/officeDocument/2006/relationships/hyperlink" Target="http://www.sec.gov/Archives/edgar/data/47111/000004711105000091/exhibit102.htm" TargetMode="External"/><Relationship Id="rId280" Type="http://schemas.openxmlformats.org/officeDocument/2006/relationships/hyperlink" Target="http://www.sec.gov/Archives/edgar/data/47111/000004711112000045/hsy-20120701exhibit103.htm" TargetMode="External"/><Relationship Id="rId281" Type="http://schemas.openxmlformats.org/officeDocument/2006/relationships/hyperlink" Target="http://www.sec.gov/Archives/edgar/data/47111/000119312508033182/dex106.htm" TargetMode="External"/><Relationship Id="rId282" Type="http://schemas.openxmlformats.org/officeDocument/2006/relationships/hyperlink" Target="http://www.sec.gov/Archives/edgar/data/47111/000119312509033670/dex105.htm" TargetMode="External"/><Relationship Id="rId283" Type="http://schemas.openxmlformats.org/officeDocument/2006/relationships/hyperlink" Target="http://www.sec.gov/Archives/edgar/data/47111/000119312509033670/dex106.htm" TargetMode="External"/><Relationship Id="rId284" Type="http://schemas.openxmlformats.org/officeDocument/2006/relationships/hyperlink" Target="http://www.sec.gov/Archives/edgar/data/47111/000004711112000045/hsy-20120701exhibit102.htm" TargetMode="External"/><Relationship Id="rId285" Type="http://schemas.openxmlformats.org/officeDocument/2006/relationships/hyperlink" Target="http://www.sec.gov/Archives/edgar/data/47111/000004711116000095/hsy_20151231exhibit1018.htm" TargetMode="External"/><Relationship Id="rId288" Type="http://schemas.openxmlformats.org/officeDocument/2006/relationships/hyperlink" Target="http://www.sec.gov/Archives/edgar/data/47111/000119312509033670/dex104.htm" TargetMode="External"/><Relationship Id="rId289" Type="http://schemas.openxmlformats.org/officeDocument/2006/relationships/hyperlink" Target="http://www.sec.gov/Archives/edgar/data/47111/000004711113000019/hsy_2013033131exhibit101em.htm" TargetMode="External"/><Relationship Id="rId290" Type="http://schemas.openxmlformats.org/officeDocument/2006/relationships/hyperlink" Target="http://www.sec.gov/Archives/edgar/data/47111/000004711117000005/hsy_20161231exhibit1021b.htm" TargetMode="External"/><Relationship Id="rId291" Type="http://schemas.openxmlformats.org/officeDocument/2006/relationships/hyperlink" Target="http://www.sec.gov/Archives/edgar/data/47111/000004711117000011/exhibit101-executiveemploy.htm" TargetMode="External"/><Relationship Id="rId292" Type="http://schemas.openxmlformats.org/officeDocument/2006/relationships/hyperlink" Target="http://www.sec.gov/Archives/edgar/data/47111/000119312509033670/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2021-02-17T15:08:38Z</dcterms:created>
  <dcterms:modified xsi:type="dcterms:W3CDTF">2021-02-17T15:08:38Z</dcterms:modified>
</cp:coreProperties>
</file>