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ind w:left="1400" w:right="1280" w:hanging="339"/>
        <w:spacing w:after="0"/>
        <w:tabs>
          <w:tab w:leader="none" w:pos="14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w:t>
      </w:r>
    </w:p>
    <w:p>
      <w:pPr>
        <w:spacing w:after="0" w:line="34" w:lineRule="exact"/>
        <w:rPr>
          <w:sz w:val="24"/>
          <w:szCs w:val="24"/>
          <w:color w:val="auto"/>
        </w:rPr>
      </w:pPr>
    </w:p>
    <w:p>
      <w:pPr>
        <w:ind w:left="1400" w:hanging="325"/>
        <w:spacing w:after="0"/>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124"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23-0691590</w:t>
      </w:r>
    </w:p>
    <w:p>
      <w:pPr>
        <w:spacing w:after="0" w:line="90" w:lineRule="exact"/>
        <w:rPr>
          <w:sz w:val="24"/>
          <w:szCs w:val="24"/>
          <w:color w:val="auto"/>
        </w:rPr>
      </w:pPr>
    </w:p>
    <w:p>
      <w:pPr>
        <w:sectPr>
          <w:pgSz w:w="11900" w:h="16838" w:orient="portrait"/>
          <w:cols w:equalWidth="0" w:num="2">
            <w:col w:w="7540" w:space="720"/>
            <w:col w:w="3160"/>
          </w:cols>
          <w:pgMar w:left="240" w:top="887" w:right="239" w:bottom="1440" w:gutter="0" w:footer="0" w:header="0"/>
          <w:type w:val="continuous"/>
        </w:sectPr>
      </w:pPr>
    </w:p>
    <w:p>
      <w:pPr>
        <w:jc w:val="center"/>
        <w:ind w:right="12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46" w:lineRule="exact"/>
        <w:rPr>
          <w:sz w:val="24"/>
          <w:szCs w:val="24"/>
          <w:color w:val="auto"/>
        </w:rPr>
      </w:pPr>
    </w:p>
    <w:p>
      <w:pPr>
        <w:sectPr>
          <w:pgSz w:w="11900" w:h="16838" w:orient="portrait"/>
          <w:cols w:equalWidth="0" w:num="2">
            <w:col w:w="6680" w:space="720"/>
            <w:col w:w="4020"/>
          </w:cols>
          <w:pgMar w:left="240" w:top="887" w:right="2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19 East Chocolate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Hershey, PA 17033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887" w:right="239" w:bottom="1440" w:gutter="0" w:footer="0" w:header="0"/>
          <w:type w:val="continuous"/>
        </w:sectPr>
      </w:pP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(717) 534-4200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one dollar par value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HSY</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2020" w:space="520"/>
            <w:col w:w="220" w:space="720"/>
            <w:col w:w="1200" w:space="640"/>
            <w:col w:w="160" w:space="600"/>
            <w:col w:w="1520" w:space="460"/>
            <w:col w:w="160" w:space="580"/>
            <w:col w:w="1960" w:space="480"/>
            <w:col w:w="180"/>
          </w:cols>
          <w:pgMar w:left="240" w:top="887" w:right="239" w:bottom="1440" w:gutter="0" w:footer="0" w:header="0"/>
          <w:type w:val="continuous"/>
        </w:sectPr>
      </w:pPr>
    </w:p>
    <w:p>
      <w:pPr>
        <w:spacing w:after="0" w:line="20" w:lineRule="exact"/>
        <w:rPr>
          <w:sz w:val="24"/>
          <w:szCs w:val="24"/>
          <w:color w:val="auto"/>
        </w:rPr>
      </w:pPr>
    </w:p>
    <w:p>
      <w:pPr>
        <w:ind w:left="88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4" w:lineRule="exact"/>
        <w:rPr>
          <w:sz w:val="24"/>
          <w:szCs w:val="24"/>
          <w:color w:val="auto"/>
        </w:rPr>
      </w:pPr>
    </w:p>
    <w:p>
      <w:pPr>
        <w:sectPr>
          <w:pgSz w:w="11900" w:h="16838" w:orient="portrait"/>
          <w:cols w:equalWidth="0" w:num="2">
            <w:col w:w="10760" w:space="480"/>
            <w:col w:w="18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ind w:left="660"/>
        <w:spacing w:after="0" w:line="217" w:lineRule="auto"/>
        <w:rPr>
          <w:sz w:val="20"/>
          <w:szCs w:val="20"/>
          <w:color w:val="auto"/>
        </w:rPr>
      </w:pPr>
      <w:r>
        <w:rPr>
          <w:rFonts w:ascii="Arial" w:cs="Arial" w:eastAsia="Arial" w:hAnsi="Arial"/>
          <w:sz w:val="18"/>
          <w:szCs w:val="18"/>
          <w:color w:val="auto"/>
        </w:rPr>
        <w:t>Common Stock, one dollar par value—148,307,602 shares, as of October 18, 2019.</w:t>
      </w:r>
    </w:p>
    <w:p>
      <w:pPr>
        <w:ind w:left="660"/>
        <w:spacing w:after="0"/>
        <w:rPr>
          <w:sz w:val="20"/>
          <w:szCs w:val="20"/>
          <w:color w:val="auto"/>
        </w:rPr>
      </w:pPr>
      <w:r>
        <w:rPr>
          <w:rFonts w:ascii="Arial" w:cs="Arial" w:eastAsia="Arial" w:hAnsi="Arial"/>
          <w:sz w:val="18"/>
          <w:szCs w:val="18"/>
          <w:color w:val="auto"/>
        </w:rPr>
        <w:t>Class B Common Stock, one dollar par value—60,613,777 shares, as of October 18, 2019.</w:t>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29,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for the Three and Nine Months Ended September 29, 2019 and September 30, 2018</w:t>
              </w:r>
            </w:hyperlink>
          </w:p>
        </w:tc>
        <w:tc>
          <w:tcPr>
            <w:tcW w:w="230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 for the Three and Nine Months Ended September 29, 2019 and September 30,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September 29, 2019 and December 31, 2018</w:t>
              </w:r>
            </w:hyperlink>
          </w:p>
        </w:tc>
        <w:tc>
          <w:tcPr>
            <w:tcW w:w="520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29, 2019 and September 30,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940" w:type="dxa"/>
            <w:vAlign w:val="bottom"/>
            <w:gridSpan w:val="19"/>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Stockholders' Equity for the Three and Nine Months Ended September 29, 2019 and September 30,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580" w:type="dxa"/>
            <w:vAlign w:val="bottom"/>
            <w:tcBorders>
              <w:top w:val="single" w:sz="8" w:color="0000EE"/>
            </w:tcBorders>
            <w:gridSpan w:val="1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36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2019</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2,134,422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5,803,167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1,191,104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1,216,100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3,207,561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3,172,194</w:t>
            </w:r>
          </w:p>
        </w:tc>
      </w:tr>
      <w:tr>
        <w:trPr>
          <w:trHeight w:val="27"/>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2,710,566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2,630,973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481,363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453,921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1,388,729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1,388,793</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Business realignment costs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10,864</w:t>
            </w:r>
          </w:p>
        </w:tc>
      </w:tr>
      <w:tr>
        <w:trPr>
          <w:trHeight w:val="27"/>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460,815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1,202,499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35,456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106,690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101,207</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407,360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356,854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1,166,463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1,066,091</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226,640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265,413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942,334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839,451</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(loss) income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325,307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263,713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942,505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840,771</w:t>
            </w:r>
          </w:p>
        </w:tc>
      </w:tr>
      <w:tr>
        <w:trPr>
          <w:trHeight w:val="311"/>
        </w:trPr>
        <w:tc>
          <w:tcPr>
            <w:tcW w:w="5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0.702</w:t>
            </w:r>
          </w:p>
        </w:tc>
        <w:tc>
          <w:tcPr>
            <w:tcW w:w="12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0.656</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1.848</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0"/>
              </w:rPr>
              <w:t>For the 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For the nine months ended</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200" w:type="dxa"/>
            <w:vAlign w:val="bottom"/>
            <w:tcBorders>
              <w:bottom w:val="single" w:sz="8" w:color="auto"/>
            </w:tcBorders>
            <w:gridSpan w:val="6"/>
          </w:tcPr>
          <w:p>
            <w:pPr>
              <w:jc w:val="right"/>
              <w:ind w:right="408"/>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ind w:right="40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ind w:right="408"/>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222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100" w:type="dxa"/>
            <w:vAlign w:val="bottom"/>
          </w:tcPr>
          <w:p>
            <w:pPr>
              <w:spacing w:after="0"/>
              <w:rPr>
                <w:sz w:val="12"/>
                <w:szCs w:val="12"/>
                <w:color w:val="auto"/>
              </w:rPr>
            </w:pPr>
          </w:p>
        </w:tc>
        <w:tc>
          <w:tcPr>
            <w:tcW w:w="218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120" w:type="dxa"/>
            <w:vAlign w:val="bottom"/>
          </w:tcPr>
          <w:p>
            <w:pPr>
              <w:spacing w:after="0"/>
              <w:rPr>
                <w:sz w:val="12"/>
                <w:szCs w:val="12"/>
                <w:color w:val="auto"/>
              </w:rPr>
            </w:pPr>
          </w:p>
        </w:tc>
        <w:tc>
          <w:tcPr>
            <w:tcW w:w="218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Pre-Tax   (Expense)   After-Tax</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230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$325,182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$265,413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$942,334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$839,451</w:t>
            </w:r>
          </w:p>
        </w:tc>
        <w:tc>
          <w:tcPr>
            <w:tcW w:w="0" w:type="dxa"/>
            <w:vAlign w:val="bottom"/>
          </w:tcPr>
          <w:p>
            <w:pPr>
              <w:spacing w:after="0"/>
              <w:rPr>
                <w:sz w:val="1"/>
                <w:szCs w:val="1"/>
                <w:color w:val="auto"/>
              </w:rPr>
            </w:pPr>
          </w:p>
        </w:tc>
      </w:tr>
      <w:tr>
        <w:trPr>
          <w:trHeight w:val="133"/>
        </w:trPr>
        <w:tc>
          <w:tcPr>
            <w:tcW w:w="230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 income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(loss), net of tax:</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280"/>
              <w:spacing w:after="0" w:line="157" w:lineRule="exact"/>
              <w:rPr>
                <w:sz w:val="20"/>
                <w:szCs w:val="20"/>
                <w:color w:val="auto"/>
              </w:rPr>
            </w:pPr>
            <w:r>
              <w:rPr>
                <w:rFonts w:ascii="Arial" w:cs="Arial" w:eastAsia="Arial" w:hAnsi="Arial"/>
                <w:sz w:val="14"/>
                <w:szCs w:val="14"/>
                <w:color w:val="auto"/>
              </w:rPr>
              <w:t>Foreign currency translation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280"/>
              <w:spacing w:after="0"/>
              <w:rPr>
                <w:sz w:val="20"/>
                <w:szCs w:val="20"/>
                <w:color w:val="auto"/>
              </w:rPr>
            </w:pPr>
            <w:r>
              <w:rPr>
                <w:rFonts w:ascii="Arial" w:cs="Arial" w:eastAsia="Arial" w:hAnsi="Arial"/>
                <w:sz w:val="14"/>
                <w:szCs w:val="14"/>
                <w:color w:val="auto"/>
              </w:rPr>
              <w:t>gains (losses) during period</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 (7,604)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(7,604)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3,475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$(18,314)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(18,314)</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 due</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 the sale of businesses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25,131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25,131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25,131</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Pension and post-retirement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benefit plans: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 and</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7,555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10,020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7,555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57"/>
        </w:trPr>
        <w:tc>
          <w:tcPr>
            <w:tcW w:w="230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 effects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280"/>
              <w:spacing w:after="0"/>
              <w:rPr>
                <w:sz w:val="20"/>
                <w:szCs w:val="20"/>
                <w:color w:val="auto"/>
              </w:rPr>
            </w:pPr>
            <w:r>
              <w:rPr>
                <w:rFonts w:ascii="Arial" w:cs="Arial" w:eastAsia="Arial" w:hAnsi="Arial"/>
                <w:sz w:val="14"/>
                <w:szCs w:val="14"/>
                <w:color w:val="auto"/>
              </w:rPr>
              <w:t>relating to U.S. tax reform</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(36,535)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8,782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12,082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24,975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(6,335)</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18,640</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22,273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16,971</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 flow</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hedging derivatives</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6,320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6,064</w:t>
            </w:r>
          </w:p>
        </w:tc>
        <w:tc>
          <w:tcPr>
            <w:tcW w:w="0" w:type="dxa"/>
            <w:vAlign w:val="bottom"/>
          </w:tcPr>
          <w:p>
            <w:pPr>
              <w:spacing w:after="0"/>
              <w:rPr>
                <w:sz w:val="1"/>
                <w:szCs w:val="1"/>
                <w:color w:val="auto"/>
              </w:rPr>
            </w:pPr>
          </w:p>
        </w:tc>
      </w:tr>
      <w:tr>
        <w:trPr>
          <w:trHeight w:val="157"/>
        </w:trPr>
        <w:tc>
          <w:tcPr>
            <w:tcW w:w="230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 effects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280"/>
              <w:spacing w:after="0"/>
              <w:rPr>
                <w:sz w:val="20"/>
                <w:szCs w:val="20"/>
                <w:color w:val="auto"/>
              </w:rPr>
            </w:pPr>
            <w:r>
              <w:rPr>
                <w:rFonts w:ascii="Arial" w:cs="Arial" w:eastAsia="Arial" w:hAnsi="Arial"/>
                <w:sz w:val="14"/>
                <w:szCs w:val="14"/>
                <w:color w:val="auto"/>
              </w:rPr>
              <w:t>relating to U.S. tax reform</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(11,121)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3,331</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2,931</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(2,261)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3,988</w:t>
            </w:r>
          </w:p>
        </w:tc>
        <w:tc>
          <w:tcPr>
            <w:tcW w:w="1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33"/>
        </w:trPr>
        <w:tc>
          <w:tcPr>
            <w:tcW w:w="230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6"/>
              </w:rPr>
              <w:t>Total other comprehensive income</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w w:val="91"/>
              </w:rPr>
              <w:t>$ 18,329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(6,141)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31,259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color w:val="auto"/>
                <w:w w:val="88"/>
              </w:rPr>
              <w:t>42,343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(9,649)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$ 30,298</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(53,017)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(loss), net of tax</w:t>
            </w: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12,188</w:t>
            </w:r>
          </w:p>
        </w:tc>
        <w:tc>
          <w:tcPr>
            <w:tcW w:w="2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30,688</w:t>
            </w:r>
          </w:p>
        </w:tc>
        <w:tc>
          <w:tcPr>
            <w:tcW w:w="2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32,694</w:t>
            </w:r>
          </w:p>
        </w:tc>
        <w:tc>
          <w:tcPr>
            <w:tcW w:w="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(22,719)</w:t>
            </w:r>
          </w:p>
        </w:tc>
        <w:tc>
          <w:tcPr>
            <w:tcW w:w="0" w:type="dxa"/>
            <w:vAlign w:val="bottom"/>
          </w:tcPr>
          <w:p>
            <w:pPr>
              <w:spacing w:after="0"/>
              <w:rPr>
                <w:sz w:val="1"/>
                <w:szCs w:val="1"/>
                <w:color w:val="auto"/>
              </w:rPr>
            </w:pPr>
          </w:p>
        </w:tc>
      </w:tr>
      <w:tr>
        <w:trPr>
          <w:trHeight w:val="106"/>
        </w:trPr>
        <w:tc>
          <w:tcPr>
            <w:tcW w:w="230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including noncontrolling interest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$337,370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$296,101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$975,028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$816,732</w:t>
            </w:r>
          </w:p>
        </w:tc>
        <w:tc>
          <w:tcPr>
            <w:tcW w:w="0" w:type="dxa"/>
            <w:vAlign w:val="bottom"/>
          </w:tcPr>
          <w:p>
            <w:pPr>
              <w:spacing w:after="0"/>
              <w:rPr>
                <w:sz w:val="1"/>
                <w:szCs w:val="1"/>
                <w:color w:val="auto"/>
              </w:rPr>
            </w:pPr>
          </w:p>
        </w:tc>
      </w:tr>
      <w:tr>
        <w:trPr>
          <w:trHeight w:val="137"/>
        </w:trPr>
        <w:tc>
          <w:tcPr>
            <w:tcW w:w="2300" w:type="dxa"/>
            <w:vAlign w:val="bottom"/>
          </w:tcPr>
          <w:p>
            <w:pPr>
              <w:ind w:left="180"/>
              <w:spacing w:after="0" w:line="137" w:lineRule="exact"/>
              <w:rPr>
                <w:sz w:val="20"/>
                <w:szCs w:val="20"/>
                <w:color w:val="auto"/>
              </w:rPr>
            </w:pPr>
            <w:r>
              <w:rPr>
                <w:rFonts w:ascii="Arial" w:cs="Arial" w:eastAsia="Arial" w:hAnsi="Arial"/>
                <w:sz w:val="14"/>
                <w:szCs w:val="14"/>
                <w:color w:val="auto"/>
              </w:rPr>
              <w:t>Comprehensive (loss) income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attributable to noncontrolling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interest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39"/>
        </w:trPr>
        <w:tc>
          <w:tcPr>
            <w:tcW w:w="230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$337,902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$295,604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$975,144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$818,589</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29,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587,998</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849,218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594,145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784,879</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254,130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272,159</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2,239,181</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2,099,985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2,130,294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1,801,103</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1,452,726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1,278,292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252,984</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29,809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8,464,260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553,561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502,314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679,163</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74,085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1,197,929</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352,954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2,418,566</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2,892,296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446,048</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200,157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176,860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6,702,669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6,295,754</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2019 and 2018</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w w:val="92"/>
              </w:rPr>
              <w:t>Common stock, shares issued: 299,287,967 at September 29, 2019 and December 31, 2018</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B common stock, shares issued: 60,613,777 at September 29, 2019 and December 31,</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1,130,493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982,205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7,525,653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7,032,020</w:t>
            </w:r>
          </w:p>
        </w:tc>
        <w:tc>
          <w:tcPr>
            <w:tcW w:w="0" w:type="dxa"/>
            <w:vAlign w:val="bottom"/>
          </w:tcPr>
          <w:p>
            <w:pPr>
              <w:spacing w:after="0"/>
              <w:rPr>
                <w:sz w:val="1"/>
                <w:szCs w:val="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rPr>
              <w:t>Treasury—common stock shares, at cost: 150,681,543 at September 29, 2019 and</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80"/>
              <w:spacing w:after="0"/>
              <w:rPr>
                <w:sz w:val="20"/>
                <w:szCs w:val="20"/>
                <w:color w:val="auto"/>
              </w:rPr>
            </w:pPr>
            <w:r>
              <w:rPr>
                <w:rFonts w:ascii="Arial" w:cs="Arial" w:eastAsia="Arial" w:hAnsi="Arial"/>
                <w:sz w:val="18"/>
                <w:szCs w:val="18"/>
                <w:color w:val="auto"/>
              </w:rPr>
              <w:t>150,172,840 at December 31, 2018</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(6,938,744)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(6,618,625)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1,753,162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1,398,721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1,761,591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1,407,266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8,464,260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jc w:val="right"/>
              <w:ind w:right="144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29, 2019</w:t>
            </w:r>
          </w:p>
        </w:tc>
        <w:tc>
          <w:tcPr>
            <w:tcW w:w="240" w:type="dxa"/>
            <w:vAlign w:val="bottom"/>
          </w:tcPr>
          <w:p>
            <w:pPr>
              <w:spacing w:after="0"/>
              <w:rPr>
                <w:sz w:val="20"/>
                <w:szCs w:val="20"/>
                <w:color w:val="auto"/>
              </w:rPr>
            </w:pPr>
          </w:p>
        </w:tc>
        <w:tc>
          <w:tcPr>
            <w:tcW w:w="1900" w:type="dxa"/>
            <w:vAlign w:val="bottom"/>
          </w:tcPr>
          <w:p>
            <w:pPr>
              <w:jc w:val="right"/>
              <w:ind w:right="328"/>
              <w:spacing w:after="0"/>
              <w:rPr>
                <w:sz w:val="20"/>
                <w:szCs w:val="20"/>
                <w:color w:val="auto"/>
              </w:rPr>
            </w:pPr>
            <w:r>
              <w:rPr>
                <w:rFonts w:ascii="Arial" w:cs="Arial" w:eastAsia="Arial" w:hAnsi="Arial"/>
                <w:sz w:val="16"/>
                <w:szCs w:val="16"/>
                <w:b w:val="1"/>
                <w:bCs w:val="1"/>
                <w:color w:val="auto"/>
                <w:w w:val="99"/>
              </w:rPr>
              <w:t>September 30, 2018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942,334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839,451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218,841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225,803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35,668</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6,451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Notes 6 and 8)</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28,817</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18,564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23,067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22,433</w:t>
            </w:r>
          </w:p>
        </w:tc>
        <w:tc>
          <w:tcPr>
            <w:tcW w:w="0" w:type="dxa"/>
            <w:vAlign w:val="bottom"/>
          </w:tcPr>
          <w:p>
            <w:pPr>
              <w:spacing w:after="0"/>
              <w:rPr>
                <w:sz w:val="1"/>
                <w:szCs w:val="1"/>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(212,193)</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(174,514)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(111,901)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(59,182)</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108,169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125,698</w:t>
            </w:r>
          </w:p>
        </w:tc>
        <w:tc>
          <w:tcPr>
            <w:tcW w:w="0" w:type="dxa"/>
            <w:vAlign w:val="bottom"/>
          </w:tcPr>
          <w:p>
            <w:pPr>
              <w:spacing w:after="0"/>
              <w:rPr>
                <w:sz w:val="1"/>
                <w:szCs w:val="1"/>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(13,859)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(26,705)</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993,387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892,861</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(236,599)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(241,214)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46,652</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Proceeds from sales of businesses, net of cash and cash equivalents divested</w:t>
            </w:r>
          </w:p>
        </w:tc>
        <w:tc>
          <w:tcPr>
            <w:tcW w:w="260" w:type="dxa"/>
            <w:vAlign w:val="bottom"/>
          </w:tcPr>
          <w:p>
            <w:pPr>
              <w:spacing w:after="0"/>
              <w:rPr>
                <w:sz w:val="22"/>
                <w:szCs w:val="22"/>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171,950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(34,170)</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(401,461)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(915,457)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(697,641)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(972,239)</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Increase in short-term debt</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80,707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893,365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1,199,891</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Repayment of long-term debt and finance leases</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(4,895)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(910,851)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26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(453,210)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(415,178)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(445,870)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(199,665)</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Exercise of stock options</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235,328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33,454</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(582,824)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529,016</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(6,030)</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443,608</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587,998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380,179</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823,787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99,886</w:t>
            </w:r>
          </w:p>
        </w:tc>
        <w:tc>
          <w:tcPr>
            <w:tcW w:w="0" w:type="dxa"/>
            <w:vAlign w:val="bottom"/>
          </w:tcPr>
          <w:p>
            <w:pPr>
              <w:spacing w:after="0"/>
              <w:rPr>
                <w:sz w:val="1"/>
                <w:szCs w:val="1"/>
                <w:color w:val="auto"/>
              </w:rPr>
            </w:pPr>
          </w:p>
        </w:tc>
      </w:tr>
      <w:tr>
        <w:trPr>
          <w:trHeight w:val="258"/>
        </w:trPr>
        <w:tc>
          <w:tcPr>
            <w:tcW w:w="6980" w:type="dxa"/>
            <w:vAlign w:val="bottom"/>
          </w:tcPr>
          <w:p>
            <w:pPr>
              <w:spacing w:after="0"/>
              <w:rPr>
                <w:sz w:val="20"/>
                <w:szCs w:val="20"/>
                <w:color w:val="auto"/>
              </w:rPr>
            </w:pPr>
            <w:r>
              <w:rPr>
                <w:rFonts w:ascii="Arial" w:cs="Arial" w:eastAsia="Arial" w:hAnsi="Arial"/>
                <w:sz w:val="14"/>
                <w:szCs w:val="14"/>
                <w:color w:val="auto"/>
              </w:rPr>
              <w:t>Income taxes paid</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162,757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94,969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HERSHEY COMPANY</w:t>
      </w:r>
    </w:p>
    <w:tbl>
      <w:tblPr>
        <w:tblLayout w:type="fixed"/>
        <w:tblInd w:w="0" w:type="dxa"/>
        <w:tblCellMar>
          <w:top w:w="0" w:type="dxa"/>
          <w:left w:w="0" w:type="dxa"/>
          <w:bottom w:w="0" w:type="dxa"/>
          <w:right w:w="0" w:type="dxa"/>
        </w:tblCellMar>
      </w:tblPr>
      <w:tr>
        <w:trPr>
          <w:trHeight w:val="160"/>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80" w:type="dxa"/>
            <w:vAlign w:val="bottom"/>
            <w:gridSpan w:val="20"/>
          </w:tcPr>
          <w:p>
            <w:pPr>
              <w:ind w:left="180"/>
              <w:spacing w:after="0" w:line="160" w:lineRule="exact"/>
              <w:rPr>
                <w:sz w:val="20"/>
                <w:szCs w:val="20"/>
                <w:color w:val="auto"/>
              </w:rPr>
            </w:pPr>
            <w:r>
              <w:rPr>
                <w:rFonts w:ascii="Arial" w:cs="Arial" w:eastAsia="Arial" w:hAnsi="Arial"/>
                <w:sz w:val="18"/>
                <w:szCs w:val="18"/>
                <w:b w:val="1"/>
                <w:bCs w:val="1"/>
                <w:color w:val="auto"/>
              </w:rPr>
              <w:t>CONSOLIDATED STATEMENTS OF STOCKHOLDERS’ EQUITY</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6520" w:type="dxa"/>
            <w:vAlign w:val="bottom"/>
            <w:gridSpan w:val="21"/>
          </w:tcPr>
          <w:p>
            <w:pPr>
              <w:spacing w:after="0" w:line="176" w:lineRule="exact"/>
              <w:rPr>
                <w:sz w:val="20"/>
                <w:szCs w:val="20"/>
                <w:color w:val="auto"/>
              </w:rPr>
            </w:pPr>
            <w:r>
              <w:rPr>
                <w:rFonts w:ascii="Arial" w:cs="Arial" w:eastAsia="Arial" w:hAnsi="Arial"/>
                <w:sz w:val="18"/>
                <w:szCs w:val="18"/>
                <w:b w:val="1"/>
                <w:bCs w:val="1"/>
                <w:color w:val="auto"/>
              </w:rPr>
              <w:t>For the Three Months Ended September 29, 2019 and September 30, 2018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9"/>
          </w:tcPr>
          <w:p>
            <w:pPr>
              <w:jc w:val="center"/>
              <w:ind w:right="840"/>
              <w:spacing w:after="0" w:line="176" w:lineRule="exact"/>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620" w:type="dxa"/>
            <w:vAlign w:val="bottom"/>
          </w:tcPr>
          <w:p>
            <w:pPr>
              <w:ind w:left="20"/>
              <w:spacing w:after="0" w:line="145"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July 1, 2019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$ 60,614</w:t>
            </w:r>
          </w:p>
        </w:tc>
        <w:tc>
          <w:tcPr>
            <w:tcW w:w="2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89"/>
              </w:rPr>
              <w:t>1,075,187</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$7,358,277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(6,781,509)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(336,736)</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8,961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1,684,081</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325,307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325,182</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12,188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$0.773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(115,380)</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(115,380)</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$0.702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(42,551)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(42,551)</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15,583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15,583</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39,723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73,929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Repurchase of common stock</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(191,441)</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29, 2019</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$ 60,614</w:t>
            </w:r>
          </w:p>
        </w:tc>
        <w:tc>
          <w:tcPr>
            <w:tcW w:w="2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9"/>
              </w:rPr>
              <w:t>1,130,493</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$7,525,653</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(6,938,744)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1,761,591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620" w:type="dxa"/>
            <w:vAlign w:val="bottom"/>
          </w:tcPr>
          <w:p>
            <w:pPr>
              <w:ind w:left="40"/>
              <w:spacing w:after="0" w:line="145"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July 2, 2018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0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$ 60,620</w:t>
            </w:r>
          </w:p>
        </w:tc>
        <w:tc>
          <w:tcPr>
            <w:tcW w:w="2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940,046</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$6,727,127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(6,609,312)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(367,818)</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13,873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1,063,817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263,713</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265,413</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31,864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30,661</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$0.722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(108,016)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(108,016)</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$0.656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(39,767)</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11,932</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11,932</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5,781</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25,232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0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$ 60,620</w:t>
            </w:r>
          </w:p>
        </w:tc>
        <w:tc>
          <w:tcPr>
            <w:tcW w:w="24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957,759</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$6,843,057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(6,589,861)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(335,954)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1,249,272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HERSHEY COMPANY</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04" w:lineRule="auto"/>
        <w:rPr>
          <w:sz w:val="20"/>
          <w:szCs w:val="20"/>
          <w:color w:val="auto"/>
        </w:rPr>
      </w:pPr>
      <w:r>
        <w:rPr>
          <w:rFonts w:ascii="Arial" w:cs="Arial" w:eastAsia="Arial" w:hAnsi="Arial"/>
          <w:sz w:val="18"/>
          <w:szCs w:val="18"/>
          <w:b w:val="1"/>
          <w:bCs w:val="1"/>
          <w:color w:val="auto"/>
        </w:rPr>
        <w:t>For the Nine Months Ended September 29, 2019 and September 30, 2018</w:t>
      </w:r>
    </w:p>
    <w:p>
      <w:pPr>
        <w:jc w:val="center"/>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7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$ 60,614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982,205</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$7,032,020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(6,618,625)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1,407,266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942,505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942,334</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32,639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32,694</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$2.217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(330,709)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(330,709)</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$2.014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(122,076)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(122,076)</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38,711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38,711</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109,577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125,751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235,328</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(445,870)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(445,870)</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Impact of ASU 2016-02 related to leases</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September 29,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$ 60,614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89"/>
              </w:rPr>
              <w:t>1,130,493</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$7,525,653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(6,938,744)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(324,141)</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8,429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1,761,591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7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0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$ 60,620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$6,371,082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(6,426,877)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840,771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839,451</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24,911</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$2.034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(304,426)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(304,426)</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$1.848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(112,026)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(112,026)</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36,008</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36,008</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33,454</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(199,665)</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relating to U.S.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reform</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0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$ 60,620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957,759</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$6,843,057</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(6,589,861)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(335,954)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1,249,272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results for the quarter ended September 29, 2019 may not be indicative of the results that may be expected for the year ending December 31, 2019 because of seasonal effects on our business. These financial statements should be read in conjunction with our Annual Report on Form 10-K for the year ended December 31, 2018 (our “2018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requires lessees to recognize most leases on their balance sheets as lease liabilities with corresponding right-of-use ("ROU") assets. The Company adopted the standard as of January 1, 2019, using a modified retrospective approach and applying the standard’s transition provisions at January 1, 2019, the effective date.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which among other things, allows us to carryforward the historical lease classification. In addition, we made accounting policy elections to combine the lease and non-lease components for asset categories that support selling, marketing and general administrative activities. These asset categories comprise the majority of our leases. Finally, we made elections to exclude from balance sheet reporting those leases with initial terms of 12 months or less.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Adoption of the new standard resulted in the recording of operating lease ROU assets and lease liabilities of $227,258 and $216,966, respectively, with the difference largely due to prepaid and deferred rent that were reclassified to the ROU asset value. In addition, we derecognized a build-to-suit arrangement in accordance with the transition requirements, which resulted in an adjustment to retained earnings of $3,913. The standard did not materially affect our consolidated net income or cash flows. See Note 7 for further details.</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which amends ASC 815 – Derivatives and Hedging.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We adopted the provisions of this ASU in the first quarter of 2019 using a modified retrospective approach. Adoption of the new standard did not have a material impact on our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5" w:right="239" w:bottom="1440" w:gutter="0" w:footer="0" w:header="0"/>
        </w:sectPr>
      </w:pPr>
    </w:p>
    <w:bookmarkStart w:id="9" w:name="page10"/>
    <w:bookmarkEnd w:id="9"/>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is intended to simplify aspects of share-based compensation issued to non-employees by making the guidance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We adopted the provisions of this ASU in the first quarter of 2019. Adoption of the new standard did not have a material impact on our consolidated financial statements.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This ASU permits a company to reclassify the income tax effects of the 2017 Tax Cuts and Jobs Act</w:t>
      </w:r>
      <w:r>
        <w:rPr>
          <w:rFonts w:ascii="Arial" w:cs="Arial" w:eastAsia="Arial" w:hAnsi="Arial"/>
          <w:sz w:val="18"/>
          <w:szCs w:val="18"/>
          <w:i w:val="1"/>
          <w:iCs w:val="1"/>
          <w:color w:val="auto"/>
        </w:rPr>
        <w:t xml:space="preserve"> </w:t>
      </w:r>
      <w:r>
        <w:rPr>
          <w:rFonts w:ascii="Arial" w:cs="Arial" w:eastAsia="Arial" w:hAnsi="Arial"/>
          <w:sz w:val="18"/>
          <w:szCs w:val="18"/>
          <w:color w:val="auto"/>
        </w:rPr>
        <w:t>(“U.S. tax reform”) on items within Accumulated Other Comprehensive Income ("AOCI") to retained earnings. We adopted the provisions of this ASU in the first quarter of 2018. We elected to reclassify the income tax effects of U.S. tax reform from items in AOCI as of January 1, 2018 so that the tax effects of items within AOCI are reflected at the appropriate tax rate. The impact of the reclassification resulted in a $47,656 decrease to AOCI and a corresponding increase to retained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ASU modifies the measurement of expected credit losses of certain financial instruments. ASU 2016-13 is effective for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after December 15, 2019 and interim periods within those annual periods. The amendments in this ASU should be applied on a modified retrospective basis to all periods presented. We will adopt the provisions of this ASU in the first quarter of 2020. Based on our assessment, adoption of the new standard is not expected to have a material impact on our consolidated financial statements and related disclosures.</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This ASU modifies the disclosure requirements for fair value measurements by removing, modifying or adding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will adopt the provisions of this ASU in the first quarter of 2020. Based on our assessment, adoption of the new standard is not expected to have a material impact on our consolidated financial statements.</w:t>
      </w:r>
    </w:p>
    <w:p>
      <w:pPr>
        <w:spacing w:after="0" w:line="1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Compensation—Retirement Benefits—Defined Benefit Plans—General (Topic 715-20):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Framework—Changes to the Disclosure Requirements for Defined Benefit Plans</w:t>
      </w:r>
      <w:r>
        <w:rPr>
          <w:rFonts w:ascii="Arial" w:cs="Arial" w:eastAsia="Arial" w:hAnsi="Arial"/>
          <w:sz w:val="16"/>
          <w:szCs w:val="16"/>
          <w:color w:val="auto"/>
        </w:rPr>
        <w:t>, which modifies the disclosure requirements for defined benefit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and other post-retirement plans. ASU 2018-14 is effective for annual periods beginning after December 15, 2020, with early adoption permitted. The amendments in this ASU should be applied on a retrospective basis to all periods presented. We intend to early adopt the provisions of this ASU in the fourth quarter of 2019. Based on our assessment, adoption of the new standard is not expected to have a material impact on our consolidated financial statements.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will adopt the provisions of this ASU in the first quarter of 2020 on a prospective basis. Based on our assessment, adoption of the new standard is not expected to have a material impact on our consolidated financial statements and related disclosures.</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15" w:right="29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proprietary nutritional supplement products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purchase consideration for ONE Brands totaled $401,461 and consisted of cash on hand and short-term borrowings. Acquisition-related costs for the ONE Brands acquisition were immaterial.</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acquisition has been accounted for as a purchase and, accordingly, ONE Brands has been included within the North America segment. The purchase consideration was allocated to assets acquired and liabilities assumed based on their respective fair values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178,179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206,800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acquired, primarily current assets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liabilities assumed, primarily current liabilities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(9,278)</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401,461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purchase price allocation presented above is preliminary. We are in the process of refining the valuation of acquired assets and liabilities, including goodwill, and expect to finalize the purchase price allocation in the fourth quarter of 2019.</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The purchase consideration for Pirate Brands totaled $423,002 and consisted of short-term borrowings and cash on hand. Acquisition-related costs for the Pirate Brands acquisition were immaterial.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was allocated to assets acquired and liabilities assumed based on their respective fair values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289,300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423,002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5" w:right="239" w:bottom="1440" w:gutter="0" w:footer="0" w:header="0"/>
        </w:sectPr>
      </w:pPr>
    </w:p>
    <w:bookmarkStart w:id="12" w:name="page13"/>
    <w:bookmarkEnd w:id="1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net of cash acquired totaling $53,324, was allocated to assets acquired and liabilities assumed based on their respective fair values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34,593</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966,389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(132,519)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nine months ended September 29,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1,801,103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178,179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178,179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September 29,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1,964,210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18,152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1,982,362</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760"/>
              <w:spacing w:after="0"/>
              <w:rPr>
                <w:sz w:val="20"/>
                <w:szCs w:val="20"/>
                <w:color w:val="auto"/>
              </w:rPr>
            </w:pPr>
            <w:r>
              <w:rPr>
                <w:rFonts w:ascii="Arial" w:cs="Arial" w:eastAsia="Arial" w:hAnsi="Arial"/>
                <w:sz w:val="16"/>
                <w:szCs w:val="16"/>
                <w:b w:val="1"/>
                <w:bCs w:val="1"/>
                <w:color w:val="auto"/>
              </w:rPr>
              <w:t>September 29, 2019</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1,323,225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(87,329)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1,173,770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(60,995)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(33,516)</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(15,772)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1,563,380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1,452,726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1,278,292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Total amortization expense for the three months ended September 29, 2019 and September 30, 2018 was $12,684 and $9,573, respectively. Total amortization expense for the nine months ended September 29, 2019 and September 30, 2018 was $37,593 and $27,858,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As of September 29, 2019, we maintained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September 29, 2019, we were in compliance with all covenants pertaining to the credit agreement, and we had no significant compensating balance agreements that legally restricted these funds. For more information, refer to the Consolidated Financial Statements included in our 2018 Annual Report on Form 10-K.</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$71,792 at September 29, 2019 and $113,189 at December 31, 2018. Commitment fees relating to our revolving credit facility and lines of credit are not material.</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29, 2019, we had outstanding commercial paper totaling $1,203,638, at a weighted average interest rate of 2.1%. At December 31, 2018, we had outstanding commercial paper totaling $1,084,740, at a weighted average interest rate of 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0"/>
              </w:rPr>
              <w:t>September 29, 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11"/>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 Notes due 2020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4.125% Notes due 2020</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3.10% Notes due 2021</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8.8% Debentures due 2021</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84,715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3.375% Notes due 2023</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2.625% Notes due 2023</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2.30% Notes due 2026</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193,639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3.375% Notes due 2046</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101,980</w:t>
            </w:r>
          </w:p>
        </w:tc>
        <w:tc>
          <w:tcPr>
            <w:tcW w:w="0" w:type="dxa"/>
            <w:vAlign w:val="bottom"/>
          </w:tcPr>
          <w:p>
            <w:pPr>
              <w:spacing w:after="0"/>
              <w:rPr>
                <w:sz w:val="1"/>
                <w:szCs w:val="1"/>
                <w:color w:val="auto"/>
              </w:rPr>
            </w:pPr>
          </w:p>
        </w:tc>
      </w:tr>
      <w:tr>
        <w:trPr>
          <w:trHeight w:val="243"/>
        </w:trPr>
        <w:tc>
          <w:tcPr>
            <w:tcW w:w="7200" w:type="dxa"/>
            <w:vAlign w:val="bottom"/>
            <w:gridSpan w:val="8"/>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(20,667)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3,245,250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3,259,667</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352,954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2,892,296</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40" w:type="dxa"/>
            <w:vAlign w:val="bottom"/>
            <w:gridSpan w:val="4"/>
          </w:tcPr>
          <w:p>
            <w:pPr>
              <w:spacing w:after="0"/>
              <w:rPr>
                <w:sz w:val="20"/>
                <w:szCs w:val="20"/>
                <w:color w:val="auto"/>
              </w:rPr>
            </w:pPr>
            <w:r>
              <w:rPr>
                <w:rFonts w:ascii="Arial" w:cs="Arial" w:eastAsia="Arial" w:hAnsi="Arial"/>
                <w:sz w:val="18"/>
                <w:szCs w:val="18"/>
                <w:color w:val="auto"/>
              </w:rPr>
              <w:t>Net interest expense consists of the following:</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5"/>
          </w:tcPr>
          <w:p>
            <w:pPr>
              <w:jc w:val="right"/>
              <w:ind w:right="1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5"/>
          </w:tcPr>
          <w:p>
            <w:pPr>
              <w:jc w:val="center"/>
              <w:ind w:right="7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29, 2019</w:t>
            </w:r>
          </w:p>
        </w:tc>
        <w:tc>
          <w:tcPr>
            <w:tcW w:w="240" w:type="dxa"/>
            <w:vAlign w:val="bottom"/>
          </w:tcPr>
          <w:p>
            <w:pPr>
              <w:spacing w:after="0"/>
              <w:rPr>
                <w:sz w:val="20"/>
                <w:szCs w:val="20"/>
                <w:color w:val="auto"/>
              </w:rPr>
            </w:pPr>
          </w:p>
        </w:tc>
        <w:tc>
          <w:tcPr>
            <w:tcW w:w="192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6"/>
              </w:rPr>
              <w:t>September 30, 2018</w:t>
            </w:r>
          </w:p>
        </w:tc>
        <w:tc>
          <w:tcPr>
            <w:tcW w:w="1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29, 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271"/>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110,929</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Capitalized interest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107,053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35,456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106,690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101,207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$871,219 as of September 29, 2019 and $693,463 as of December 31, 2018.</w:t>
      </w:r>
    </w:p>
    <w:p>
      <w:pPr>
        <w:spacing w:after="0" w:line="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and Mexican Peso.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$34,397 at September 29, 2019 and $29,458 at December 31, 2018.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$32,077 at September 29, 2019 and $11,072 at December 31, 2018. The change in fair value on these instruments is recorded directly in cost of sales or selling, marketing and administrative expense, depending on the nature of the underlying exposure.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September 29, 2019 and December 31, 2018.</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September 29, 2019 and December 31, 2018 was $27,857 and $33,168, respectively.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16" w:right="279"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September 29,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29, 2019</w:t>
            </w:r>
          </w:p>
        </w:tc>
        <w:tc>
          <w:tcPr>
            <w:tcW w:w="28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32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10,799</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28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29, 2019, amounts reflected on a net basis in liabilities were assets of $63,855 and liabilities of $67,745, which are associated with cash transfers receivable or payable on commodities futures contracts reflecting the change in quoted market prices on the last trading day for the period. The comparable amounts reflected on a net basis in assets at December 31, 2018 were assets of $63,978 and liabilities of $57,351. At September 29, 2019 and December 31, 2018,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September 29, 2019 and September 30, 2018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573"/>
              <w:spacing w:after="0"/>
              <w:rPr>
                <w:sz w:val="20"/>
                <w:szCs w:val="20"/>
                <w:color w:val="auto"/>
              </w:rPr>
            </w:pPr>
            <w:r>
              <w:rPr>
                <w:rFonts w:ascii="Arial" w:cs="Arial" w:eastAsia="Arial" w:hAnsi="Arial"/>
                <w:sz w:val="16"/>
                <w:szCs w:val="16"/>
                <w:b w:val="1"/>
                <w:bCs w:val="1"/>
                <w:color w:val="auto"/>
                <w:w w:val="92"/>
              </w:rPr>
              <w:t>income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4,605</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(10,102)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(3,331)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570"/>
              <w:spacing w:after="0"/>
              <w:rPr>
                <w:sz w:val="20"/>
                <w:szCs w:val="20"/>
                <w:color w:val="auto"/>
              </w:rPr>
            </w:pPr>
            <w:r>
              <w:rPr>
                <w:rFonts w:ascii="Arial" w:cs="Arial" w:eastAsia="Arial" w:hAnsi="Arial"/>
                <w:sz w:val="18"/>
                <w:szCs w:val="18"/>
                <w:color w:val="auto"/>
                <w:w w:val="79"/>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17" w:name="page18"/>
    <w:bookmarkEnd w:id="1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nine months ended September 29, 2019 and September 30, 2018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19,847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(1,535)</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(2,291)</w:t>
            </w:r>
          </w:p>
        </w:tc>
        <w:tc>
          <w:tcPr>
            <w:tcW w:w="3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4,648</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4,181</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22,493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(6,164)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00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$9,745 as of September 29, 2019. This amount is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amounts that were recorded on the balance sheet related to cumulative basis adjustments for interest rate swap derivatives designated as fair value accounting hedges as of September 29, 2019 and December 31, 2018.</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Line Item in the Consolidated Balance Sheet</w:t>
            </w:r>
          </w:p>
        </w:tc>
        <w:tc>
          <w:tcPr>
            <w:tcW w:w="220" w:type="dxa"/>
            <w:vAlign w:val="bottom"/>
          </w:tcPr>
          <w:p>
            <w:pPr>
              <w:spacing w:after="0"/>
              <w:rPr>
                <w:sz w:val="17"/>
                <w:szCs w:val="17"/>
                <w:color w:val="auto"/>
              </w:rPr>
            </w:pPr>
          </w:p>
        </w:tc>
        <w:tc>
          <w:tcPr>
            <w:tcW w:w="3880" w:type="dxa"/>
            <w:vAlign w:val="bottom"/>
            <w:gridSpan w:val="5"/>
          </w:tcPr>
          <w:p>
            <w:pPr>
              <w:ind w:left="960"/>
              <w:spacing w:after="0"/>
              <w:rPr>
                <w:sz w:val="20"/>
                <w:szCs w:val="20"/>
                <w:color w:val="auto"/>
              </w:rPr>
            </w:pPr>
            <w:r>
              <w:rPr>
                <w:rFonts w:ascii="Arial" w:cs="Arial" w:eastAsia="Arial" w:hAnsi="Arial"/>
                <w:sz w:val="16"/>
                <w:szCs w:val="16"/>
                <w:b w:val="1"/>
                <w:bCs w:val="1"/>
                <w:color w:val="auto"/>
              </w:rPr>
              <w:t>Carrying Amount of the</w:t>
            </w:r>
          </w:p>
        </w:tc>
        <w:tc>
          <w:tcPr>
            <w:tcW w:w="396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Cumulative Amount of Fair Value Hedging Adjustment</w:t>
            </w:r>
          </w:p>
        </w:tc>
      </w:tr>
      <w:tr>
        <w:trPr>
          <w:trHeight w:val="210"/>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Which the Hedged Item is Included</w:t>
            </w:r>
          </w:p>
        </w:tc>
        <w:tc>
          <w:tcPr>
            <w:tcW w:w="220" w:type="dxa"/>
            <w:vAlign w:val="bottom"/>
          </w:tcPr>
          <w:p>
            <w:pPr>
              <w:spacing w:after="0"/>
              <w:rPr>
                <w:sz w:val="18"/>
                <w:szCs w:val="18"/>
                <w:color w:val="auto"/>
              </w:rPr>
            </w:pPr>
          </w:p>
        </w:tc>
        <w:tc>
          <w:tcPr>
            <w:tcW w:w="3880" w:type="dxa"/>
            <w:vAlign w:val="bottom"/>
            <w:gridSpan w:val="5"/>
          </w:tcPr>
          <w:p>
            <w:pPr>
              <w:ind w:left="940"/>
              <w:spacing w:after="0"/>
              <w:rPr>
                <w:sz w:val="20"/>
                <w:szCs w:val="20"/>
                <w:color w:val="auto"/>
              </w:rPr>
            </w:pPr>
            <w:r>
              <w:rPr>
                <w:rFonts w:ascii="Arial" w:cs="Arial" w:eastAsia="Arial" w:hAnsi="Arial"/>
                <w:sz w:val="16"/>
                <w:szCs w:val="16"/>
                <w:b w:val="1"/>
                <w:bCs w:val="1"/>
                <w:color w:val="auto"/>
              </w:rPr>
              <w:t>Hedged Asset/(Liability)</w:t>
            </w:r>
          </w:p>
        </w:tc>
        <w:tc>
          <w:tcPr>
            <w:tcW w:w="140" w:type="dxa"/>
            <w:vAlign w:val="bottom"/>
          </w:tcPr>
          <w:p>
            <w:pPr>
              <w:spacing w:after="0"/>
              <w:rPr>
                <w:sz w:val="18"/>
                <w:szCs w:val="18"/>
                <w:color w:val="auto"/>
              </w:rPr>
            </w:pPr>
          </w:p>
        </w:tc>
        <w:tc>
          <w:tcPr>
            <w:tcW w:w="382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w w:val="92"/>
              </w:rPr>
              <w:t>Included in the Carrying Amount Assets/(Liabilities)</w:t>
            </w:r>
          </w:p>
        </w:tc>
      </w:tr>
      <w:tr>
        <w:trPr>
          <w:trHeight w:val="33"/>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29, 2019</w:t>
            </w:r>
          </w:p>
        </w:tc>
        <w:tc>
          <w:tcPr>
            <w:tcW w:w="200" w:type="dxa"/>
            <w:vAlign w:val="bottom"/>
          </w:tcPr>
          <w:p>
            <w:pPr>
              <w:spacing w:after="0"/>
              <w:rPr>
                <w:sz w:val="20"/>
                <w:szCs w:val="20"/>
                <w:color w:val="auto"/>
              </w:rPr>
            </w:pPr>
          </w:p>
        </w:tc>
        <w:tc>
          <w:tcPr>
            <w:tcW w:w="17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7"/>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For the three months ended September 29, 2019 and September 30, 2018, we recognized net incremental interest expense of $458 and $370, respectively, relating to our fixed-to-floating interest swap arrangements. For the nine months ended September 29, 2019 and September 30, 2018, we recognized net incremental interest expense of $1,672 and a net benefit to interest expense of $245 relating to our fixed-to-floating interest swap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6" w:right="239" w:bottom="1440" w:gutter="0" w:footer="0" w:header="0"/>
        </w:sectPr>
      </w:pPr>
    </w:p>
    <w:bookmarkStart w:id="18" w:name="page19"/>
    <w:bookmarkEnd w:id="1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September 29, 2019 and December 31, 2018:</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29, 2019:</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4,220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4,220</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7,230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7,230</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4,736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4,736</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18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September 29, 2019 and December 31, 2018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6" w:right="239" w:bottom="1440" w:gutter="0" w:footer="0" w:header="0"/>
        </w:sectPr>
      </w:pPr>
    </w:p>
    <w:bookmarkStart w:id="19" w:name="page20"/>
    <w:bookmarkEnd w:id="1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6520" w:type="dxa"/>
            <w:vAlign w:val="bottom"/>
            <w:gridSpan w:val="10"/>
          </w:tcPr>
          <w:p>
            <w:pPr>
              <w:ind w:left="2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01"/>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5"/>
          </w:tcPr>
          <w:p>
            <w:pPr>
              <w:ind w:left="130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4"/>
                <w:szCs w:val="24"/>
                <w:color w:val="auto"/>
              </w:rPr>
            </w:pPr>
          </w:p>
        </w:tc>
        <w:tc>
          <w:tcPr>
            <w:tcW w:w="3580" w:type="dxa"/>
            <w:vAlign w:val="bottom"/>
            <w:gridSpan w:val="4"/>
          </w:tcPr>
          <w:p>
            <w:pPr>
              <w:jc w:val="right"/>
              <w:ind w:right="119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2019</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2019</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26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3,041,644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3,228,877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2,892,296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3,254,280</w:t>
            </w:r>
          </w:p>
        </w:tc>
      </w:tr>
      <w:tr>
        <w:trPr>
          <w:trHeight w:val="27"/>
        </w:trPr>
        <w:tc>
          <w:tcPr>
            <w:tcW w:w="26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3,396,305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3,234,264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3,245,250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3,259,667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4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acquisition of ONE Brands in the third quarter of 2019, as discussed in Note 2,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 Additionally, during 2019, we recorded impairment charges totaling $4,741. These charges were predominantly comprised of select land that had not yet met the held for sale criteria. The fair value of the land was supported by potential sales prices with third-party buyers.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Activity</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acquisitions of Amplify in the first quarter of 2018 and Pirate Brands in the fourth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In connection with disposal groups previously classified as held for sale, during 2018, we recorded impairment charges totaling $28,817 to adjust the long-lived asset values within the Shanghai Golden Monkey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The fair values of the disposal groups were supported by the sales prices agreed with the third-party buyers. In July 2018, we sold the SGM and Tyrrells businesses.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5" w:right="239" w:bottom="1440" w:gutter="0" w:footer="0" w:header="0"/>
        </w:sectPr>
      </w:pPr>
    </w:p>
    <w:bookmarkStart w:id="20" w:name="page21"/>
    <w:bookmarkEnd w:id="2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8"/>
                <w:szCs w:val="18"/>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 expense</w:t>
            </w:r>
          </w:p>
        </w:tc>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260" w:type="dxa"/>
            <w:vAlign w:val="bottom"/>
          </w:tcPr>
          <w:p>
            <w:pPr>
              <w:spacing w:after="0"/>
              <w:rPr>
                <w:sz w:val="23"/>
                <w:szCs w:val="23"/>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September 29, 2019</w:t>
            </w:r>
          </w:p>
        </w:tc>
        <w:tc>
          <w:tcPr>
            <w:tcW w:w="280" w:type="dxa"/>
            <w:vAlign w:val="bottom"/>
          </w:tcPr>
          <w:p>
            <w:pPr>
              <w:spacing w:after="0"/>
              <w:rPr>
                <w:sz w:val="23"/>
                <w:szCs w:val="23"/>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29, 2019</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31,110</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5,617</w:t>
            </w:r>
          </w:p>
        </w:tc>
      </w:tr>
      <w:tr>
        <w:trPr>
          <w:trHeight w:val="24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3,319</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lease cost (2)</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40,046</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spacing w:after="0"/>
              <w:rPr>
                <w:sz w:val="18"/>
                <w:szCs w:val="18"/>
                <w:color w:val="auto"/>
              </w:rPr>
            </w:pPr>
          </w:p>
        </w:tc>
        <w:tc>
          <w:tcPr>
            <w:tcW w:w="2480" w:type="dxa"/>
            <w:vAlign w:val="bottom"/>
          </w:tcPr>
          <w:p>
            <w:pPr>
              <w:jc w:val="right"/>
              <w:ind w:right="472"/>
              <w:spacing w:after="0"/>
              <w:rPr>
                <w:sz w:val="20"/>
                <w:szCs w:val="20"/>
                <w:color w:val="auto"/>
              </w:rPr>
            </w:pPr>
            <w:r>
              <w:rPr>
                <w:rFonts w:ascii="Arial" w:cs="Arial" w:eastAsia="Arial" w:hAnsi="Arial"/>
                <w:sz w:val="16"/>
                <w:szCs w:val="16"/>
                <w:b w:val="1"/>
                <w:bCs w:val="1"/>
                <w:color w:val="auto"/>
              </w:rPr>
              <w:t>September 29, 2019</w:t>
            </w:r>
          </w:p>
        </w:tc>
      </w:tr>
      <w:tr>
        <w:trPr>
          <w:trHeight w:val="33"/>
        </w:trPr>
        <w:tc>
          <w:tcPr>
            <w:tcW w:w="894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248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13.9</w:t>
            </w:r>
          </w:p>
        </w:tc>
      </w:tr>
      <w:tr>
        <w:trPr>
          <w:trHeight w:val="27"/>
        </w:trPr>
        <w:tc>
          <w:tcPr>
            <w:tcW w:w="89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w:t>
            </w:r>
          </w:p>
        </w:tc>
      </w:tr>
      <w:tr>
        <w:trPr>
          <w:trHeight w:val="324"/>
        </w:trPr>
        <w:tc>
          <w:tcPr>
            <w:tcW w:w="89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248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9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8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9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1" w:name="page22"/>
    <w:bookmarkEnd w:id="2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185" w:lineRule="exact"/>
        <w:rPr>
          <w:sz w:val="20"/>
          <w:szCs w:val="20"/>
          <w:color w:val="auto"/>
        </w:rPr>
      </w:pPr>
    </w:p>
    <w:p>
      <w:pPr>
        <w:ind w:left="40"/>
        <w:spacing w:after="0"/>
        <w:tabs>
          <w:tab w:leader="none" w:pos="4140" w:val="left"/>
          <w:tab w:leader="none" w:pos="9520" w:val="left"/>
        </w:tabs>
        <w:rPr>
          <w:sz w:val="20"/>
          <w:szCs w:val="20"/>
          <w:color w:val="auto"/>
        </w:rPr>
      </w:pPr>
      <w:r>
        <w:rPr>
          <w:rFonts w:ascii="Arial" w:cs="Arial" w:eastAsia="Arial" w:hAnsi="Arial"/>
          <w:sz w:val="16"/>
          <w:szCs w:val="16"/>
          <w:b w:val="1"/>
          <w:bCs w:val="1"/>
          <w:color w:val="auto"/>
        </w:rPr>
        <w:t>Leases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4"/>
          <w:szCs w:val="14"/>
          <w:b w:val="1"/>
          <w:bCs w:val="1"/>
          <w:color w:val="auto"/>
        </w:rPr>
        <w:t>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ROU assets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ROU assets, net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39370</wp:posOffset>
            </wp:positionV>
            <wp:extent cx="72466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433705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828040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203835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225,959</w:t>
            </w:r>
          </w:p>
        </w:tc>
      </w:tr>
      <w:tr>
        <w:trPr>
          <w:trHeight w:val="594"/>
        </w:trPr>
        <w:tc>
          <w:tcPr>
            <w:tcW w:w="9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99,614</w:t>
            </w:r>
          </w:p>
        </w:tc>
      </w:tr>
      <w:tr>
        <w:trPr>
          <w:trHeight w:val="270"/>
        </w:trPr>
        <w:tc>
          <w:tcPr>
            <w:tcW w:w="9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(5,188)</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94,426</w:t>
            </w:r>
          </w:p>
        </w:tc>
      </w:tr>
      <w:tr>
        <w:trPr>
          <w:trHeight w:val="351"/>
        </w:trPr>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320,385</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28,967</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3,566</w:t>
            </w:r>
          </w:p>
        </w:tc>
      </w:tr>
      <w:tr>
        <w:trPr>
          <w:trHeight w:val="540"/>
        </w:trPr>
        <w:tc>
          <w:tcPr>
            <w:tcW w:w="9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188,961</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74,687</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296,181</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440" w:space="720"/>
            <w:col w:w="4140" w:space="720"/>
            <w:col w:w="2400"/>
          </w:cols>
          <w:pgMar w:left="240" w:top="118"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September 29,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ind w:left="260"/>
              <w:spacing w:after="0"/>
              <w:rPr>
                <w:sz w:val="20"/>
                <w:szCs w:val="20"/>
                <w:color w:val="auto"/>
              </w:rPr>
            </w:pPr>
            <w:r>
              <w:rPr>
                <w:rFonts w:ascii="Arial" w:cs="Arial" w:eastAsia="Arial" w:hAnsi="Arial"/>
                <w:sz w:val="16"/>
                <w:szCs w:val="16"/>
                <w:b w:val="1"/>
                <w:bCs w:val="1"/>
                <w:color w:val="auto"/>
              </w:rPr>
              <w:t>Operating leases</w:t>
            </w:r>
          </w:p>
        </w:tc>
        <w:tc>
          <w:tcPr>
            <w:tcW w:w="400" w:type="dxa"/>
            <w:vAlign w:val="bottom"/>
          </w:tcPr>
          <w:p>
            <w:pPr>
              <w:spacing w:after="0"/>
              <w:rPr>
                <w:sz w:val="18"/>
                <w:szCs w:val="18"/>
                <w:color w:val="auto"/>
              </w:rPr>
            </w:pPr>
          </w:p>
        </w:tc>
        <w:tc>
          <w:tcPr>
            <w:tcW w:w="20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Finance leases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932"/>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(rest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34,895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41,865</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34,884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20,390</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185,805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170,041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355,846</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483,258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71,401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115,676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187,077</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217,928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78,253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296,181</w:t>
            </w:r>
          </w:p>
        </w:tc>
      </w:tr>
      <w:tr>
        <w:trPr>
          <w:trHeight w:val="20"/>
        </w:trPr>
        <w:tc>
          <w:tcPr>
            <w:tcW w:w="4000" w:type="dxa"/>
            <w:vAlign w:val="bottom"/>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635"/>
        </w:trPr>
        <w:tc>
          <w:tcPr>
            <w:tcW w:w="6540" w:type="dxa"/>
            <w:vAlign w:val="bottom"/>
            <w:gridSpan w:val="4"/>
          </w:tcPr>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2"/>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Nine Months Ended</w:t>
            </w:r>
          </w:p>
        </w:tc>
      </w:tr>
      <w:tr>
        <w:trPr>
          <w:trHeight w:val="270"/>
        </w:trPr>
        <w:tc>
          <w:tcPr>
            <w:tcW w:w="4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272"/>
              <w:spacing w:after="0"/>
              <w:rPr>
                <w:sz w:val="20"/>
                <w:szCs w:val="20"/>
                <w:color w:val="auto"/>
              </w:rPr>
            </w:pPr>
            <w:r>
              <w:rPr>
                <w:rFonts w:ascii="Arial" w:cs="Arial" w:eastAsia="Arial" w:hAnsi="Arial"/>
                <w:sz w:val="16"/>
                <w:szCs w:val="16"/>
                <w:b w:val="1"/>
                <w:bCs w:val="1"/>
                <w:color w:val="auto"/>
                <w:w w:val="96"/>
              </w:rPr>
              <w:t>September 29, 2019</w:t>
            </w:r>
          </w:p>
        </w:tc>
      </w:tr>
      <w:tr>
        <w:trPr>
          <w:trHeight w:val="33"/>
        </w:trPr>
        <w:tc>
          <w:tcPr>
            <w:tcW w:w="6540" w:type="dxa"/>
            <w:vAlign w:val="bottom"/>
            <w:tcBorders>
              <w:bottom w:val="single" w:sz="8" w:color="CCEEFF"/>
            </w:tcBorders>
            <w:gridSpan w:val="4"/>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29,054</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3,319</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2,761</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ROU assets obtained in exchange for lease liabilities: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3,498</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8" w:right="239" w:bottom="1440" w:gutter="0" w:footer="0" w:header="0"/>
          <w:type w:val="continuous"/>
        </w:sectPr>
      </w:pPr>
    </w:p>
    <w:bookmarkStart w:id="22" w:name="page23"/>
    <w:bookmarkEnd w:id="2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29, 2019, the following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Lotte Shanghai Foods Co., Ltd. joint venture, which was taken out of operation and classified as held for sale during the second quarter of 2018. We sold a portion of the joint venture's equipment in the third and fourth quarters of 2018, as well as the second quarter of 2019, and expect the sale of the remaining business to be completed by the end of 2019.</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assets, which are predominantly comprised of select Pennsylvania facilities and land that met the held for sale criteria in the third quarter of 2018. We expect these long-lived assets to be sold by the end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September 29, 2019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20,905</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23,339</w:t>
            </w:r>
          </w:p>
        </w:tc>
      </w:tr>
      <w:tr>
        <w:trPr>
          <w:trHeight w:val="67"/>
        </w:trPr>
        <w:tc>
          <w:tcPr>
            <w:tcW w:w="92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10"/>
        </w:trPr>
        <w:tc>
          <w:tcPr>
            <w:tcW w:w="9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September 30, 2018, we completed the sale of other disposal groups that had been previously classified as assets and liabilities held for sale, as follows:</w:t>
      </w:r>
    </w:p>
    <w:p>
      <w:pPr>
        <w:spacing w:after="0" w:line="89" w:lineRule="exact"/>
        <w:rPr>
          <w:sz w:val="20"/>
          <w:szCs w:val="20"/>
          <w:color w:val="auto"/>
        </w:rPr>
      </w:pPr>
    </w:p>
    <w:p>
      <w:pPr>
        <w:ind w:left="660" w:right="10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April 2018, we sold the licensing rights for a non-core trademark relating to a brand marketed outside of the United States for sale proceeds of approximately $13,000, realizing a gain on the sale of $2,658, which is recorded in the selling, marketing and administrative expense caption within the Consolidated Statements of Operations.</w:t>
      </w:r>
    </w:p>
    <w:p>
      <w:pPr>
        <w:spacing w:after="0" w:line="100" w:lineRule="exact"/>
        <w:rPr>
          <w:rFonts w:ascii="Arial" w:cs="Arial" w:eastAsia="Arial" w:hAnsi="Arial"/>
          <w:sz w:val="18"/>
          <w:szCs w:val="18"/>
          <w:color w:val="auto"/>
        </w:rPr>
      </w:pPr>
    </w:p>
    <w:p>
      <w:pPr>
        <w:ind w:left="660" w:right="320" w:hanging="328"/>
        <w:spacing w:after="0" w:line="259"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During the second and third quarters of 2018, we sold select China facilities that were taken out of operation and classified as assets held for sale during the first quarter of 2017 in connection with the Operational Optimization Program (as defined in Note 9). Proceeds from the sale of these facilities totaled $27,468, resulting in a gain on the sale of $6,562, which is recorded in the business realignment costs caption within the Consolidated Statements of Operations.</w:t>
      </w:r>
    </w:p>
    <w:p>
      <w:pPr>
        <w:spacing w:after="0" w:line="105" w:lineRule="exact"/>
        <w:rPr>
          <w:rFonts w:ascii="Arial" w:cs="Arial" w:eastAsia="Arial" w:hAnsi="Arial"/>
          <w:sz w:val="18"/>
          <w:szCs w:val="18"/>
          <w:color w:val="auto"/>
        </w:rPr>
      </w:pPr>
    </w:p>
    <w:p>
      <w:pPr>
        <w:ind w:left="660" w:right="12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July 2018, we sold the Tyrrells and SGM businesses, both of which were previously classified as held for sale. Total proceeds from the sale of Tyrrells and SGM, net of cash divested, were approximately $171,950. We recorded impairment charges of $28,817 to adjust the book values of the disposal groups to the sales value less costs to sell.</w:t>
      </w:r>
    </w:p>
    <w:p>
      <w:pPr>
        <w:spacing w:after="0" w:line="33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3" w:name="page24"/>
    <w:bookmarkEnd w:id="2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6"/>
                <w:szCs w:val="16"/>
                <w:color w:val="auto"/>
              </w:rPr>
            </w:pPr>
          </w:p>
        </w:tc>
      </w:tr>
      <w:tr>
        <w:trPr>
          <w:trHeight w:val="237"/>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2019</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5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17,705</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42,670</w:t>
            </w: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three and nine months ended September 29, 2019 and September 30, 2018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2019</w:t>
            </w:r>
          </w:p>
        </w:tc>
        <w:tc>
          <w:tcPr>
            <w:tcW w:w="180" w:type="dxa"/>
            <w:vAlign w:val="bottom"/>
          </w:tcPr>
          <w:p>
            <w:pPr>
              <w:spacing w:after="0"/>
              <w:rPr>
                <w:sz w:val="20"/>
                <w:szCs w:val="20"/>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September 30, 2018</w:t>
            </w: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12,635</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12,030</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21,754</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Gain on sale of facilities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(6,562)</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42,670</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nine months ended September 29,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2019 business realignment charges (1)</w:t>
            </w:r>
          </w:p>
        </w:tc>
        <w:tc>
          <w:tcPr>
            <w:tcW w:w="4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Liability balance at September 30, 2019 (reported within accrued liabilities)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180"/>
              <w:spacing w:after="0"/>
              <w:rPr>
                <w:sz w:val="20"/>
                <w:szCs w:val="20"/>
                <w:color w:val="auto"/>
              </w:rPr>
            </w:pPr>
            <w:r>
              <w:rPr>
                <w:rFonts w:ascii="Arial" w:cs="Arial" w:eastAsia="Arial" w:hAnsi="Arial"/>
                <w:sz w:val="18"/>
                <w:szCs w:val="18"/>
                <w:color w:val="auto"/>
                <w:w w:val="94"/>
              </w:rPr>
              <w:t>(1)  The costs reflected in the liability roll-forward represent employee-related and certain third-party service provider charges.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8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the next several months. To date, we have incurred pre-tax charges to execute the program totaling $344,763. This includes long-lived asset impairment charges of $208,712 related to the operations supporting our China business in 2017, as well as the $16,300 incremental impairment charge resulting from the sale of SGM. In addition to the impairment charges, we have incurred employee separation costs of $53,755 and other business realignment costs of $65,996. We expect the remaining spending on this program to be minimal in 2019. The cash portion of the total program charges is estimated to be $103,000. The Company reduced its global workforce by approximately 15% as a result of this program, with a majority of the reductions coming from hourly headcount positions outside of the United States.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4" w:name="page25"/>
    <w:bookmarkEnd w:id="2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and nine months ended September 29, 2019, we recognized total costs associated with the Margin for Growth Program of $1,606 and $8,468, respectively. For the three and nine months ended September 30, 2018, we recognized total costs associated with the Margin for Growth Program of $16,908 and $46,419, respectively. These charges include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w:t>
      </w:r>
    </w:p>
    <w:p>
      <w:pPr>
        <w:spacing w:after="0" w:line="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6"/>
          <w:szCs w:val="16"/>
          <w:i w:val="1"/>
          <w:iCs w:val="1"/>
          <w:color w:val="auto"/>
        </w:rPr>
        <w:t>Golden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Hershey </w:t>
      </w:r>
      <w:r>
        <w:rPr>
          <w:rFonts w:ascii="Arial" w:cs="Arial" w:eastAsia="Arial" w:hAnsi="Arial"/>
          <w:sz w:val="16"/>
          <w:szCs w:val="16"/>
          <w:color w:val="auto"/>
        </w:rPr>
        <w:t>platform, including the integration of the China sales force, as well as workforce planning efforts and the consolidation of production within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 China and North America. For the three and nine months ended September 30, 2018, we incurred pre-tax costs totaling $1,077 and $2,813, respectively, relating primarily to third-party charges in support of our initiative to optimize our production and supply chain network. In addition, we completed the sale of select China facilities that had been taken out of service in connection with the 2016 Operational Optimization Program. The sale resulted in a gain of $6,562 for the three and nine months ended September 30, 2018. This program was completed in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majority of our taxable income is generated in the U.S. and taxed at the U.S. statutory rate of 21%. The effective tax rates for the nine months ended September 29, 2019 and September 30, 2018 were 19.2% and 21.3%, respectively. Relative to the statutory rate, the 2019 effective tax rate was impacted by a change to foreign valuation allowances, the benefit of ASU 2016-09 for accounting of employee share-based payment, and investment tax credits, which were partially offset by state taxes.</w:t>
      </w:r>
    </w:p>
    <w:p>
      <w:pPr>
        <w:spacing w:after="0" w:line="133"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Hershey and its subsidiaries file tax returns in the U.S., including various state and local returns, and in other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$5,026 within the next 12 months because of the expiration of statutes of limitations and settlements of tax audits.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fourth quarter of 2017, we recorded a net provisional charge of $32.5 million, which included the estimated impact of the one-time mandatory tax on previously deferred earnings of non-U.S. subsidiaries offset in part by the benefit from revaluation of net deferred tax liabilities based on the new lower corporate income tax rate. During 2018, we recorded net benefits totaling $19.5 million as measurement period adjustments to the net provisional charge. The accounting for income tax effects of U.S. tax reform is complete based on additional tax regulations available as of December 31,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5" w:right="239" w:bottom="1440" w:gutter="0" w:footer="0" w:header="0"/>
        </w:sectPr>
      </w:pPr>
    </w:p>
    <w:bookmarkStart w:id="25" w:name="page26"/>
    <w:bookmarkEnd w:id="25"/>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September 29, 2019 and September 30,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1160"/>
              <w:spacing w:after="0"/>
              <w:rPr>
                <w:sz w:val="20"/>
                <w:szCs w:val="20"/>
                <w:color w:val="auto"/>
              </w:rPr>
            </w:pPr>
            <w:r>
              <w:rPr>
                <w:rFonts w:ascii="Arial" w:cs="Arial" w:eastAsia="Arial" w:hAnsi="Arial"/>
                <w:sz w:val="16"/>
                <w:szCs w:val="16"/>
                <w:b w:val="1"/>
                <w:bCs w:val="1"/>
                <w:color w:val="auto"/>
              </w:rPr>
              <w:t>Pension Benefits</w:t>
            </w:r>
          </w:p>
        </w:tc>
        <w:tc>
          <w:tcPr>
            <w:tcW w:w="240" w:type="dxa"/>
            <w:vAlign w:val="bottom"/>
          </w:tcPr>
          <w:p>
            <w:pPr>
              <w:spacing w:after="0"/>
              <w:rPr>
                <w:sz w:val="18"/>
                <w:szCs w:val="18"/>
                <w:color w:val="auto"/>
              </w:rPr>
            </w:pPr>
          </w:p>
        </w:tc>
        <w:tc>
          <w:tcPr>
            <w:tcW w:w="3600" w:type="dxa"/>
            <w:vAlign w:val="bottom"/>
            <w:gridSpan w:val="4"/>
          </w:tcPr>
          <w:p>
            <w:pPr>
              <w:jc w:val="right"/>
              <w:ind w:right="1331"/>
              <w:spacing w:after="0"/>
              <w:rPr>
                <w:sz w:val="20"/>
                <w:szCs w:val="20"/>
                <w:color w:val="auto"/>
              </w:rPr>
            </w:pPr>
            <w:r>
              <w:rPr>
                <w:rFonts w:ascii="Arial" w:cs="Arial" w:eastAsia="Arial" w:hAnsi="Arial"/>
                <w:sz w:val="16"/>
                <w:szCs w:val="16"/>
                <w:b w:val="1"/>
                <w:bCs w:val="1"/>
                <w:color w:val="auto"/>
              </w:rPr>
              <w:t>Other Benefits</w:t>
            </w:r>
          </w:p>
        </w:tc>
      </w:tr>
      <w:tr>
        <w:trPr>
          <w:trHeight w:val="33"/>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5"/>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0"/>
                <w:szCs w:val="20"/>
                <w:color w:val="auto"/>
              </w:rPr>
            </w:pPr>
          </w:p>
        </w:tc>
        <w:tc>
          <w:tcPr>
            <w:tcW w:w="360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0"/>
              </w:rPr>
              <w:t>September 30, 2018</w:t>
            </w:r>
          </w:p>
        </w:tc>
      </w:tr>
      <w:tr>
        <w:trPr>
          <w:trHeight w:val="33"/>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1,730</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1,995</w:t>
            </w: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made contributions of $901 and $4,039 to the pension plans and other benefits plans, respectively, during the third quarter of 2019. In the third quarter of 2018, we made contributions of $6,350 and $6,276 to our pension plans and other benefit plans, respectively. The contributions in 2019 and 2018 also included benefit payments from our non-qualified pension plans and post-retirement benefit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nine months ended September 29, 2019 and September 30,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1160"/>
              <w:spacing w:after="0"/>
              <w:rPr>
                <w:sz w:val="20"/>
                <w:szCs w:val="20"/>
                <w:color w:val="auto"/>
              </w:rPr>
            </w:pPr>
            <w:r>
              <w:rPr>
                <w:rFonts w:ascii="Arial" w:cs="Arial" w:eastAsia="Arial" w:hAnsi="Arial"/>
                <w:sz w:val="16"/>
                <w:szCs w:val="16"/>
                <w:b w:val="1"/>
                <w:bCs w:val="1"/>
                <w:color w:val="auto"/>
              </w:rPr>
              <w:t>Pension Benefits</w:t>
            </w:r>
          </w:p>
        </w:tc>
        <w:tc>
          <w:tcPr>
            <w:tcW w:w="240" w:type="dxa"/>
            <w:vAlign w:val="bottom"/>
          </w:tcPr>
          <w:p>
            <w:pPr>
              <w:spacing w:after="0"/>
              <w:rPr>
                <w:sz w:val="18"/>
                <w:szCs w:val="18"/>
                <w:color w:val="auto"/>
              </w:rPr>
            </w:pPr>
          </w:p>
        </w:tc>
        <w:tc>
          <w:tcPr>
            <w:tcW w:w="3600" w:type="dxa"/>
            <w:vAlign w:val="bottom"/>
            <w:gridSpan w:val="4"/>
          </w:tcPr>
          <w:p>
            <w:pPr>
              <w:jc w:val="right"/>
              <w:ind w:right="1331"/>
              <w:spacing w:after="0"/>
              <w:rPr>
                <w:sz w:val="20"/>
                <w:szCs w:val="20"/>
                <w:color w:val="auto"/>
              </w:rPr>
            </w:pPr>
            <w:r>
              <w:rPr>
                <w:rFonts w:ascii="Arial" w:cs="Arial" w:eastAsia="Arial" w:hAnsi="Arial"/>
                <w:sz w:val="16"/>
                <w:szCs w:val="16"/>
                <w:b w:val="1"/>
                <w:bCs w:val="1"/>
                <w:color w:val="auto"/>
              </w:rPr>
              <w:t>Other Benefits</w:t>
            </w:r>
          </w:p>
        </w:tc>
      </w:tr>
      <w:tr>
        <w:trPr>
          <w:trHeight w:val="33"/>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20"/>
                <w:szCs w:val="20"/>
                <w:color w:val="auto"/>
              </w:rPr>
            </w:pPr>
          </w:p>
        </w:tc>
        <w:tc>
          <w:tcPr>
            <w:tcW w:w="360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0"/>
              </w:rPr>
              <w:t>September 30, 2018</w:t>
            </w:r>
          </w:p>
        </w:tc>
      </w:tr>
      <w:tr>
        <w:trPr>
          <w:trHeight w:val="33"/>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27,459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23,153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5,194</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627</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27,256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5,993</w:t>
            </w: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made contributions of $2,071 and $11,788 to the pension plans and other benefits plans, respectively, during the first nine months of 2019. In the first nine months of 2018, we made contributions of $7,651 and $19,054 to our pension plans and other benefit plans, respectively. The contributions in 2019 and 2018 also included benefit payments from our non-qualified pension plans and post-retirement benefit plans.</w:t>
      </w:r>
    </w:p>
    <w:p>
      <w:pPr>
        <w:spacing w:after="0" w:line="18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During the third quarter of 2019, we recognized pension settlement charges in our hourly retirement plan due to lump sum withdrawals by employees retiring or leaving the Company as a result of the Margin for Growth Program.</w:t>
      </w:r>
    </w:p>
    <w:p>
      <w:pPr>
        <w:spacing w:after="0" w:line="1" w:lineRule="exact"/>
        <w:rPr>
          <w:sz w:val="20"/>
          <w:szCs w:val="20"/>
          <w:color w:val="auto"/>
        </w:rPr>
      </w:pPr>
    </w:p>
    <w:p>
      <w:pPr>
        <w:ind w:right="2940"/>
        <w:spacing w:after="0" w:line="281" w:lineRule="auto"/>
        <w:rPr>
          <w:sz w:val="20"/>
          <w:szCs w:val="20"/>
          <w:color w:val="auto"/>
        </w:rPr>
      </w:pPr>
      <w:r>
        <w:rPr>
          <w:rFonts w:ascii="Arial" w:cs="Arial" w:eastAsia="Arial" w:hAnsi="Arial"/>
          <w:sz w:val="16"/>
          <w:szCs w:val="16"/>
          <w:color w:val="auto"/>
        </w:rPr>
        <w:t>During the third quarter of 2018, we recognized pension settlement charges in our hourly retirement plan due to lump sum withdrawals by employees retiring or leaving the Company as a result of the Operational Optimization Program</w:t>
      </w:r>
    </w:p>
    <w:p>
      <w:pPr>
        <w:spacing w:after="0" w:line="1"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and due to lump sum distributions in our supplemental executive retirement plan. In each case, the non-cash settlement charges, which represent the acceleration of a portion of the respective plan’s accumulated unrecognized actuarial loss, were triggered when the cumulative lump sum distributions exceeded the plan's anticipated annual service and interest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5" w:right="259" w:bottom="1440" w:gutter="0" w:footer="0" w:header="0"/>
        </w:sectPr>
      </w:pPr>
    </w:p>
    <w:bookmarkStart w:id="26" w:name="page27"/>
    <w:bookmarkEnd w:id="2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jc w:val="both"/>
        <w:ind w:right="1000"/>
        <w:spacing w:after="0" w:line="381" w:lineRule="auto"/>
        <w:rPr>
          <w:sz w:val="20"/>
          <w:szCs w:val="20"/>
          <w:color w:val="auto"/>
        </w:rPr>
      </w:pPr>
      <w:r>
        <w:rPr>
          <w:rFonts w:ascii="Arial" w:cs="Arial" w:eastAsia="Arial" w:hAnsi="Arial"/>
          <w:sz w:val="15"/>
          <w:szCs w:val="15"/>
          <w:color w:val="auto"/>
        </w:rPr>
        <w:t>costs. In connection with the third quarter 2019 settlements, the related plan assets and liabilities were remeasured using a discount rate as of the remeasurement date that was 111 basis points lower than the rate as of December 31, 2018 and an expected rate of return on plan assets of 6.0%.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2018 Annual Report on Form 10-K.</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5"/>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820" w:type="dxa"/>
            <w:vAlign w:val="bottom"/>
            <w:gridSpan w:val="4"/>
          </w:tcPr>
          <w:p>
            <w:pPr>
              <w:jc w:val="right"/>
              <w:ind w:right="117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2019</w:t>
            </w:r>
          </w:p>
        </w:tc>
        <w:tc>
          <w:tcPr>
            <w:tcW w:w="200" w:type="dxa"/>
            <w:vAlign w:val="bottom"/>
          </w:tcPr>
          <w:p>
            <w:pPr>
              <w:spacing w:after="0"/>
              <w:rPr>
                <w:sz w:val="20"/>
                <w:szCs w:val="20"/>
                <w:color w:val="auto"/>
              </w:rPr>
            </w:pPr>
          </w:p>
        </w:tc>
        <w:tc>
          <w:tcPr>
            <w:tcW w:w="176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September 30, 2018</w:t>
            </w: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35,668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7,776</w:t>
            </w:r>
          </w:p>
        </w:tc>
      </w:tr>
    </w:tbl>
    <w:p>
      <w:pPr>
        <w:spacing w:after="0" w:line="3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September 29, 2019, total stock-based compensation cost related to non-vested awards not yet recognized was $72,334 and the weighted-average period over which this amount is expected to be recognized was approximately 2.1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September 29, 2019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5,394,382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1,640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$109.74</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(2,774,973)</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(67,876)</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$101.58</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29, 2019</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2,553,173</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142,704</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September 29, 2019</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1,492,037</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$95.65</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4.7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86,731</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weighted-average fair value of options granted was $15.25 and $15.57 per share for the periods ended September 29, 2019 and September 30, 2018, respectively. The fair value was estimated on the date of grant using a Black-Scholes option-pricing model and the following weighted-average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4340" w:type="dxa"/>
            <w:vAlign w:val="bottom"/>
            <w:gridSpan w:val="3"/>
          </w:tcPr>
          <w:p>
            <w:pPr>
              <w:jc w:val="right"/>
              <w:ind w:right="13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080" w:type="dxa"/>
            <w:vAlign w:val="bottom"/>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220" w:type="dxa"/>
            <w:vAlign w:val="bottom"/>
            <w:gridSpan w:val="2"/>
          </w:tcPr>
          <w:p>
            <w:pPr>
              <w:ind w:left="380"/>
              <w:spacing w:after="0"/>
              <w:rPr>
                <w:sz w:val="20"/>
                <w:szCs w:val="20"/>
                <w:color w:val="auto"/>
              </w:rPr>
            </w:pPr>
            <w:r>
              <w:rPr>
                <w:rFonts w:ascii="Arial" w:cs="Arial" w:eastAsia="Arial" w:hAnsi="Arial"/>
                <w:sz w:val="16"/>
                <w:szCs w:val="16"/>
                <w:b w:val="1"/>
                <w:bCs w:val="1"/>
                <w:color w:val="auto"/>
              </w:rPr>
              <w:t>September 29, 2019</w:t>
            </w:r>
          </w:p>
        </w:tc>
        <w:tc>
          <w:tcPr>
            <w:tcW w:w="2120" w:type="dxa"/>
            <w:vAlign w:val="bottom"/>
          </w:tcPr>
          <w:p>
            <w:pPr>
              <w:jc w:val="right"/>
              <w:ind w:right="292"/>
              <w:spacing w:after="0"/>
              <w:rPr>
                <w:sz w:val="20"/>
                <w:szCs w:val="20"/>
                <w:color w:val="auto"/>
              </w:rPr>
            </w:pPr>
            <w:r>
              <w:rPr>
                <w:rFonts w:ascii="Arial" w:cs="Arial" w:eastAsia="Arial" w:hAnsi="Arial"/>
                <w:sz w:val="16"/>
                <w:szCs w:val="16"/>
                <w:b w:val="1"/>
                <w:bCs w:val="1"/>
                <w:color w:val="auto"/>
              </w:rPr>
              <w:t>September 30, 2018</w:t>
            </w:r>
          </w:p>
        </w:tc>
      </w:tr>
      <w:tr>
        <w:trPr>
          <w:trHeight w:val="33"/>
        </w:trPr>
        <w:tc>
          <w:tcPr>
            <w:tcW w:w="70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1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12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120" w:type="dxa"/>
            <w:vAlign w:val="bottom"/>
          </w:tcPr>
          <w:p>
            <w:pPr>
              <w:jc w:val="right"/>
              <w:ind w:right="92"/>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was $110,304 and $26,006 for the periods ended September 29, 2019 and September 30, 2018,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5" w:right="239" w:bottom="1440" w:gutter="0" w:footer="0" w:header="0"/>
        </w:sectPr>
      </w:pPr>
    </w:p>
    <w:bookmarkStart w:id="27" w:name="page28"/>
    <w:bookmarkEnd w:id="2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September 29,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999,018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478,145</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182,774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(428,229)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(74,453)</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September 29, 2019</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1,157,255</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73025</wp:posOffset>
            </wp:positionV>
            <wp:extent cx="2881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8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29, 2019</w:t>
            </w:r>
          </w:p>
        </w:tc>
        <w:tc>
          <w:tcPr>
            <w:tcW w:w="280" w:type="dxa"/>
            <w:vAlign w:val="bottom"/>
          </w:tcPr>
          <w:p>
            <w:pPr>
              <w:spacing w:after="0"/>
              <w:rPr>
                <w:sz w:val="20"/>
                <w:szCs w:val="20"/>
                <w:color w:val="auto"/>
              </w:rPr>
            </w:pPr>
          </w:p>
        </w:tc>
        <w:tc>
          <w:tcPr>
            <w:tcW w:w="1940" w:type="dxa"/>
            <w:vAlign w:val="bottom"/>
          </w:tcPr>
          <w:p>
            <w:pPr>
              <w:jc w:val="right"/>
              <w:ind w:right="351"/>
              <w:spacing w:after="0"/>
              <w:rPr>
                <w:sz w:val="20"/>
                <w:szCs w:val="20"/>
                <w:color w:val="auto"/>
              </w:rPr>
            </w:pPr>
            <w:r>
              <w:rPr>
                <w:rFonts w:ascii="Arial" w:cs="Arial" w:eastAsia="Arial" w:hAnsi="Arial"/>
                <w:sz w:val="16"/>
                <w:szCs w:val="16"/>
                <w:b w:val="1"/>
                <w:bCs w:val="1"/>
                <w:color w:val="auto"/>
                <w:w w:val="99"/>
              </w:rPr>
              <w:t>September 30, 2018</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478,145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435,096</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vMerge w:val="restart"/>
          </w:tcPr>
          <w:p>
            <w:pPr>
              <w:jc w:val="right"/>
              <w:ind w:right="93"/>
              <w:spacing w:after="0"/>
              <w:rPr>
                <w:sz w:val="20"/>
                <w:szCs w:val="20"/>
                <w:color w:val="auto"/>
              </w:rPr>
            </w:pPr>
            <w:r>
              <w:rPr>
                <w:rFonts w:ascii="Arial" w:cs="Arial" w:eastAsia="Arial" w:hAnsi="Arial"/>
                <w:sz w:val="18"/>
                <w:szCs w:val="18"/>
                <w:color w:val="auto"/>
              </w:rPr>
              <w:t>115.29</w:t>
            </w:r>
          </w:p>
        </w:tc>
        <w:tc>
          <w:tcPr>
            <w:tcW w:w="120" w:type="dxa"/>
            <w:vAlign w:val="bottom"/>
          </w:tcPr>
          <w:p>
            <w:pPr>
              <w:spacing w:after="0"/>
              <w:rPr>
                <w:sz w:val="21"/>
                <w:szCs w:val="21"/>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vMerge w:val="restart"/>
          </w:tcPr>
          <w:p>
            <w:pPr>
              <w:jc w:val="right"/>
              <w:ind w:right="111"/>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81"/>
        </w:trPr>
        <w:tc>
          <w:tcPr>
            <w:tcW w:w="67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8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$48,355 and $22,093 for the periods ended September 29, 2019 and September 30, 2018, respectively.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337,224 units as of September 29, 2019.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8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20" w:hanging="328"/>
        <w:spacing w:after="0" w:line="314"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5" w:right="259" w:bottom="1440" w:gutter="0" w:footer="0" w:header="0"/>
        </w:sectPr>
      </w:pPr>
    </w:p>
    <w:bookmarkStart w:id="28" w:name="page29"/>
    <w:bookmarkEnd w:id="2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25" w:lineRule="exact"/>
        <w:rPr>
          <w:sz w:val="20"/>
          <w:szCs w:val="20"/>
          <w:color w:val="auto"/>
        </w:rPr>
      </w:pPr>
    </w:p>
    <w:p>
      <w:pPr>
        <w:ind w:left="660" w:right="140"/>
        <w:spacing w:after="0" w:line="336" w:lineRule="auto"/>
        <w:rPr>
          <w:sz w:val="20"/>
          <w:szCs w:val="20"/>
          <w:color w:val="auto"/>
        </w:rPr>
      </w:pPr>
      <w:r>
        <w:rPr>
          <w:rFonts w:ascii="Arial" w:cs="Arial" w:eastAsia="Arial" w:hAnsi="Arial"/>
          <w:sz w:val="17"/>
          <w:szCs w:val="17"/>
          <w:color w:val="auto"/>
        </w:rPr>
        <w:t>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8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right"/>
              <w:ind w:right="87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86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2019</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29, 2019</w:t>
            </w:r>
          </w:p>
        </w:tc>
        <w:tc>
          <w:tcPr>
            <w:tcW w:w="1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September 30, 2018</w:t>
            </w:r>
          </w:p>
        </w:tc>
      </w:tr>
      <w:tr>
        <w:trPr>
          <w:trHeight w:val="33"/>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1,894,033</w:t>
            </w:r>
          </w:p>
        </w:tc>
        <w:tc>
          <w:tcPr>
            <w:tcW w:w="120" w:type="dxa"/>
            <w:vAlign w:val="bottom"/>
          </w:tcPr>
          <w:p>
            <w:pPr>
              <w:spacing w:after="0"/>
              <w:rPr>
                <w:sz w:val="21"/>
                <w:szCs w:val="21"/>
                <w:color w:val="auto"/>
              </w:rPr>
            </w:pPr>
          </w:p>
        </w:tc>
        <w:tc>
          <w:tcPr>
            <w:tcW w:w="680" w:type="dxa"/>
            <w:vAlign w:val="bottom"/>
          </w:tcPr>
          <w:p>
            <w:pPr>
              <w:jc w:val="right"/>
              <w:ind w:right="4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1,843,511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5,269,031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5,155,151</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240,389</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649,096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648,016</w:t>
            </w: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2,134,422</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2,079,593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5,918,127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5,803,167</w:t>
            </w:r>
          </w:p>
        </w:tc>
      </w:tr>
      <w:tr>
        <w:trPr>
          <w:trHeight w:val="311"/>
        </w:trPr>
        <w:tc>
          <w:tcPr>
            <w:tcW w:w="4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570,388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1,606,047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1,534,345</w:t>
            </w: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39,444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31,072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81,631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65,379</w:t>
            </w: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609,832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1,687,678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1,599,724</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132,828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370,211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361,447</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 commodity</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(69,464)</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Long-lived asset impairment charges (see Note 6)</w:t>
            </w:r>
          </w:p>
        </w:tc>
        <w:tc>
          <w:tcPr>
            <w:tcW w:w="4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28,817</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Costs associated with business realignment activities (see Note</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42,670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7,951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36,413</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460,815</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406,263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1,309,754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1,202,499</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101,207</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36,601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35,201</w:t>
            </w: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407,360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356,854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1,166,463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1,066,091</w:t>
            </w:r>
          </w:p>
        </w:tc>
      </w:tr>
      <w:tr>
        <w:trPr>
          <w:trHeight w:val="20"/>
        </w:trPr>
        <w:tc>
          <w:tcPr>
            <w:tcW w:w="4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left="340" w:right="32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3"/>
          </w:tcPr>
          <w:p>
            <w:pPr>
              <w:jc w:val="right"/>
              <w:ind w:right="654"/>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6"/>
                <w:szCs w:val="16"/>
                <w:b w:val="1"/>
                <w:bCs w:val="1"/>
                <w:color w:val="auto"/>
                <w:w w:val="91"/>
              </w:rPr>
              <w:t>September 29,</w:t>
            </w:r>
          </w:p>
        </w:tc>
        <w:tc>
          <w:tcPr>
            <w:tcW w:w="2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September 29,</w:t>
            </w:r>
          </w:p>
        </w:tc>
        <w:tc>
          <w:tcPr>
            <w:tcW w:w="220" w:type="dxa"/>
            <w:vAlign w:val="bottom"/>
          </w:tcPr>
          <w:p>
            <w:pPr>
              <w:spacing w:after="0"/>
              <w:rPr>
                <w:sz w:val="18"/>
                <w:szCs w:val="18"/>
                <w:color w:val="auto"/>
              </w:rPr>
            </w:pPr>
          </w:p>
        </w:tc>
        <w:tc>
          <w:tcPr>
            <w:tcW w:w="1220" w:type="dxa"/>
            <w:vAlign w:val="bottom"/>
          </w:tcPr>
          <w:p>
            <w:pPr>
              <w:jc w:val="right"/>
              <w:ind w:right="114"/>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losses (gains) on mark-to-market valuation of commodity derivative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positions recognized in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w w:val="99"/>
              </w:rPr>
              <w:t>Net gains (losses) on commodity derivative positions reclassified from</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unallocated to segment income</w:t>
            </w:r>
          </w:p>
        </w:tc>
        <w:tc>
          <w:tcPr>
            <w:tcW w:w="16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3,095</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(73,779)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losses (gains) on mark-to-market valuation of commodity derivative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12,138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47,617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positions recognized in unallocated derivative (gains) losses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September 29, 2019, the cumulative amount of mark-to-market gains on commodity derivatives that have been recognized in our consolidated cost of sales and not yet allocated to reportable segments was $53,765. Based on our forecasts of the timing of the recognition of the underlying hedged items, we expect to reclassify net pretax gains on commodity derivatives of $25,283 to segment operating results in the next twelve months.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ind w:left="1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94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2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29, 2019</w:t>
            </w: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29, 2019</w:t>
            </w:r>
          </w:p>
        </w:tc>
        <w:tc>
          <w:tcPr>
            <w:tcW w:w="240" w:type="dxa"/>
            <w:vAlign w:val="bottom"/>
          </w:tcPr>
          <w:p>
            <w:pPr>
              <w:spacing w:after="0"/>
              <w:rPr>
                <w:sz w:val="20"/>
                <w:szCs w:val="20"/>
                <w:color w:val="auto"/>
              </w:rPr>
            </w:pPr>
          </w:p>
        </w:tc>
        <w:tc>
          <w:tcPr>
            <w:tcW w:w="180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September 30, 2018</w:t>
            </w:r>
          </w:p>
        </w:tc>
      </w:tr>
      <w:tr>
        <w:trPr>
          <w:trHeight w:val="33"/>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152,237</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21,866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28,090</w:t>
            </w: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(1)</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45,476</w:t>
            </w:r>
          </w:p>
        </w:tc>
      </w:tr>
      <w:tr>
        <w:trPr>
          <w:trHeight w:val="257"/>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74,495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74,807</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218,841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225,803</w:t>
            </w:r>
          </w:p>
        </w:tc>
      </w:tr>
      <w:tr>
        <w:trPr>
          <w:trHeight w:val="20"/>
        </w:trPr>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9.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3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Nine Months Ended September 29, 2019</w:t>
            </w:r>
          </w:p>
        </w:tc>
      </w:tr>
      <w:tr>
        <w:trPr>
          <w:trHeight w:val="33"/>
        </w:trPr>
        <w:tc>
          <w:tcPr>
            <w:tcW w:w="686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260" w:type="dxa"/>
            <w:vAlign w:val="bottom"/>
            <w:gridSpan w:val="2"/>
          </w:tcPr>
          <w:p>
            <w:pPr>
              <w:ind w:left="84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Shares repurchased in the open market under pre-approved share repurchase programs</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2,144,638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295,870</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3,530,831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445,870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(3,022,128)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(125,751)</w:t>
            </w:r>
          </w:p>
        </w:tc>
      </w:tr>
      <w:tr>
        <w:trPr>
          <w:trHeight w:val="27"/>
        </w:trPr>
        <w:tc>
          <w:tcPr>
            <w:tcW w:w="68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2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508,703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320,119</w:t>
            </w:r>
          </w:p>
        </w:tc>
      </w:tr>
      <w:tr>
        <w:trPr>
          <w:trHeight w:val="20"/>
        </w:trPr>
        <w:tc>
          <w:tcPr>
            <w:tcW w:w="6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$100,000 share repurchase program approved by our Board of Directors in October 2017 was completed in the first quarter of 2019. In July 2018, our Board of Directors approved an additional $500,000 share repurchase authorization, to commence after the existing 2017 authorization was completed. As of September 29, 2019, $410,000</w:t>
      </w: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15" w:right="259" w:bottom="1440" w:gutter="0" w:footer="0" w:header="0"/>
          <w:type w:val="continuous"/>
        </w:sectPr>
      </w:pPr>
    </w:p>
    <w:bookmarkStart w:id="30" w:name="page31"/>
    <w:bookmarkEnd w:id="3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joint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2019 activity relating to the noncontrolling interest follows: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September 29, 2019</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8,429</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5" w:right="239" w:bottom="1440" w:gutter="0" w:footer="0" w:header="0"/>
        </w:sectPr>
      </w:pPr>
    </w:p>
    <w:bookmarkStart w:id="31" w:name="page32"/>
    <w:bookmarkEnd w:id="3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Class B Common</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39,767</w:t>
            </w:r>
          </w:p>
        </w:tc>
        <w:tc>
          <w:tcPr>
            <w:tcW w:w="0" w:type="dxa"/>
            <w:vAlign w:val="bottom"/>
          </w:tcPr>
          <w:p>
            <w:pPr>
              <w:spacing w:after="0"/>
              <w:rPr>
                <w:sz w:val="1"/>
                <w:szCs w:val="1"/>
                <w:color w:val="auto"/>
              </w:rPr>
            </w:pPr>
          </w:p>
        </w:tc>
      </w:tr>
      <w:tr>
        <w:trPr>
          <w:trHeight w:val="237"/>
        </w:trPr>
        <w:tc>
          <w:tcPr>
            <w:tcW w:w="6540" w:type="dxa"/>
            <w:vAlign w:val="bottom"/>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122,424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45,156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85,019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31,395</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237,600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87,707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192,551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71,162</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149,239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149,155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237,600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87,707</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192,551</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71,162</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Reallocation of total earnings as a result of conversion of Class B common stock to Common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87,707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325,307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87,387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263,713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71,023</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149,239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149,155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211,312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210,681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antidilutive stock options for the three months ended September 29, 2019. The earnings per share calculations for the three months ended September 30, 2018 excluded 4,084 stock options (in thousands) that would have been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5" w:right="239" w:bottom="1440" w:gutter="0" w:footer="0" w:header="0"/>
        </w:sectPr>
      </w:pPr>
    </w:p>
    <w:bookmarkStart w:id="32" w:name="page33"/>
    <w:bookmarkEnd w:id="3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Class B Common</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112,026</w:t>
            </w:r>
          </w:p>
        </w:tc>
        <w:tc>
          <w:tcPr>
            <w:tcW w:w="0" w:type="dxa"/>
            <w:vAlign w:val="bottom"/>
          </w:tcPr>
          <w:p>
            <w:pPr>
              <w:spacing w:after="0"/>
              <w:rPr>
                <w:sz w:val="1"/>
                <w:szCs w:val="1"/>
                <w:color w:val="auto"/>
              </w:rPr>
            </w:pPr>
          </w:p>
        </w:tc>
      </w:tr>
      <w:tr>
        <w:trPr>
          <w:trHeight w:val="237"/>
        </w:trPr>
        <w:tc>
          <w:tcPr>
            <w:tcW w:w="6540" w:type="dxa"/>
            <w:vAlign w:val="bottom"/>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357,259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132,036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310,942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114,651</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688,393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254,112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614,094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226,677</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148,989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149,371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688,393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254,112</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614,094</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226,677</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Reallocation of total earnings as a result of conversion of Class B common stock to Common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254,112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226,677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942,505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253,331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840,771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226,130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148,989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149,371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210,970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earnings per share calculations for the nine months ended September 29, 2019 and September 30, 2018 excluded 1,476 and 4,196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5" w:right="239" w:bottom="1440" w:gutter="0" w:footer="0" w:header="0"/>
        </w:sectPr>
      </w:pPr>
    </w:p>
    <w:bookmarkStart w:id="33" w:name="page34"/>
    <w:bookmarkEnd w:id="3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29, 2019</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29,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Write-down of equity investments in partnerships qualifying for tax</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credits</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Non-service cost components of net periodic benefit cost relating to</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 plans</w:t>
            </w:r>
          </w:p>
        </w:tc>
        <w:tc>
          <w:tcPr>
            <w:tcW w:w="4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9,154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17,827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6,647</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36,601</w:t>
            </w:r>
          </w:p>
        </w:tc>
        <w:tc>
          <w:tcPr>
            <w:tcW w:w="1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35,201</w:t>
            </w: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5" w:right="239" w:bottom="1440" w:gutter="0" w:footer="0" w:header="0"/>
        </w:sectPr>
      </w:pPr>
    </w:p>
    <w:bookmarkStart w:id="34" w:name="page35"/>
    <w:bookmarkEnd w:id="3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29, 2019</w:t>
            </w:r>
          </w:p>
        </w:tc>
        <w:tc>
          <w:tcPr>
            <w:tcW w:w="34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280,865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237,086</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107,139</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738,798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618,798</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3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1,140,998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963,023</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(171,927)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(178,144)</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969,071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784,879</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6"/>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62,964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68,490</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167,827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180,248</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272,159</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6"/>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Land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104,266</w:t>
            </w:r>
          </w:p>
        </w:tc>
        <w:tc>
          <w:tcPr>
            <w:tcW w:w="100" w:type="dxa"/>
            <w:vAlign w:val="bottom"/>
          </w:tcPr>
          <w:p>
            <w:pPr>
              <w:spacing w:after="0"/>
              <w:rPr>
                <w:sz w:val="20"/>
                <w:szCs w:val="20"/>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102,074</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1,256,046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1,211,011</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3,094,087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2,988,027</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197,899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280,559</w:t>
            </w:r>
          </w:p>
        </w:tc>
      </w:tr>
      <w:tr>
        <w:trPr>
          <w:trHeight w:val="217"/>
        </w:trPr>
        <w:tc>
          <w:tcPr>
            <w:tcW w:w="676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3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4,652,298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4,581,671</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(2,552,313)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(2,451,377)</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2,099,985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2,130,294</w:t>
            </w:r>
          </w:p>
        </w:tc>
      </w:tr>
      <w:tr>
        <w:trPr>
          <w:trHeight w:val="176"/>
        </w:trPr>
        <w:tc>
          <w:tcPr>
            <w:tcW w:w="6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126,379</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Operating lease ROU assets</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225,959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126,605</w:t>
            </w:r>
          </w:p>
        </w:tc>
      </w:tr>
      <w:tr>
        <w:trPr>
          <w:trHeight w:val="28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524,323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252,984</w:t>
            </w:r>
          </w:p>
        </w:tc>
      </w:tr>
      <w:tr>
        <w:trPr>
          <w:trHeight w:val="176"/>
        </w:trPr>
        <w:tc>
          <w:tcPr>
            <w:tcW w:w="6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Payroll, compensation and benefits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180,546</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321,826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286,028</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Liabilities held for sale</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196,497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211,993</w:t>
            </w:r>
          </w:p>
        </w:tc>
      </w:tr>
      <w:tr>
        <w:trPr>
          <w:trHeight w:val="284"/>
        </w:trPr>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726,344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679,163</w:t>
            </w:r>
          </w:p>
        </w:tc>
      </w:tr>
      <w:tr>
        <w:trPr>
          <w:trHeight w:val="176"/>
        </w:trPr>
        <w:tc>
          <w:tcPr>
            <w:tcW w:w="6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195,166</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61,702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66,379</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187,467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184,503</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627,842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446,048</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6"/>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(93,258)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(96,678)</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(205,230)</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Cash flow hedges, net of tax</w:t>
            </w: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(51,849)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(54,872)</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(356,780)</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6" w:right="359" w:bottom="217"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00"/>
          </w:cols>
          <w:pgMar w:left="240" w:top="116" w:right="359" w:bottom="217" w:gutter="0" w:footer="0" w:header="0"/>
          <w:type w:val="continuous"/>
        </w:sectPr>
      </w:pPr>
    </w:p>
    <w:bookmarkStart w:id="35" w:name="page36"/>
    <w:bookmarkEnd w:id="35"/>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2018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90 countries worldwide.</w:t>
      </w:r>
    </w:p>
    <w:p>
      <w:pPr>
        <w:spacing w:after="0" w:line="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71"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 xml:space="preserve">In September 2019, we completed the acquisition of ONE Brands, LLC ("ONE Brands"), previously a privately held company that sells proprietary nutritional supplement products to retailers and distributors in the United States, with the </w:t>
      </w:r>
      <w:r>
        <w:rPr>
          <w:rFonts w:ascii="Arial" w:cs="Arial" w:eastAsia="Arial" w:hAnsi="Arial"/>
          <w:sz w:val="16"/>
          <w:szCs w:val="16"/>
          <w:i w:val="1"/>
          <w:iCs w:val="1"/>
          <w:color w:val="auto"/>
        </w:rPr>
        <w:t>ONE Bar</w:t>
      </w:r>
      <w:r>
        <w:rPr>
          <w:rFonts w:ascii="Arial" w:cs="Arial" w:eastAsia="Arial" w:hAnsi="Arial"/>
          <w:sz w:val="16"/>
          <w:szCs w:val="16"/>
          <w:color w:val="auto"/>
        </w:rPr>
        <w:t xml:space="preserve"> as its primary product. ONE Brands is expected to generate annualized net sales of approximately $100 million and complements our existing snacking businesses acquired in 2018.</w:t>
      </w:r>
    </w:p>
    <w:p>
      <w:pPr>
        <w:spacing w:after="0" w:line="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23"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35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Pr>
          <w:p>
            <w:pPr>
              <w:spacing w:after="0"/>
              <w:rPr>
                <w:sz w:val="22"/>
                <w:szCs w:val="22"/>
                <w:color w:val="auto"/>
              </w:rPr>
            </w:pPr>
          </w:p>
        </w:tc>
        <w:tc>
          <w:tcPr>
            <w:tcW w:w="940" w:type="dxa"/>
            <w:vAlign w:val="bottom"/>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5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4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2,134.4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2,079.6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5,918.1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5,803.2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1,191.1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w w:val="93"/>
              </w:rPr>
              <w:t>1,216.1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3,207.6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97"/>
              </w:rPr>
              <w:t>3,172.2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863.5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2,710.5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2,631.0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7"/>
        </w:trPr>
        <w:tc>
          <w:tcPr>
            <w:tcW w:w="3580" w:type="dxa"/>
            <w:vAlign w:val="bottom"/>
          </w:tcPr>
          <w:p>
            <w:pPr>
              <w:ind w:left="200"/>
              <w:spacing w:after="0"/>
              <w:rPr>
                <w:sz w:val="20"/>
                <w:szCs w:val="20"/>
                <w:color w:val="auto"/>
              </w:rPr>
            </w:pPr>
            <w:r>
              <w:rPr>
                <w:rFonts w:ascii="Arial" w:cs="Arial" w:eastAsia="Arial" w:hAnsi="Arial"/>
                <w:sz w:val="16"/>
                <w:szCs w:val="16"/>
                <w:i w:val="1"/>
                <w:iCs w:val="1"/>
                <w:color w:val="auto"/>
              </w:rPr>
              <w:t>Gross Margin</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44.2%</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41.5%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45.8%</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481.4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1,388.7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1,388.8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1"/>
        </w:trPr>
        <w:tc>
          <w:tcPr>
            <w:tcW w:w="3580" w:type="dxa"/>
            <w:vAlign w:val="bottom"/>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22.6%</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21.8%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NM</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Business Realignment Costs</w:t>
            </w: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1,309.8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7"/>
              </w:rPr>
              <w:t>1,202.5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37"/>
        </w:trPr>
        <w:tc>
          <w:tcPr>
            <w:tcW w:w="3580" w:type="dxa"/>
            <w:vAlign w:val="bottom"/>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21.6%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19.5%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22.1%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20.7%</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44.1 %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35.2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580" w:type="dxa"/>
            <w:vAlign w:val="bottom"/>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20.2%</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19.2%</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21.3%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839.5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20"/>
        </w:trPr>
        <w:tc>
          <w:tcPr>
            <w:tcW w:w="3580" w:type="dxa"/>
            <w:vAlign w:val="bottom"/>
          </w:tcPr>
          <w:p>
            <w:pPr>
              <w:ind w:left="40"/>
              <w:spacing w:after="0"/>
              <w:rPr>
                <w:sz w:val="20"/>
                <w:szCs w:val="20"/>
                <w:color w:val="auto"/>
              </w:rPr>
            </w:pPr>
            <w:r>
              <w:rPr>
                <w:rFonts w:ascii="Arial" w:cs="Arial" w:eastAsia="Arial" w:hAnsi="Arial"/>
                <w:sz w:val="16"/>
                <w:szCs w:val="16"/>
                <w:color w:val="auto"/>
              </w:rPr>
              <w:t>Less: Net (Loss) Income Attributable to</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260"/>
              <w:spacing w:after="0"/>
              <w:rPr>
                <w:sz w:val="20"/>
                <w:szCs w:val="20"/>
                <w:color w:val="auto"/>
              </w:rPr>
            </w:pPr>
            <w:r>
              <w:rPr>
                <w:rFonts w:ascii="Arial" w:cs="Arial" w:eastAsia="Arial" w:hAnsi="Arial"/>
                <w:sz w:val="16"/>
                <w:szCs w:val="16"/>
                <w:color w:val="auto"/>
              </w:rPr>
              <w:t>Noncontrolling Interest</w:t>
            </w:r>
          </w:p>
        </w:tc>
        <w:tc>
          <w:tcPr>
            <w:tcW w:w="4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shd w:val="clear" w:color="auto" w:fill="CCEEFF"/>
              </w:rPr>
              <w:t>Net Income Attributable to The Hershey Company</w:t>
            </w:r>
          </w:p>
        </w:tc>
        <w:tc>
          <w:tcPr>
            <w:tcW w:w="4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942.5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840.8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80" w:type="dxa"/>
            <w:vAlign w:val="bottom"/>
          </w:tcPr>
          <w:p>
            <w:pPr>
              <w:ind w:left="40"/>
              <w:spacing w:after="0"/>
              <w:rPr>
                <w:sz w:val="20"/>
                <w:szCs w:val="20"/>
                <w:color w:val="auto"/>
              </w:rPr>
            </w:pPr>
            <w:r>
              <w:rPr>
                <w:rFonts w:ascii="Arial" w:cs="Arial" w:eastAsia="Arial" w:hAnsi="Arial"/>
                <w:sz w:val="16"/>
                <w:szCs w:val="16"/>
                <w:color w:val="auto"/>
              </w:rPr>
              <w:t>Net Income Per Share—Diluted</w:t>
            </w: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1"/>
                <w:szCs w:val="21"/>
                <w:color w:val="auto"/>
              </w:rPr>
            </w:pPr>
          </w:p>
        </w:tc>
        <w:tc>
          <w:tcPr>
            <w:tcW w:w="6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23.2 %</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2019 vs. Third Quarter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increased 2.6% in the third quarter of 2019 compared to the same period of 2018, reflecting a favorable price realization of 1.1% due to higher prices on certain products, a benefit from net acquisitions and divestitures of 1.2% and a volume increase of 0.5%, partially offset by an unfavorable impact from foreign currency exchange rates of 0.2%. Excluding foreign currency, our third quarter 2019 net sales increased 2.8%. Consolidated volumes increased due to solid marketplace growth in select international markets.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the third quarter of 2019, our total U.S. retail takeaway, including Amplify, increased 1.5% in the expanded multi-outlet combined plus convenience store channels (IRI MULO + C-Stores), which includes candy, mint, gum, salty snacks, snack bars, meat snacks and grocery items. Our U.S. candy, mint and gum ("CMG") consumer takeaway increased 2.2%, resulting in a CMG market share gain of approximately 17 basis points.</w:t>
      </w:r>
    </w:p>
    <w:p>
      <w:pPr>
        <w:spacing w:after="0" w:line="1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sectPr>
      </w:pPr>
    </w:p>
    <w:bookmarkStart w:id="37" w:name="page38"/>
    <w:bookmarkEnd w:id="37"/>
    <w:p>
      <w:pPr>
        <w:ind w:right="60"/>
        <w:spacing w:after="0" w:line="277" w:lineRule="auto"/>
        <w:rPr>
          <w:sz w:val="20"/>
          <w:szCs w:val="20"/>
          <w:color w:val="auto"/>
        </w:rPr>
      </w:pPr>
      <w:r>
        <w:rPr>
          <w:rFonts w:ascii="Arial" w:cs="Arial" w:eastAsia="Arial" w:hAnsi="Arial"/>
          <w:sz w:val="18"/>
          <w:szCs w:val="18"/>
          <w:color w:val="auto"/>
        </w:rPr>
        <w:t>Incorporated ("IRI"), the Company's market insights and analytics provider, and provide a means to assess our retail takeaway and market position relative to the overall category.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Cost of sales decreased 2.1% in the third quarter of 2019 compared to the same period of 2018. The decrease was driven by an incremental $62.0 million favorable impact from mark-to-market adjustments on our commodity derivative instruments intended to economically hedge future years' commodity purchases, as well as favorable supply chain productivity. These drivers were partially offset by higher freight and logistics costs and higher plant costs.</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margin increased by 270 basis points in the third quarter of 2019 compared to the same period of 2018. The increase was primarily due to favorable year-over-year mark-to-market impact from commodity derivative instruments, higher supply chain productivity, price realization, and favorable product mix. These factors were partially offset by higher freight and logistic costs.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Selling, marketing and administrative (“SM&amp;A”) expenses increased $27.4 million or 6.0% in the third quarter of 2019. Total advertising and related consumer marketing expenses increased 10.5% driven by advertising increases in North America. Selling, marketing and administrative expenses, excluding advertising and related consumer marketing, increased approximately 3.5% in the third quarter due to increased spending related to personnel-related costs.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were no long-lived asset impairment charges in the third quarter of 2019. In the third quarter of 2018, we recorded long-lived asset impairment charges of $1.6 million associated with the Shanghai Golden Monkey ("SGM") and Tyrrells disposal groups. These charges represent the excess of the disposal groups' carrying values, including the related currency translation adjustment amounts that were realized upon completion of the sales, over the sales values less costs to sell for the respective businesses.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third quarter of 2019 and 2018, we recorded business realignment costs of $1.1 million and $1.7 million, respectively. The costs related primarily to the Margin for Growth Program, which is discussed in more detail in Note 9 to the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Operating profit increased 13.4% in the third quarter of 2019 compared to the same period of 2018 due to higher gross profit, lower long-lived asset impairment charges, and lower business realignment costs, partially offset by higher SM&amp;A in the 2019 period, as noted above. Operating profit margin increased to 21.6% in 2019 from 19.5% in 2018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interest expense was $1.5 million lower in the third quarter of 2019 compared to the same period of 2018. The decrease was primarily due to lower interest payments associated with lower debt balances, including commercial paper.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Other (income) expense, net totaled expense of $18.0 million in the third quarter of 2019 versus expense of $12.5 million in the third quarter of 2018. The increase in the net expense was primarily due to higher write-downs on equity investments qualifying for federal historic and energy tax credits and higher non-service cost components of net periodic benefit cost relating to pension and other post-retirement benefit plans during 2019.</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46"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effective income tax rate was 20.2% for the third quarter of 2019 compared with 25.6% for the third quarter of 2018. Relative to the U.S. statutory rate of 21%, the 2019 effective tax rate was impacted by the benefit of ASU 2016-09 for accounting of employee share-based payment and investment tax credits, which were partially offset by state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Net income increased $61.6 million, or 23.4%, while EPS-diluted increased $0.29, or 23.2%, in the third quarter of 2019 compared to the same period of 2018. The increase in both net income and EPS-diluted was driven primarily by higher operating profit and lower income taxes, as noted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2019 vs. First Nine Months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increased 2.0% in the first nine months of 2019 compared to the same period of 2018, reflecting a favorable price realization of 1.2% due to higher prices on certain products, a volume increase of 0.6% and a 0.5% benefit from net acquisitions and divestitures, partially offset by unfavorable impact from foreign currency exchange rates of 0.3%. Excluding foreign currency, our first nine months of 2019 net sales increased 2.3%. Consolidated volumes increased due to solid marketplace growth in select international markets.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Cost of sales increased 1.1% in the first nine months of 2019 compared to the same period of 2018. The increase was driven by higher freight and logistics costs and higher plant costs. These drivers were partially offset by a $24.2 million favorable impact from mark-to-market adjustments on our commodity derivative instruments intended to economically hedge future years' commodity purchases, as well as supply chain productivity.</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margin increased by 50 basis points in the first nine months of 2019 compared to the same period of 2018. The increase was primarily due to favorable year-over-year mark-to-market impact from commodity derivative instruments, higher supply chain productivity, favorable product mix and favorable volume. These factors were partially offset by higher freight and logistic costs.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SM&amp;A expenses remained fairly comparable decreasing $0.1 million in the first nine months of 2019. Total advertising and related consumer marketing expenses increased 5.0% driven by advertising increases in North America. Selling, marketing and administrative expenses, excluding advertising and related consumer marketing, decreased approximately 2.7% in the first nine months of 2019 due to less spending from the Margin for Growth Program and lower acquisition-related costs.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nine months of 2019, we recorded long-lived asset impairment charges of $4.7 million, which are predominantly comprised of select land that has not yet met the held for sale criteria. During the first nine months of 2018, we recorded long-lived asset impairment charges of $28.8 million associated with the SGM and Tyrrells disposal groups. These charges represented the excess of the disposal groups' carrying values, including the related currency translation adjustment amounts to be realized upon completion of the sales, over the estimated fair values less costs to sell for the respective businesses. In July 2018, we sold the SGM and Tyrrells businesses.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first nine months of 2019 and 2018, we recorded business realignment costs of $7.3 million and $10.9 million, respectively. The costs related primarily to the Margin for Growth Program, which is discussed in more detail in Note 9 to the Unaudited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42"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Operating profit increased 8.9% in the first nine months of 2019 compared to the same period of 2018 due to higher gross profit, lower long-lived asset impairment charges, and lower business realignment cost in the 2019 period, as noted above. Operating profit margin increased to 22.1% in the first nine months of 2019 from 20.7% in the first nine months of 2018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interest expense was $5.5 million higher in the first nine months of 2019 compared to the same period of 2018. The increase was due to a higher average long-term debt balance in 2019 verses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Other (income) expense, net totaled expense of $36.6 million in the first nine months of 2019 versus expense of $35.2 million in the first nine months of 2018. The increase in the net expense was primarily due to higher non-service cost components of net periodic benefit cost relating to pension and other post-retirement benefit plans during 2019, partially offset by lower write-downs on equity investments qualifying for federal historic and energy tax credits.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effective income tax rate was 19.2% for the first nine months of 2019 compared with 21.3% for the first nine months of 2018. Relative to the U.S. statutory rate of 21%, the 2019 effective tax rate was impacted by a change to foreign valuation allowances, the benefit of ASU 2016-09 for accounting of employee share-based payment, and investment tax credits, which were partially offset by state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increased $101.7 million, or 12.1%, while EPS-diluted increased $0.48, or 12.0%, in the first nine months of 2019 compared to the same period of 2018. The increase in both net income and EPS-diluted was driven primarily by higher operating profit, which was partly offset by higher interest expense, as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32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Nine Months Ended</w:t>
            </w:r>
          </w:p>
        </w:tc>
      </w:tr>
      <w:tr>
        <w:trPr>
          <w:trHeight w:val="80"/>
        </w:trPr>
        <w:tc>
          <w:tcPr>
            <w:tcW w:w="4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2019</w:t>
            </w:r>
          </w:p>
        </w:tc>
        <w:tc>
          <w:tcPr>
            <w:tcW w:w="180" w:type="dxa"/>
            <w:vAlign w:val="bottom"/>
          </w:tcPr>
          <w:p>
            <w:pPr>
              <w:spacing w:after="0"/>
              <w:rPr>
                <w:sz w:val="22"/>
                <w:szCs w:val="22"/>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September 30, 2018</w:t>
            </w:r>
          </w:p>
        </w:tc>
      </w:tr>
      <w:tr>
        <w:trPr>
          <w:trHeight w:val="264"/>
        </w:trPr>
        <w:tc>
          <w:tcPr>
            <w:tcW w:w="4240" w:type="dxa"/>
            <w:vAlign w:val="bottom"/>
          </w:tcPr>
          <w:p>
            <w:pPr>
              <w:ind w:left="2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1,894.0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1,843.5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5,269.0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5,155.2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2,134.4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5,918.1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5,803.2</w:t>
            </w:r>
          </w:p>
        </w:tc>
      </w:tr>
      <w:tr>
        <w:trPr>
          <w:trHeight w:val="311"/>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65.4</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0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361.4</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(2)</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Costs associated with business realignment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20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36.5</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1,202.5</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1,066.1</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46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losses (gains) on mark-to-market valuation of commodity derivative positions recognized in unallocated derivative losses (gains). See Note 13 to the Unaudited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88.7% and 88.6% of our net sales for the three months ended September 29, 2019 and September 30, 2018, respectively, were as follows: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6"/>
                <w:szCs w:val="16"/>
                <w:color w:val="auto"/>
              </w:rPr>
            </w:pPr>
          </w:p>
        </w:tc>
        <w:tc>
          <w:tcPr>
            <w:tcW w:w="312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1,894.0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1,843.5</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5,269.0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5,155.2</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Segment income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1,606.0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1,534.3</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Segment margin</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30.2%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29.8%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2019 vs. Third Quarter 2018</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sales of our North America segment increased $50.5 million or 2.7% in the third quarter of 2019 compared to the same period in 2018, reflecting a favorable price realization of 1.5% attributed to higher prices on certain products and a benefit from net impact of acquisitions and divestitures of 1.5%. This was partially offset by a volume decrease of 0.2% largely due to the introduction of new packaging formats and an unfavorable impact from foreign currency exchange rates of 0.1%.</w:t>
      </w:r>
    </w:p>
    <w:p>
      <w:pPr>
        <w:spacing w:after="0" w:line="10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North America segment income increased $14.3 million or 2.6% in the third quarter of 2019 compared to the third quarter of 2018, primarily due to favorable commodity costs and favorable price realization, partially offset by higher advertising expense, higher freight and logistics costs and higher supply chain-related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2019 vs. First Nine Months 2018</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sales of our North America segment increased $113.8 million or 2.2% in the first nine months of 2019 compared to the first nine months of 2018, which includes a 1.0% benefit from net acquisitions and divestitures. Excluding the Amplify and Pirate Brands acquisitions and Tyrrells divestiture, our North America segment net sales increased 1.2%. Net price realization increased 1.4% attributed to higher prices on certain products. Volume was flat and foreign currency exchange rates resulted in an unfavorable impact of 0.2%.</w:t>
      </w:r>
    </w:p>
    <w:p>
      <w:pPr>
        <w:spacing w:after="0" w:line="10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North America segment income increased $71.7 million or 4.7% in the first nine months of 2019 compared to the first nine months of 2018, primarily due to favorable commodity costs, favorable price realization and favorable sales mix, partially offset by higher advertising expense, higher freight and logistics costs and higher supply chain-related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China and Regional Markets, such as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11.3% and 11.4% of our net sales for the three months ended September 29, 2019 and September 30, 2018, respectively,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6"/>
                <w:szCs w:val="16"/>
                <w:color w:val="auto"/>
              </w:rPr>
            </w:pPr>
          </w:p>
        </w:tc>
        <w:tc>
          <w:tcPr>
            <w:tcW w:w="312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649.1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0" w:type="dxa"/>
            <w:vAlign w:val="bottom"/>
          </w:tcPr>
          <w:p>
            <w:pPr>
              <w:spacing w:after="0"/>
              <w:rPr>
                <w:sz w:val="21"/>
                <w:szCs w:val="21"/>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1"/>
                <w:szCs w:val="21"/>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2019 vs. Third Quarter 2018</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sales of our International and Other segment increased $4.3 million or 1.8% in the third quarter of 2019 compared to the same period in 2018, reflecting a volume increase of 5.3%. This was partially offset by an unfavorable price realization of 1.6%, an unfavorable impact from foreign currency exchange rates of 1.0% and a 0.9% reduction in net sales primarily from the divestiture of SGM. Excluding the divestiture of SGM and unfavorable foreign currency exchange rates, our International and Other segment net sales increased 3.7%. The volume increase was primarily attributed to solid marketplace growth in Mexico and India where net sales increased by 5.8% and 16.2% , respectively. The unfavorable net price realization was driven by increased levels of trade promotional spending compared to the prior year.</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International and Other segment generated income of $39.4 million in the third quarter of 2019 compared to $31.1 million in the third quarter of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and India.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2019 vs. First Nine Months 2018</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sales of our International and Other segment increased $1.1 million or 0.2% in the first nine months of 2019 compared to the first nine months of 2018, reflecting a volume increase of 5.9%, partially offset by a 2.9% reduction in net sales primarily from the divestiture of SGM, an unfavorable impact from foreign currency exchange rates of 1.8%, and unfavorable price realization of 1.0%. Excluding the divestiture of SGM and unfavorable foreign currency exchange rates, our International and Other segment net sales increased 4.9%. The volume increase was primarily attributed to solid marketplace growth in Mexico, India and Regional Markets where net sales increased by 6.0%, 2.3% and 6.3%, respectively. The unfavorable net price realization was driven by increased levels of trade promotional spending compared to the prior year.</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International and Other segment generated income of $81.6 million in the first nine months of 2019 compared to $65.4 million in the first nine months of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India and Regional Markets.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third quarter of 2019, unallocated corporate expense totaled $132.8 million, as compared to $116.5 million in the third quarter of 2018, primarily driven by personnel-related costs. In the first nine months of 2019, unallocated corporate expense totaled $370.2 million, as compared to $361.4 million in the same period of 2018, primarily driven by personnel-related costs.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29, 2019, our cash and cash equivalents totaled $302.6 million. At December 31, 2018, our cash and cash equivalents totaled $588.0 million. Our cash and cash equivalents during the first nine months of 2019 decreased $285.4 million compared to the 2018 year-end balance as a result of the net uses of cash outlined in the following discussion.</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Approximately 85% of the balance of our cash and cash equivalents at September 29, 2019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20" w:type="dxa"/>
            <w:vAlign w:val="bottom"/>
            <w:gridSpan w:val="4"/>
          </w:tcPr>
          <w:p>
            <w:pPr>
              <w:jc w:val="right"/>
              <w:ind w:right="1573"/>
              <w:spacing w:after="0"/>
              <w:rPr>
                <w:sz w:val="20"/>
                <w:szCs w:val="20"/>
                <w:color w:val="auto"/>
              </w:rPr>
            </w:pPr>
            <w:r>
              <w:rPr>
                <w:rFonts w:ascii="Arial" w:cs="Arial" w:eastAsia="Arial" w:hAnsi="Arial"/>
                <w:sz w:val="14"/>
                <w:szCs w:val="14"/>
                <w:b w:val="1"/>
                <w:bCs w:val="1"/>
                <w:color w:val="auto"/>
              </w:rPr>
              <w:t>Nine Months Ended</w:t>
            </w:r>
          </w:p>
        </w:tc>
      </w:tr>
      <w:tr>
        <w:trPr>
          <w:trHeight w:val="80"/>
        </w:trPr>
        <w:tc>
          <w:tcPr>
            <w:tcW w:w="6740" w:type="dxa"/>
            <w:vAlign w:val="bottom"/>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r>
      <w:tr>
        <w:trPr>
          <w:trHeight w:val="258"/>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2"/>
                <w:szCs w:val="22"/>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892.8</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529.0</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443.6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generated cash of $993.3 million for operating activities in the first nine months of 2019, an increase of $100.5 million compared to $892.8 million in the same period of 2018. This increase in net cash from operating activities was mainly driven by the following factors:</w:t>
      </w:r>
    </w:p>
    <w:p>
      <w:pPr>
        <w:spacing w:after="0" w:line="116" w:lineRule="exact"/>
        <w:rPr>
          <w:sz w:val="20"/>
          <w:szCs w:val="20"/>
          <w:color w:val="auto"/>
        </w:rPr>
      </w:pPr>
    </w:p>
    <w:p>
      <w:pPr>
        <w:ind w:left="340" w:right="32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impairment of long-lived assets, write-down of equity investments and other charges) resulted in $88.3 million of higher cash flow in 2019 relative to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24" w:right="239" w:bottom="1440" w:gutter="0" w:footer="0" w:header="0"/>
        </w:sectPr>
      </w:pPr>
    </w:p>
    <w:bookmarkStart w:id="44" w:name="page45"/>
    <w:bookmarkEnd w:id="44"/>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Prepaid expenses and other current assets used cash of $3.5 million in 2019, compared to cash used of $59.1 million in 2018. This $55.6 million fluctuation was mainly driven by the timing of payments on commodity futures. We utilize commodity futures contracts to economically manage the risk of future price fluctuations associated with our purchase of raw materials.</w:t>
      </w:r>
    </w:p>
    <w:p>
      <w:pPr>
        <w:spacing w:after="0" w:line="12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which consumed cash of $307 million in 2019 and $326 million in 2018. This $19 million fluctuation was mainly driven by:</w:t>
      </w:r>
    </w:p>
    <w:p>
      <w:pPr>
        <w:spacing w:after="0" w:line="116" w:lineRule="exact"/>
        <w:rPr>
          <w:rFonts w:ascii="Arial" w:cs="Arial" w:eastAsia="Arial" w:hAnsi="Arial"/>
          <w:sz w:val="18"/>
          <w:szCs w:val="18"/>
          <w:color w:val="auto"/>
        </w:rPr>
      </w:pPr>
    </w:p>
    <w:p>
      <w:pPr>
        <w:ind w:left="980" w:right="3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$110 million increase in cash provided by accounts payable and accrued liabilities, due to the timing of payments for trade-related and other accounts payables, as well as prior year spending necessary to settle certain accrued liabilities acquired in conjunction with the Amplify acquisition.</w:t>
      </w:r>
    </w:p>
    <w:p>
      <w:pPr>
        <w:spacing w:after="0" w:line="127" w:lineRule="exact"/>
        <w:rPr>
          <w:rFonts w:ascii="Arial" w:cs="Arial" w:eastAsia="Arial" w:hAnsi="Arial"/>
          <w:sz w:val="18"/>
          <w:szCs w:val="18"/>
          <w:color w:val="auto"/>
        </w:rPr>
      </w:pPr>
    </w:p>
    <w:p>
      <w:pPr>
        <w:ind w:left="980" w:right="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Partially offset by a $28 million increase in cash used by accounts receivable, primarily driven by an increase in sales of U.S. seasonal products, resulting in a higher investment in accounts receivable as of the 2019 quarter-end.</w:t>
      </w:r>
    </w:p>
    <w:p>
      <w:pPr>
        <w:spacing w:after="0" w:line="116"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Partially offset by a $63 million increase in cash used by inventories, due to a higher year-over-year build up of inventories to satisfy upcoming seasonal and holiday core product requirements.</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contributions to our pension and post retirement plans totaled $13.9 million in 2019, a decrease of $12.8 million compared to $26.7 million in 2018. We contribute cash to our plans at our discretion, subject to applicable regulations and minimum contribution requirements.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w:t>
      </w:r>
    </w:p>
    <w:p>
      <w:pPr>
        <w:spacing w:after="0" w:line="171" w:lineRule="exact"/>
        <w:rPr>
          <w:rFonts w:ascii="Arial" w:cs="Arial" w:eastAsia="Arial" w:hAnsi="Arial"/>
          <w:sz w:val="18"/>
          <w:szCs w:val="18"/>
          <w:color w:val="auto"/>
        </w:rPr>
      </w:pPr>
    </w:p>
    <w:p>
      <w:pPr>
        <w:ind w:left="980" w:right="44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Incomes taxes generated $85.8 million less in cash flow in 2019 relative to 2018, mainly due to the variance in actual tax expense for 2019 relative to the timing of quarterly estimated tax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used cash of $697.6 million for investing activities in the first nine months of 2019, a decrease of $274.6 million compared to $972.2 million in the same period of 2018. This decrease in net cash used in investing activities was mainly driven by the following factors:</w:t>
      </w:r>
    </w:p>
    <w:p>
      <w:pPr>
        <w:spacing w:after="0" w:line="116" w:lineRule="exact"/>
        <w:rPr>
          <w:sz w:val="20"/>
          <w:szCs w:val="20"/>
          <w:color w:val="auto"/>
        </w:rPr>
      </w:pPr>
    </w:p>
    <w:p>
      <w:pPr>
        <w:ind w:left="340" w:hanging="332"/>
        <w:spacing w:after="0" w:line="264"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 $236.6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nine months of 2019 compared to $241.2 million in the same period of 2018. For full year 2019, we expect capital expenditures, including capitalized software, to approximate $350 million.</w:t>
      </w:r>
    </w:p>
    <w:p>
      <w:pPr>
        <w:spacing w:after="0" w:line="127" w:lineRule="exact"/>
        <w:rPr>
          <w:rFonts w:ascii="Arial" w:cs="Arial" w:eastAsia="Arial" w:hAnsi="Arial"/>
          <w:sz w:val="18"/>
          <w:szCs w:val="18"/>
          <w:i w:val="1"/>
          <w:iCs w:val="1"/>
          <w:color w:val="auto"/>
        </w:rPr>
      </w:pPr>
    </w:p>
    <w:p>
      <w:pPr>
        <w:ind w:left="340" w:right="20" w:hanging="332"/>
        <w:spacing w:after="0" w:line="255"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sales of property, plant and equipment and other long-lived assets</w:t>
      </w:r>
      <w:r>
        <w:rPr>
          <w:rFonts w:ascii="Arial" w:cs="Arial" w:eastAsia="Arial" w:hAnsi="Arial"/>
          <w:sz w:val="18"/>
          <w:szCs w:val="18"/>
          <w:color w:val="auto"/>
        </w:rPr>
        <w:t>. During the first nine months of 2019, proceeds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and other long-lived assets activity was minimal. During the first nine months of 2018, we generated $46.7 million of proceeds from the sale of property, plant and equipment and other long-lived assets. We sold select China facilities that were taken out of operation in connection with the Operational Optimization Program. Proceeds from the sale of these facilities totaled $27.5 million, resulting in a gain of $6.6 million. Additionally, we sold licensing rights for a non-core trademark relating to a brand marketed outside of the U.S. for $13.0 million, resulting in a gain of $2.7 million.</w:t>
      </w:r>
    </w:p>
    <w:p>
      <w:pPr>
        <w:spacing w:after="0" w:line="139" w:lineRule="exact"/>
        <w:rPr>
          <w:rFonts w:ascii="Arial" w:cs="Arial" w:eastAsia="Arial" w:hAnsi="Arial"/>
          <w:sz w:val="18"/>
          <w:szCs w:val="18"/>
          <w:i w:val="1"/>
          <w:iCs w:val="1"/>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the sales of businesses</w:t>
      </w:r>
      <w:r>
        <w:rPr>
          <w:rFonts w:ascii="Arial" w:cs="Arial" w:eastAsia="Arial" w:hAnsi="Arial"/>
          <w:sz w:val="18"/>
          <w:szCs w:val="18"/>
          <w:color w:val="auto"/>
        </w:rPr>
        <w:t>. We had no divestiture activity in 2019. In July 2018, we sold the Tyrrells and SGM businesses. Collectively,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sales of these businesses, net of cash divested, were approximately $171.9 million. Further details are provided in Notes 6 and 8 to the Unaudited Consolidated Financial Statements.</w:t>
      </w:r>
    </w:p>
    <w:p>
      <w:pPr>
        <w:spacing w:after="0" w:line="127" w:lineRule="exact"/>
        <w:rPr>
          <w:rFonts w:ascii="Arial" w:cs="Arial" w:eastAsia="Arial" w:hAnsi="Arial"/>
          <w:sz w:val="18"/>
          <w:szCs w:val="18"/>
          <w:i w:val="1"/>
          <w:iCs w:val="1"/>
          <w:color w:val="auto"/>
        </w:rPr>
      </w:pPr>
    </w:p>
    <w:p>
      <w:pPr>
        <w:ind w:left="340" w:right="40" w:hanging="332"/>
        <w:spacing w:after="0" w:line="342"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Business Acquisitions</w:t>
      </w:r>
      <w:r>
        <w:rPr>
          <w:rFonts w:ascii="Arial" w:cs="Arial" w:eastAsia="Arial" w:hAnsi="Arial"/>
          <w:sz w:val="16"/>
          <w:szCs w:val="16"/>
          <w:color w:val="auto"/>
        </w:rPr>
        <w:t>. In September 2019, we acquired ONE Brands for $401.5 million. In January 2018, we acquired Amplify for $915.5 million, net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acquired. Further details regarding our business acquisition activity are provided in Note 2 to the Unaudited Consolidated Financial Statements.</w:t>
      </w:r>
    </w:p>
    <w:p>
      <w:pPr>
        <w:spacing w:after="0" w:line="69" w:lineRule="exact"/>
        <w:rPr>
          <w:rFonts w:ascii="Arial" w:cs="Arial" w:eastAsia="Arial" w:hAnsi="Arial"/>
          <w:sz w:val="16"/>
          <w:szCs w:val="16"/>
          <w:i w:val="1"/>
          <w:iCs w:val="1"/>
          <w:color w:val="auto"/>
        </w:rPr>
      </w:pPr>
    </w:p>
    <w:p>
      <w:pPr>
        <w:ind w:left="340" w:right="5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approximately $52.7 million in the first nine months of 2019, compared to $34.2 million in the same period of 2018.</w:t>
      </w:r>
    </w:p>
    <w:p>
      <w:pPr>
        <w:spacing w:after="0" w:line="185" w:lineRule="exact"/>
        <w:rPr>
          <w:sz w:val="20"/>
          <w:szCs w:val="20"/>
          <w:color w:val="auto"/>
        </w:rPr>
      </w:pPr>
    </w:p>
    <w:p>
      <w:pPr>
        <w:ind w:left="340" w:right="4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Other investing activities</w:t>
      </w:r>
      <w:r>
        <w:rPr>
          <w:rFonts w:ascii="Arial" w:cs="Arial" w:eastAsia="Arial" w:hAnsi="Arial"/>
          <w:sz w:val="18"/>
          <w:szCs w:val="18"/>
          <w:color w:val="auto"/>
        </w:rPr>
        <w:t>. During the first nine months of 2019, we made minority investments in emerging snacking businesses that qualify as cost</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used cash of $582.8 million for financing activities in the first nine months of 2019, an increase of $1,111.8 million compared to cash generated of $529.0 million in the same period of 2018. This increase in net cash used in financing activities was mainly driven by the following factors:</w:t>
      </w:r>
    </w:p>
    <w:p>
      <w:pPr>
        <w:spacing w:after="0" w:line="93" w:lineRule="exact"/>
        <w:rPr>
          <w:sz w:val="20"/>
          <w:szCs w:val="20"/>
          <w:color w:val="auto"/>
        </w:rPr>
      </w:pPr>
    </w:p>
    <w:p>
      <w:pPr>
        <w:ind w:left="340" w:right="100" w:hanging="332"/>
        <w:spacing w:after="0" w:line="291"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nine months of 2019, we generated cash flow of $80.7 million through the issuance of short-term commercial paper, partially offset by a reduction in short-term foreign bank borrowings. During the first nine months of 2018, we generated cash flow of $893.4 million through the issuance of short-term commercial paper, partially offset by a reduction in short-term foreign bank borrowings. We utilized the proceeds from the issuance of commercial paper to fund the Amplify acquisition and repayment of Amplify's outstanding debt owed under its existing credit agreement. A portion of the commercial paper borrowings used to fund the Amplify acquisition were subsequently refinanced with the proceeds of new notes issued during the second quarter of 2018, as discussed below.</w:t>
      </w:r>
    </w:p>
    <w:p>
      <w:pPr>
        <w:spacing w:after="0" w:line="113" w:lineRule="exact"/>
        <w:rPr>
          <w:rFonts w:ascii="Arial" w:cs="Arial" w:eastAsia="Arial" w:hAnsi="Arial"/>
          <w:sz w:val="16"/>
          <w:szCs w:val="16"/>
          <w:i w:val="1"/>
          <w:iCs w:val="1"/>
          <w:color w:val="auto"/>
        </w:rPr>
      </w:pPr>
    </w:p>
    <w:p>
      <w:pPr>
        <w:ind w:left="340" w:right="20" w:hanging="332"/>
        <w:spacing w:after="0" w:line="276"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During the first nine months of 2019, our long-term debt borrowings and repayments activity was minimal.</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2018, we issued $350 million of 2.90% Notes due in 2020, $350 million of 3.10% Notes due in 2021 and $500 million of 3.375% Notes due in 2023. Proceeds from the issuance of the Notes, net of discounts and issuance costs, totaled $1,193.8 million. In August 2018, we repaid $300 million of 1.60% Notes due in 2018 upon their maturity. Additionally, in 2018, we repaid $607 million of debt assumed in connection with the Amplify acquisition, including all of the outstanding debt owed by Amplify under its existing credit agreement.</w:t>
      </w:r>
    </w:p>
    <w:p>
      <w:pPr>
        <w:spacing w:after="0" w:line="118" w:lineRule="exact"/>
        <w:rPr>
          <w:rFonts w:ascii="Arial" w:cs="Arial" w:eastAsia="Arial" w:hAnsi="Arial"/>
          <w:sz w:val="17"/>
          <w:szCs w:val="17"/>
          <w:i w:val="1"/>
          <w:iCs w:val="1"/>
          <w:color w:val="auto"/>
        </w:rPr>
      </w:pPr>
    </w:p>
    <w:p>
      <w:pPr>
        <w:ind w:left="340" w:right="460" w:hanging="332"/>
        <w:spacing w:after="0" w:line="308"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receivable obligation. </w:t>
      </w:r>
      <w:r>
        <w:rPr>
          <w:rFonts w:ascii="Arial" w:cs="Arial" w:eastAsia="Arial" w:hAnsi="Arial"/>
          <w:sz w:val="17"/>
          <w:szCs w:val="17"/>
          <w:color w:val="auto"/>
        </w:rPr>
        <w:t>In connection with the Amplify acquisition in 2018, the Company agreed to make a payment to the counterparty of a tax</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agreement. During the first nine months of 2018, we paid $72.0 million of the tax receivable obligation.</w:t>
      </w:r>
    </w:p>
    <w:p>
      <w:pPr>
        <w:spacing w:after="0" w:line="92" w:lineRule="exact"/>
        <w:rPr>
          <w:rFonts w:ascii="Arial" w:cs="Arial" w:eastAsia="Arial" w:hAnsi="Arial"/>
          <w:sz w:val="17"/>
          <w:szCs w:val="17"/>
          <w:i w:val="1"/>
          <w:iCs w:val="1"/>
          <w:color w:val="auto"/>
        </w:rPr>
      </w:pPr>
    </w:p>
    <w:p>
      <w:pPr>
        <w:ind w:left="340" w:right="320" w:hanging="332"/>
        <w:spacing w:after="0" w:line="264"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$445.9 million and $199.7 million during the first nine months of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27" w:lineRule="exact"/>
        <w:rPr>
          <w:rFonts w:ascii="Arial" w:cs="Arial" w:eastAsia="Arial" w:hAnsi="Arial"/>
          <w:sz w:val="18"/>
          <w:szCs w:val="18"/>
          <w:i w:val="1"/>
          <w:iCs w:val="1"/>
          <w:color w:val="auto"/>
        </w:rPr>
      </w:pPr>
    </w:p>
    <w:p>
      <w:pPr>
        <w:ind w:left="340" w:right="340" w:hanging="332"/>
        <w:spacing w:after="0" w:line="27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$453.2 million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an increase of $38.0 million compared to $415.2 million in the same period of 2018.</w:t>
      </w:r>
    </w:p>
    <w:p>
      <w:pPr>
        <w:spacing w:after="0" w:line="116" w:lineRule="exact"/>
        <w:rPr>
          <w:rFonts w:ascii="Arial" w:cs="Arial" w:eastAsia="Arial" w:hAnsi="Arial"/>
          <w:sz w:val="18"/>
          <w:szCs w:val="18"/>
          <w:i w:val="1"/>
          <w:iCs w:val="1"/>
          <w:color w:val="auto"/>
        </w:rPr>
      </w:pPr>
    </w:p>
    <w:p>
      <w:pPr>
        <w:ind w:left="340" w:right="80" w:hanging="332"/>
        <w:spacing w:after="0" w:line="342"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$235.3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nine months of 2019, an increase of $201.9 million compared to $33.4 million in the same period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73"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other matters as discussed in our 2018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823"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total notional amount of interest rate swaps outstanding at September 29, 2019 and December 31, 2018 was $350 million. The notional amount relates to fixed-to-floating interest rate swaps which convert a comparable amount of fixed-rate debt to variable rate debt at September 29, 2019 and December 31, 2018. A hypothetical 100 basis point increase in interest rates applied to this now variable-rate debt as of September 29, 2019 would have increased interest expense by approximately $2.7 million for the first nine months of 2019 and $3.5 million for the full year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total amount of short-term debt, net of cash, amounted to $973 million and $610 million, respectively, at September 29, 2019 and</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December 31, 2018. A hypothetical 100 basis point increase in interest rates applied to this variable-rate short-term debt as of September 29, 2019 would have increased interest expense by approximately $5.5 million for the first nine months of 2019 and $9.0 million for the full year 2018.</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September 29, 2019 and December 31, 2018 by approximately $148 million and $121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$25.5 million as of September 29, 2019 and $4.5 million as of December 31, 2018, generally offset by a reduction in foreign exchange associated with our transactional activities.</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open commodity derivative contracts had a notional value of $871.2 million as of September 29, 2019 and $693.5 million as of December 31, 2018. At the end of the third quarter 2019, the potential change in fair value of commodity derivative instruments, assuming a 10% decrease in the underlying commodity price, would have increased our net unrealized losses by $87.1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2018 Annual Report on Form 10-K.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2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29, 2019. Based on this evaluation, our Chief Executive Officer and Chief Financial Officer concluded that our disclosure controls and procedures were effective as of September 29, 2019.</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29, 2019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2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16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 I, Item 1A, “Risk Factors,” of our 2018 Annual Report on Form 10-K and the information contained in this Quarterly Report on Form 10-Q and our other reports and registration statements filed with the SEC. There have been no material changes in our risk factors since the filing of our 2018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September 29, 2019:</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19"/>
              <w:spacing w:after="0"/>
              <w:rPr>
                <w:sz w:val="20"/>
                <w:szCs w:val="20"/>
                <w:color w:val="auto"/>
              </w:rPr>
            </w:pPr>
            <w:r>
              <w:rPr>
                <w:rFonts w:ascii="Arial" w:cs="Arial" w:eastAsia="Arial" w:hAnsi="Arial"/>
                <w:sz w:val="16"/>
                <w:szCs w:val="16"/>
                <w:b w:val="1"/>
                <w:bCs w:val="1"/>
                <w:color w:val="auto"/>
                <w:w w:val="88"/>
              </w:rPr>
              <w:t>Shares Purchased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as Part of Publicly</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Announced Plans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240" w:type="dxa"/>
            <w:vAlign w:val="bottom"/>
            <w:gridSpan w:val="2"/>
          </w:tcPr>
          <w:p>
            <w:pPr>
              <w:ind w:left="1320"/>
              <w:spacing w:after="0"/>
              <w:rPr>
                <w:sz w:val="20"/>
                <w:szCs w:val="20"/>
                <w:color w:val="auto"/>
              </w:rPr>
            </w:pPr>
            <w:r>
              <w:rPr>
                <w:rFonts w:ascii="Arial" w:cs="Arial" w:eastAsia="Arial" w:hAnsi="Arial"/>
                <w:sz w:val="16"/>
                <w:szCs w:val="16"/>
                <w:b w:val="1"/>
                <w:bCs w:val="1"/>
                <w:color w:val="auto"/>
              </w:rPr>
              <w:t>Period</w:t>
            </w:r>
          </w:p>
        </w:tc>
        <w:tc>
          <w:tcPr>
            <w:tcW w:w="1640" w:type="dxa"/>
            <w:vAlign w:val="bottom"/>
          </w:tcPr>
          <w:p>
            <w:pPr>
              <w:jc w:val="center"/>
              <w:ind w:left="14"/>
              <w:spacing w:after="0"/>
              <w:rPr>
                <w:sz w:val="20"/>
                <w:szCs w:val="20"/>
                <w:color w:val="auto"/>
              </w:rPr>
            </w:pPr>
            <w:r>
              <w:rPr>
                <w:rFonts w:ascii="Arial" w:cs="Arial" w:eastAsia="Arial" w:hAnsi="Arial"/>
                <w:sz w:val="16"/>
                <w:szCs w:val="16"/>
                <w:b w:val="1"/>
                <w:bCs w:val="1"/>
                <w:color w:val="auto"/>
                <w:w w:val="88"/>
              </w:rPr>
              <w:t>Purchased (1)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68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or Programs (2)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(in thousands of dollars)</w:t>
            </w: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through July 28</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256,333</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410,000</w:t>
            </w:r>
          </w:p>
        </w:tc>
      </w:tr>
      <w:tr>
        <w:trPr>
          <w:trHeight w:val="257"/>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July 29 through August 25</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430,000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154.03</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410,000</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26 through September 29</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155.66</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410,000</w:t>
            </w:r>
          </w:p>
        </w:tc>
      </w:tr>
      <w:tr>
        <w:trPr>
          <w:trHeight w:val="271"/>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1,261,333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151.78</w:t>
            </w:r>
          </w:p>
        </w:tc>
        <w:tc>
          <w:tcPr>
            <w:tcW w:w="12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three months ended September 29, 2019, 1,261,333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160" w:firstLine="8"/>
        <w:spacing w:after="0" w:line="312"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$100 million share repurchase authorization. This program was completed in the first quarter of 2019. In July 2018, our Board of Directors approved an additional $500 million share repurchase authorization. As of September 29, 2019, approximately $410 million remained available for repurchases of our Common Stock under this program. The share repurchase program does not have an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3"/>
          </w:tcPr>
          <w:p>
            <w:pPr>
              <w:ind w:left="38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r:id="rId2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5"/>
            <w:shd w:val="clear" w:color="auto" w:fill="CCEEFF"/>
          </w:tcPr>
          <w:p>
            <w:pPr>
              <w:spacing w:after="0" w:line="183" w:lineRule="exact"/>
              <w:rPr>
                <w:rFonts w:ascii="Arial" w:cs="Arial" w:eastAsia="Arial" w:hAnsi="Arial"/>
                <w:sz w:val="16"/>
                <w:szCs w:val="16"/>
                <w:color w:val="0000FF"/>
                <w:w w:val="94"/>
              </w:rPr>
            </w:pPr>
            <w:hyperlink r:id="rId22">
              <w:r>
                <w:rPr>
                  <w:rFonts w:ascii="Arial" w:cs="Arial" w:eastAsia="Arial" w:hAnsi="Arial"/>
                  <w:sz w:val="16"/>
                  <w:szCs w:val="16"/>
                  <w:color w:val="0000FF"/>
                  <w:w w:val="94"/>
                </w:rPr>
                <w:t>Five Year Credit Agreement dated as of July 2, 2019, is incorporated by reference from Exhibit 10.1 to the Company's Current Report on Form 8-K filed</w:t>
              </w:r>
            </w:hyperlink>
          </w:p>
        </w:tc>
      </w:tr>
      <w:tr>
        <w:trPr>
          <w:trHeight w:val="20"/>
        </w:trPr>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900" w:type="dxa"/>
            <w:vAlign w:val="bottom"/>
            <w:shd w:val="clear" w:color="auto" w:fill="0000FF"/>
          </w:tcPr>
          <w:p>
            <w:pPr>
              <w:spacing w:after="0" w:line="20" w:lineRule="exact"/>
              <w:rPr>
                <w:sz w:val="1"/>
                <w:szCs w:val="1"/>
                <w:color w:val="auto"/>
              </w:rPr>
            </w:pPr>
          </w:p>
        </w:tc>
        <w:tc>
          <w:tcPr>
            <w:tcW w:w="224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3"/>
        </w:trPr>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5"/>
            <w:shd w:val="clear" w:color="auto" w:fill="CCEEFF"/>
          </w:tcPr>
          <w:p>
            <w:pPr>
              <w:spacing w:after="0" w:line="183" w:lineRule="exact"/>
              <w:rPr>
                <w:rFonts w:ascii="Arial" w:cs="Arial" w:eastAsia="Arial" w:hAnsi="Arial"/>
                <w:sz w:val="16"/>
                <w:szCs w:val="16"/>
                <w:color w:val="0000FF"/>
              </w:rPr>
            </w:pPr>
            <w:hyperlink r:id="rId22">
              <w:r>
                <w:rPr>
                  <w:rFonts w:ascii="Arial" w:cs="Arial" w:eastAsia="Arial" w:hAnsi="Arial"/>
                  <w:sz w:val="16"/>
                  <w:szCs w:val="16"/>
                  <w:color w:val="0000FF"/>
                </w:rPr>
                <w:t>July 2, 2019.</w:t>
              </w:r>
            </w:hyperlink>
          </w:p>
        </w:tc>
      </w:tr>
      <w:tr>
        <w:trPr>
          <w:trHeight w:val="48"/>
        </w:trPr>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9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2"/>
          </w:tcPr>
          <w:p>
            <w:pPr>
              <w:jc w:val="center"/>
              <w:ind w:left="359"/>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5"/>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900" w:type="dxa"/>
            <w:vAlign w:val="bottom"/>
            <w:tcBorders>
              <w:top w:val="single" w:sz="8" w:color="0000FF"/>
            </w:tcBorders>
          </w:tcPr>
          <w:p>
            <w:pPr>
              <w:spacing w:after="0"/>
              <w:rPr>
                <w:sz w:val="5"/>
                <w:szCs w:val="5"/>
                <w:color w:val="auto"/>
              </w:rPr>
            </w:pPr>
          </w:p>
        </w:tc>
        <w:tc>
          <w:tcPr>
            <w:tcW w:w="224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189"/>
        </w:trPr>
        <w:tc>
          <w:tcPr>
            <w:tcW w:w="720" w:type="dxa"/>
            <w:vAlign w:val="bottom"/>
            <w:gridSpan w:val="2"/>
            <w:shd w:val="clear" w:color="auto" w:fill="CCEEFF"/>
          </w:tcPr>
          <w:p>
            <w:pPr>
              <w:jc w:val="center"/>
              <w:ind w:left="35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5"/>
            <w:shd w:val="clear" w:color="auto" w:fill="CCEEFF"/>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900" w:type="dxa"/>
            <w:vAlign w:val="bottom"/>
            <w:tcBorders>
              <w:top w:val="single" w:sz="8" w:color="0000FF"/>
            </w:tcBorders>
            <w:shd w:val="clear" w:color="auto" w:fill="CCEEFF"/>
          </w:tcPr>
          <w:p>
            <w:pPr>
              <w:spacing w:after="0"/>
              <w:rPr>
                <w:sz w:val="5"/>
                <w:szCs w:val="5"/>
                <w:color w:val="auto"/>
              </w:rPr>
            </w:pPr>
          </w:p>
        </w:tc>
        <w:tc>
          <w:tcPr>
            <w:tcW w:w="224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189"/>
        </w:trPr>
        <w:tc>
          <w:tcPr>
            <w:tcW w:w="440" w:type="dxa"/>
            <w:vAlign w:val="bottom"/>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5"/>
          </w:tcPr>
          <w:p>
            <w:pPr>
              <w:spacing w:after="0"/>
              <w:rPr>
                <w:rFonts w:ascii="Arial" w:cs="Arial" w:eastAsia="Arial" w:hAnsi="Arial"/>
                <w:sz w:val="16"/>
                <w:szCs w:val="16"/>
                <w:color w:val="0000FF"/>
                <w:w w:val="94"/>
              </w:rPr>
            </w:pPr>
            <w:hyperlink w:anchor="page55">
              <w:r>
                <w:rPr>
                  <w:rFonts w:ascii="Arial" w:cs="Arial" w:eastAsia="Arial" w:hAnsi="Arial"/>
                  <w:sz w:val="16"/>
                  <w:szCs w:val="16"/>
                  <w:color w:val="0000FF"/>
                  <w:w w:val="94"/>
                </w:rPr>
                <w:t>Certification of Michele G. Buck, Chief Executive Officer, and Steven E. Voskuil, Chief Financial Officer, pursuant to Section 906 of the Sarbanes-Oxley</w:t>
              </w:r>
            </w:hyperlink>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5"/>
          </w:tcPr>
          <w:p>
            <w:pPr>
              <w:spacing w:after="0" w:line="183" w:lineRule="exact"/>
              <w:rPr>
                <w:rFonts w:ascii="Arial" w:cs="Arial" w:eastAsia="Arial" w:hAnsi="Arial"/>
                <w:sz w:val="16"/>
                <w:szCs w:val="16"/>
                <w:color w:val="0000FF"/>
              </w:rPr>
            </w:pPr>
            <w:hyperlink w:anchor="page55">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20"/>
        </w:trPr>
        <w:tc>
          <w:tcPr>
            <w:tcW w:w="130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6"/>
              </w:rPr>
              <w:t>101.INS</w:t>
            </w:r>
          </w:p>
        </w:tc>
        <w:tc>
          <w:tcPr>
            <w:tcW w:w="1012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19"/>
        </w:trPr>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document.</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2"/>
              </w:rPr>
              <w:t>101.SCH</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6"/>
                <w:szCs w:val="16"/>
                <w:color w:val="auto"/>
                <w:w w:val="96"/>
              </w:rPr>
              <w:t>101.CAL</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101.LAB</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1300" w:type="dxa"/>
            <w:vAlign w:val="bottom"/>
            <w:tcBorders>
              <w:bottom w:val="single" w:sz="8" w:color="CCEEFF"/>
              <w:right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0"/>
              </w:rPr>
              <w:t>101.PRE</w:t>
            </w:r>
          </w:p>
        </w:tc>
        <w:tc>
          <w:tcPr>
            <w:tcW w:w="10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24"/>
        </w:trPr>
        <w:tc>
          <w:tcPr>
            <w:tcW w:w="1300" w:type="dxa"/>
            <w:vAlign w:val="bottom"/>
            <w:gridSpan w:val="4"/>
          </w:tcPr>
          <w:p>
            <w:pPr>
              <w:jc w:val="center"/>
              <w:ind w:right="140"/>
              <w:spacing w:after="0"/>
              <w:rPr>
                <w:sz w:val="20"/>
                <w:szCs w:val="20"/>
                <w:color w:val="auto"/>
              </w:rPr>
            </w:pPr>
            <w:r>
              <w:rPr>
                <w:rFonts w:ascii="Arial" w:cs="Arial" w:eastAsia="Arial" w:hAnsi="Arial"/>
                <w:sz w:val="16"/>
                <w:szCs w:val="16"/>
                <w:color w:val="auto"/>
                <w:w w:val="94"/>
              </w:rPr>
              <w:t>101.DEF</w:t>
            </w:r>
          </w:p>
        </w:tc>
        <w:tc>
          <w:tcPr>
            <w:tcW w:w="1012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4" w:lineRule="exact"/>
        <w:rPr>
          <w:sz w:val="20"/>
          <w:szCs w:val="20"/>
          <w:color w:val="auto"/>
        </w:rPr>
      </w:pPr>
    </w:p>
    <w:p>
      <w:pPr>
        <w:ind w:left="1300" w:right="300" w:hanging="840"/>
        <w:spacing w:after="0" w:line="293"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September 29, 2019, formatted in Inline XBRL and contained in Exhibit 101.</w:t>
      </w:r>
    </w:p>
    <w:p>
      <w:pPr>
        <w:spacing w:after="0" w:line="334" w:lineRule="exact"/>
        <w:rPr>
          <w:sz w:val="20"/>
          <w:szCs w:val="20"/>
          <w:color w:val="auto"/>
        </w:rPr>
      </w:pPr>
    </w:p>
    <w:p>
      <w:pPr>
        <w:ind w:left="1300" w:hanging="759"/>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23" w:right="239" w:bottom="1440" w:gutter="0" w:footer="0" w:header="0"/>
        </w:sectPr>
      </w:pPr>
    </w:p>
    <w:bookmarkStart w:id="51" w:name="page52"/>
    <w:bookmarkEnd w:id="5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24,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Steven E. Voskuil</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Steven E. Voskuil</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24,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40"/>
          </w:cols>
          <w:pgMar w:left="240" w:top="580" w:right="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24, 2019</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90"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E. Voskuil</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24, 2019</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29, 2019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October 24,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October 24,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6"/>
              </w:rPr>
              <w:t>/s/ STEVEN E. VOSKUIL</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8"/>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2" Type="http://schemas.openxmlformats.org/officeDocument/2006/relationships/hyperlink" Target="http://www.sec.gov/Archives/edgar/data/47111/000004711119000029/exhibit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2019-12-28T04:52:30Z</dcterms:created>
  <dcterms:modified xsi:type="dcterms:W3CDTF">2019-12-28T04:52:30Z</dcterms:modified>
</cp:coreProperties>
</file>