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52" w:lineRule="exact"/>
        <w:rPr>
          <w:sz w:val="24"/>
          <w:szCs w:val="24"/>
          <w:color w:val="auto"/>
        </w:rPr>
      </w:pPr>
    </w:p>
    <w:p>
      <w:pPr>
        <w:ind w:left="560" w:hanging="37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28,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 w:lineRule="exact"/>
        <w:rPr>
          <w:sz w:val="24"/>
          <w:szCs w:val="24"/>
          <w:color w:val="auto"/>
        </w:rPr>
      </w:pPr>
    </w:p>
    <w:p>
      <w:pPr>
        <w:ind w:left="560" w:hanging="370"/>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______to_______</w:t>
      </w:r>
    </w:p>
    <w:p>
      <w:pPr>
        <w:jc w:val="center"/>
        <w:ind w:right="-19"/>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14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HERSHEY COMPANY</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56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Delaware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jc w:val="right"/>
              <w:ind w:right="2050"/>
              <w:spacing w:after="0"/>
              <w:rPr>
                <w:sz w:val="20"/>
                <w:szCs w:val="20"/>
                <w:color w:val="auto"/>
              </w:rPr>
            </w:pPr>
            <w:r>
              <w:rPr>
                <w:rFonts w:ascii="Arial" w:cs="Arial" w:eastAsia="Arial" w:hAnsi="Arial"/>
                <w:sz w:val="18"/>
                <w:szCs w:val="18"/>
                <w:b w:val="1"/>
                <w:bCs w:val="1"/>
                <w:color w:val="auto"/>
              </w:rPr>
              <w:t>23-0691590</w:t>
            </w:r>
          </w:p>
        </w:tc>
      </w:tr>
      <w:tr>
        <w:trPr>
          <w:trHeight w:val="270"/>
        </w:trPr>
        <w:tc>
          <w:tcPr>
            <w:tcW w:w="40" w:type="dxa"/>
            <w:vAlign w:val="bottom"/>
          </w:tcPr>
          <w:p>
            <w:pPr>
              <w:spacing w:after="0"/>
              <w:rPr>
                <w:sz w:val="23"/>
                <w:szCs w:val="23"/>
                <w:color w:val="auto"/>
              </w:rPr>
            </w:pPr>
          </w:p>
        </w:tc>
        <w:tc>
          <w:tcPr>
            <w:tcW w:w="6900" w:type="dxa"/>
            <w:vAlign w:val="bottom"/>
            <w:gridSpan w:val="5"/>
          </w:tcPr>
          <w:p>
            <w:pPr>
              <w:jc w:val="center"/>
              <w:ind w:right="17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80" w:type="dxa"/>
            <w:vAlign w:val="bottom"/>
          </w:tcPr>
          <w:p>
            <w:pPr>
              <w:jc w:val="center"/>
              <w:ind w:right="790"/>
              <w:spacing w:after="0"/>
              <w:rPr>
                <w:sz w:val="20"/>
                <w:szCs w:val="20"/>
                <w:color w:val="auto"/>
              </w:rPr>
            </w:pPr>
            <w:r>
              <w:rPr>
                <w:rFonts w:ascii="Arial" w:cs="Arial" w:eastAsia="Arial" w:hAnsi="Arial"/>
                <w:sz w:val="18"/>
                <w:szCs w:val="18"/>
                <w:color w:val="auto"/>
                <w:w w:val="93"/>
              </w:rPr>
              <w:t>(I.R.S. Employer Identification No.)</w:t>
            </w:r>
          </w:p>
        </w:tc>
      </w:tr>
      <w:tr>
        <w:trPr>
          <w:trHeight w:val="284"/>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620" w:type="dxa"/>
            <w:vAlign w:val="bottom"/>
            <w:gridSpan w:val="5"/>
          </w:tcPr>
          <w:p>
            <w:pPr>
              <w:jc w:val="center"/>
              <w:ind w:right="3450"/>
              <w:spacing w:after="0"/>
              <w:rPr>
                <w:sz w:val="20"/>
                <w:szCs w:val="20"/>
                <w:color w:val="auto"/>
              </w:rPr>
            </w:pPr>
            <w:r>
              <w:rPr>
                <w:rFonts w:ascii="Arial" w:cs="Arial" w:eastAsia="Arial" w:hAnsi="Arial"/>
                <w:sz w:val="18"/>
                <w:szCs w:val="18"/>
                <w:b w:val="1"/>
                <w:bCs w:val="1"/>
                <w:color w:val="auto"/>
                <w:w w:val="88"/>
              </w:rPr>
              <w:t>19 East Chocolate Avenue, Hershey, PA 17033</w:t>
            </w:r>
          </w:p>
        </w:tc>
      </w:tr>
      <w:tr>
        <w:trPr>
          <w:trHeight w:val="175"/>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20" w:type="dxa"/>
            <w:vAlign w:val="bottom"/>
            <w:gridSpan w:val="5"/>
          </w:tcPr>
          <w:p>
            <w:pPr>
              <w:jc w:val="center"/>
              <w:ind w:right="3450"/>
              <w:spacing w:after="0" w:line="176" w:lineRule="exact"/>
              <w:rPr>
                <w:sz w:val="20"/>
                <w:szCs w:val="20"/>
                <w:color w:val="auto"/>
              </w:rPr>
            </w:pPr>
            <w:r>
              <w:rPr>
                <w:rFonts w:ascii="Arial" w:cs="Arial" w:eastAsia="Arial" w:hAnsi="Arial"/>
                <w:sz w:val="18"/>
                <w:szCs w:val="18"/>
                <w:color w:val="auto"/>
                <w:w w:val="92"/>
              </w:rPr>
              <w:t>(Address of principal executive offices and Zip Code)</w:t>
            </w:r>
          </w:p>
        </w:tc>
      </w:tr>
      <w:tr>
        <w:trPr>
          <w:trHeight w:val="175"/>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240" w:type="dxa"/>
            <w:vAlign w:val="bottom"/>
            <w:gridSpan w:val="3"/>
          </w:tcPr>
          <w:p>
            <w:pPr>
              <w:jc w:val="center"/>
              <w:ind w:left="710"/>
              <w:spacing w:after="0" w:line="176" w:lineRule="exact"/>
              <w:rPr>
                <w:sz w:val="20"/>
                <w:szCs w:val="20"/>
                <w:color w:val="auto"/>
              </w:rPr>
            </w:pPr>
            <w:r>
              <w:rPr>
                <w:rFonts w:ascii="Arial" w:cs="Arial" w:eastAsia="Arial" w:hAnsi="Arial"/>
                <w:sz w:val="18"/>
                <w:szCs w:val="18"/>
                <w:b w:val="1"/>
                <w:bCs w:val="1"/>
                <w:color w:val="auto"/>
                <w:w w:val="90"/>
              </w:rPr>
              <w:t>(717) 534-4200</w:t>
            </w: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20" w:type="dxa"/>
            <w:vAlign w:val="bottom"/>
            <w:gridSpan w:val="5"/>
          </w:tcPr>
          <w:p>
            <w:pPr>
              <w:jc w:val="center"/>
              <w:ind w:right="3490"/>
              <w:spacing w:after="0" w:line="176" w:lineRule="exact"/>
              <w:rPr>
                <w:sz w:val="20"/>
                <w:szCs w:val="20"/>
                <w:color w:val="auto"/>
              </w:rPr>
            </w:pPr>
            <w:r>
              <w:rPr>
                <w:rFonts w:ascii="Arial" w:cs="Arial" w:eastAsia="Arial" w:hAnsi="Arial"/>
                <w:sz w:val="18"/>
                <w:szCs w:val="18"/>
                <w:color w:val="auto"/>
                <w:w w:val="89"/>
              </w:rPr>
              <w:t>(Registrant's telephone number, including area code)</w:t>
            </w:r>
          </w:p>
        </w:tc>
      </w:tr>
      <w:tr>
        <w:trPr>
          <w:trHeight w:val="234"/>
        </w:trPr>
        <w:tc>
          <w:tcPr>
            <w:tcW w:w="694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280" w:type="dxa"/>
            <w:vAlign w:val="bottom"/>
          </w:tcPr>
          <w:p>
            <w:pPr>
              <w:spacing w:after="0"/>
              <w:rPr>
                <w:sz w:val="20"/>
                <w:szCs w:val="20"/>
                <w:color w:val="auto"/>
              </w:rPr>
            </w:pPr>
          </w:p>
        </w:tc>
      </w:tr>
      <w:tr>
        <w:trPr>
          <w:trHeight w:val="238"/>
        </w:trPr>
        <w:tc>
          <w:tcPr>
            <w:tcW w:w="40" w:type="dxa"/>
            <w:vAlign w:val="bottom"/>
          </w:tcPr>
          <w:p>
            <w:pPr>
              <w:spacing w:after="0"/>
              <w:rPr>
                <w:sz w:val="20"/>
                <w:szCs w:val="20"/>
                <w:color w:val="auto"/>
              </w:rPr>
            </w:pPr>
          </w:p>
        </w:tc>
        <w:tc>
          <w:tcPr>
            <w:tcW w:w="356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Title of each class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4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560" w:type="dxa"/>
            <w:vAlign w:val="bottom"/>
          </w:tcPr>
          <w:p>
            <w:pPr>
              <w:jc w:val="center"/>
              <w:ind w:left="590"/>
              <w:spacing w:after="0"/>
              <w:rPr>
                <w:sz w:val="20"/>
                <w:szCs w:val="20"/>
                <w:color w:val="auto"/>
              </w:rPr>
            </w:pPr>
            <w:r>
              <w:rPr>
                <w:rFonts w:ascii="Arial" w:cs="Arial" w:eastAsia="Arial" w:hAnsi="Arial"/>
                <w:sz w:val="18"/>
                <w:szCs w:val="18"/>
                <w:color w:val="auto"/>
                <w:w w:val="90"/>
              </w:rPr>
              <w:t>Common Stock, one dollar par value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HSY</w:t>
            </w:r>
          </w:p>
        </w:tc>
        <w:tc>
          <w:tcPr>
            <w:tcW w:w="42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50"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69" w:lineRule="exact"/>
        <w:rPr>
          <w:sz w:val="24"/>
          <w:szCs w:val="24"/>
          <w:color w:val="auto"/>
        </w:rPr>
      </w:pPr>
    </w:p>
    <w:p>
      <w:pPr>
        <w:ind w:right="12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69" w:lineRule="exact"/>
        <w:rPr>
          <w:sz w:val="24"/>
          <w:szCs w:val="24"/>
          <w:color w:val="auto"/>
        </w:rPr>
      </w:pPr>
    </w:p>
    <w:p>
      <w:pPr>
        <w:ind w:right="32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971" w:right="339" w:bottom="1440" w:gutter="0" w:footer="0" w:header="0"/>
        </w:sectPr>
      </w:pPr>
    </w:p>
    <w:p>
      <w:pPr>
        <w:spacing w:after="0" w:line="1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16" w:lineRule="exact"/>
        <w:rPr>
          <w:sz w:val="24"/>
          <w:szCs w:val="24"/>
          <w:color w:val="auto"/>
        </w:rPr>
      </w:pPr>
    </w:p>
    <w:p>
      <w:pPr>
        <w:sectPr>
          <w:pgSz w:w="11900" w:h="16838" w:orient="portrait"/>
          <w:cols w:equalWidth="0" w:num="8">
            <w:col w:w="2040" w:space="520"/>
            <w:col w:w="200" w:space="720"/>
            <w:col w:w="1200" w:space="680"/>
            <w:col w:w="160" w:space="620"/>
            <w:col w:w="1520" w:space="520"/>
            <w:col w:w="160" w:space="400"/>
            <w:col w:w="1960" w:space="300"/>
            <w:col w:w="240"/>
          </w:cols>
          <w:pgMar w:left="320" w:top="971" w:right="339" w:bottom="1440" w:gutter="0" w:footer="0" w:header="0"/>
          <w:type w:val="continuous"/>
        </w:sectPr>
      </w:pPr>
    </w:p>
    <w:p>
      <w:pPr>
        <w:spacing w:after="0" w:line="6" w:lineRule="exact"/>
        <w:rPr>
          <w:sz w:val="24"/>
          <w:szCs w:val="24"/>
          <w:color w:val="auto"/>
        </w:rPr>
      </w:pPr>
    </w:p>
    <w:p>
      <w:pPr>
        <w:ind w:left="87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2">
            <w:col w:w="10700" w:space="300"/>
            <w:col w:w="240"/>
          </w:cols>
          <w:pgMar w:left="320" w:top="971" w:right="339" w:bottom="1440" w:gutter="0" w:footer="0" w:header="0"/>
          <w:type w:val="continuous"/>
        </w:sectPr>
      </w:pPr>
    </w:p>
    <w:p>
      <w:pPr>
        <w:spacing w:after="0" w:line="197" w:lineRule="exact"/>
        <w:rPr>
          <w:sz w:val="24"/>
          <w:szCs w:val="24"/>
          <w:color w:val="auto"/>
        </w:rPr>
      </w:pPr>
    </w:p>
    <w:p>
      <w:pPr>
        <w:ind w:right="1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Arial" w:cs="Arial" w:eastAsia="Arial" w:hAnsi="Arial"/>
          <w:sz w:val="18"/>
          <w:szCs w:val="18"/>
          <w:color w:val="auto"/>
        </w:rPr>
        <w:t>Common Stock, one dollar par value—147,408,714 shares, as of July 17, 2020.</w:t>
      </w:r>
    </w:p>
    <w:p>
      <w:pPr>
        <w:ind w:left="660"/>
        <w:spacing w:after="0"/>
        <w:rPr>
          <w:sz w:val="20"/>
          <w:szCs w:val="20"/>
          <w:color w:val="auto"/>
        </w:rPr>
      </w:pPr>
      <w:r>
        <w:rPr>
          <w:rFonts w:ascii="Arial" w:cs="Arial" w:eastAsia="Arial" w:hAnsi="Arial"/>
          <w:sz w:val="18"/>
          <w:szCs w:val="18"/>
          <w:color w:val="auto"/>
        </w:rPr>
        <w:t>Class B Common Stock, one dollar par value—60,613,777 shares, as of July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June 28, 2020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CCEEFF"/>
          </w:tcPr>
          <w:p>
            <w:pPr>
              <w:spacing w:after="0"/>
              <w:rPr>
                <w:sz w:val="17"/>
                <w:szCs w:val="17"/>
                <w:color w:val="auto"/>
              </w:rPr>
            </w:pPr>
          </w:p>
        </w:tc>
        <w:tc>
          <w:tcPr>
            <w:tcW w:w="9600" w:type="dxa"/>
            <w:vAlign w:val="bottom"/>
            <w:gridSpan w:val="15"/>
            <w:shd w:val="clear" w:color="auto" w:fill="CCEEFF"/>
          </w:tcPr>
          <w:p>
            <w:pPr>
              <w:spacing w:after="0"/>
              <w:rPr>
                <w:sz w:val="20"/>
                <w:szCs w:val="20"/>
                <w:color w:val="auto"/>
              </w:rPr>
            </w:pPr>
            <w:r>
              <w:rPr>
                <w:rFonts w:ascii="Arial" w:cs="Arial" w:eastAsia="Arial" w:hAnsi="Arial"/>
                <w:sz w:val="16"/>
                <w:szCs w:val="16"/>
                <w:color w:val="0000FF"/>
              </w:rPr>
              <w:t>PART I. FINANCIAL INFORMATION</w:t>
            </w:r>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2</w:t>
              </w:r>
            </w:hyperlink>
          </w:p>
        </w:tc>
      </w:tr>
      <w:tr>
        <w:trPr>
          <w:trHeight w:val="176"/>
        </w:trPr>
        <w:tc>
          <w:tcPr>
            <w:tcW w:w="20" w:type="dxa"/>
            <w:vAlign w:val="bottom"/>
            <w:tcBorders>
              <w:top w:val="single" w:sz="8" w:color="CCEEFF"/>
            </w:tcBorders>
          </w:tcPr>
          <w:p>
            <w:pPr>
              <w:spacing w:after="0"/>
              <w:rPr>
                <w:sz w:val="15"/>
                <w:szCs w:val="15"/>
                <w:color w:val="auto"/>
              </w:rPr>
            </w:pPr>
          </w:p>
        </w:tc>
        <w:tc>
          <w:tcPr>
            <w:tcW w:w="2600" w:type="dxa"/>
            <w:vAlign w:val="bottom"/>
            <w:tcBorders>
              <w:top w:val="single" w:sz="8" w:color="0000FF"/>
            </w:tcBorders>
            <w:gridSpan w:val="10"/>
          </w:tcPr>
          <w:p>
            <w:pPr>
              <w:ind w:left="120"/>
              <w:spacing w:after="0" w:line="175" w:lineRule="exact"/>
              <w:rPr>
                <w:sz w:val="20"/>
                <w:szCs w:val="20"/>
                <w:color w:val="auto"/>
              </w:rPr>
            </w:pPr>
            <w:r>
              <w:rPr>
                <w:rFonts w:ascii="Arial" w:cs="Arial" w:eastAsia="Arial" w:hAnsi="Arial"/>
                <w:sz w:val="16"/>
                <w:szCs w:val="16"/>
                <w:color w:val="0000FF"/>
              </w:rPr>
              <w:t>Item 1. Financial Statements</w:t>
            </w:r>
          </w:p>
        </w:tc>
        <w:tc>
          <w:tcPr>
            <w:tcW w:w="7000" w:type="dxa"/>
            <w:vAlign w:val="bottom"/>
            <w:tcBorders>
              <w:top w:val="single" w:sz="8" w:color="CCEEFF"/>
            </w:tcBorders>
            <w:gridSpan w:val="5"/>
          </w:tcPr>
          <w:p>
            <w:pPr>
              <w:spacing w:after="0"/>
              <w:rPr>
                <w:sz w:val="15"/>
                <w:szCs w:val="15"/>
                <w:color w:val="auto"/>
              </w:rPr>
            </w:pPr>
          </w:p>
        </w:tc>
        <w:tc>
          <w:tcPr>
            <w:tcW w:w="1620" w:type="dxa"/>
            <w:vAlign w:val="bottom"/>
            <w:tcBorders>
              <w:top w:val="single" w:sz="8" w:color="CCEEFF"/>
            </w:tcBorders>
          </w:tcPr>
          <w:p>
            <w:pPr>
              <w:jc w:val="right"/>
              <w:spacing w:after="0" w:line="175" w:lineRule="exact"/>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80" w:type="dxa"/>
            <w:vAlign w:val="bottom"/>
            <w:gridSpan w:val="14"/>
            <w:shd w:val="clear" w:color="auto" w:fill="CCEEFF"/>
          </w:tcPr>
          <w:p>
            <w:pPr>
              <w:ind w:left="8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Consolidated Statements of Income for the Three and Six Months Ended June 28, 2020 and June 30, 2019</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14"/>
          </w:tcPr>
          <w:p>
            <w:pPr>
              <w:ind w:left="8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Consolidated Statements of Comprehensive Income for the Three and Six Months Ended June 28, 2020 and June 30, 2019</w:t>
              </w:r>
            </w:hyperlink>
          </w:p>
        </w:tc>
        <w:tc>
          <w:tcPr>
            <w:tcW w:w="162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80" w:type="dxa"/>
            <w:vAlign w:val="bottom"/>
            <w:gridSpan w:val="14"/>
            <w:shd w:val="clear" w:color="auto" w:fill="CCEEFF"/>
          </w:tcPr>
          <w:p>
            <w:pPr>
              <w:ind w:left="8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Consolidated Balance Sheets as of June 28, 2020 and December 31, 2019</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gridSpan w:val="14"/>
          </w:tcPr>
          <w:p>
            <w:pPr>
              <w:ind w:left="8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Consolidated Statements of Cash Flows for the Six Months Ended June 28, 2020 and June 30, 2019</w:t>
              </w:r>
            </w:hyperlink>
          </w:p>
        </w:tc>
        <w:tc>
          <w:tcPr>
            <w:tcW w:w="162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80" w:type="dxa"/>
            <w:vAlign w:val="bottom"/>
            <w:gridSpan w:val="14"/>
            <w:shd w:val="clear" w:color="auto" w:fill="CCEEFF"/>
          </w:tcPr>
          <w:p>
            <w:pPr>
              <w:ind w:left="8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Consolidated Statement of Stockholders' Equity for the Three and Six Months Ended June 28, 2020 and June 30, 2019</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80" w:type="dxa"/>
            <w:vAlign w:val="bottom"/>
            <w:gridSpan w:val="14"/>
          </w:tcPr>
          <w:p>
            <w:pPr>
              <w:ind w:left="80"/>
              <w:spacing w:after="0" w:line="175" w:lineRule="exact"/>
              <w:rPr>
                <w:sz w:val="20"/>
                <w:szCs w:val="20"/>
                <w:color w:val="auto"/>
              </w:rPr>
            </w:pPr>
            <w:r>
              <w:rPr>
                <w:rFonts w:ascii="Arial" w:cs="Arial" w:eastAsia="Arial" w:hAnsi="Arial"/>
                <w:sz w:val="16"/>
                <w:szCs w:val="16"/>
                <w:color w:val="0000FF"/>
              </w:rPr>
              <w:t>Notes to Unaudited Consolidated Financial Statements</w:t>
            </w:r>
          </w:p>
        </w:tc>
        <w:tc>
          <w:tcPr>
            <w:tcW w:w="1620" w:type="dxa"/>
            <w:vAlign w:val="bottom"/>
          </w:tcPr>
          <w:p>
            <w:pPr>
              <w:jc w:val="right"/>
              <w:spacing w:after="0" w:line="175" w:lineRule="exact"/>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8</w:t>
              </w:r>
            </w:hyperlink>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0" w:type="dxa"/>
            <w:vAlign w:val="bottom"/>
            <w:gridSpan w:val="13"/>
            <w:shd w:val="clear" w:color="auto" w:fill="CCEEFF"/>
          </w:tcPr>
          <w:p>
            <w:pPr>
              <w:ind w:left="340"/>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Note 1 - Summary of Significant Accounting Policies</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8</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gridSpan w:val="13"/>
          </w:tcPr>
          <w:p>
            <w:pPr>
              <w:ind w:left="340"/>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Note 2 - Business Acquisition and Divestitures</w:t>
              </w:r>
            </w:hyperlink>
          </w:p>
        </w:tc>
        <w:tc>
          <w:tcPr>
            <w:tcW w:w="1620" w:type="dxa"/>
            <w:vAlign w:val="bottom"/>
          </w:tcPr>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10</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0" w:type="dxa"/>
            <w:vAlign w:val="bottom"/>
            <w:gridSpan w:val="13"/>
            <w:shd w:val="clear" w:color="auto" w:fill="CCEEFF"/>
          </w:tcPr>
          <w:p>
            <w:pPr>
              <w:ind w:left="340"/>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Note 3 - Goodwill and Intangible Assets</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11</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gridSpan w:val="13"/>
          </w:tcPr>
          <w:p>
            <w:pPr>
              <w:ind w:left="340"/>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Note 4 - Short and Long-Term Debt</w:t>
              </w:r>
            </w:hyperlink>
          </w:p>
        </w:tc>
        <w:tc>
          <w:tcPr>
            <w:tcW w:w="1620" w:type="dxa"/>
            <w:vAlign w:val="bottom"/>
          </w:tcPr>
          <w:p>
            <w:pPr>
              <w:jc w:val="right"/>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11</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0" w:type="dxa"/>
            <w:vAlign w:val="bottom"/>
            <w:gridSpan w:val="13"/>
            <w:shd w:val="clear" w:color="auto" w:fill="CCEEFF"/>
          </w:tcPr>
          <w:p>
            <w:pPr>
              <w:ind w:left="340"/>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Note 5 - Derivative Instruments</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13</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gridSpan w:val="13"/>
          </w:tcPr>
          <w:p>
            <w:pPr>
              <w:ind w:left="340"/>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Note 6 - Fair Value Measurements</w:t>
              </w:r>
            </w:hyperlink>
          </w:p>
        </w:tc>
        <w:tc>
          <w:tcPr>
            <w:tcW w:w="1620" w:type="dxa"/>
            <w:vAlign w:val="bottom"/>
          </w:tcPr>
          <w:p>
            <w:pPr>
              <w:jc w:val="right"/>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16</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0" w:type="dxa"/>
            <w:vAlign w:val="bottom"/>
            <w:gridSpan w:val="13"/>
            <w:shd w:val="clear" w:color="auto" w:fill="CCEEFF"/>
          </w:tcPr>
          <w:p>
            <w:pPr>
              <w:ind w:left="340"/>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Note 7 - Leases</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18</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gridSpan w:val="13"/>
          </w:tcPr>
          <w:p>
            <w:pPr>
              <w:ind w:left="340"/>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Note 8 - Assets and Liabilities Held for Sale</w:t>
              </w:r>
            </w:hyperlink>
          </w:p>
        </w:tc>
        <w:tc>
          <w:tcPr>
            <w:tcW w:w="1620" w:type="dxa"/>
            <w:vAlign w:val="bottom"/>
          </w:tcPr>
          <w:p>
            <w:pPr>
              <w:jc w:val="right"/>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20</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0" w:type="dxa"/>
            <w:vAlign w:val="bottom"/>
            <w:gridSpan w:val="13"/>
            <w:shd w:val="clear" w:color="auto" w:fill="CCEEFF"/>
          </w:tcPr>
          <w:p>
            <w:pPr>
              <w:ind w:left="340"/>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Note 9 - Business Realignment Activities</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20</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gridSpan w:val="13"/>
          </w:tcPr>
          <w:p>
            <w:pPr>
              <w:ind w:left="340"/>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Note 10 - Income Taxes</w:t>
              </w:r>
            </w:hyperlink>
          </w:p>
        </w:tc>
        <w:tc>
          <w:tcPr>
            <w:tcW w:w="1620" w:type="dxa"/>
            <w:vAlign w:val="bottom"/>
          </w:tcPr>
          <w:p>
            <w:pPr>
              <w:jc w:val="right"/>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21</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0" w:type="dxa"/>
            <w:vAlign w:val="bottom"/>
            <w:gridSpan w:val="13"/>
            <w:shd w:val="clear" w:color="auto" w:fill="CCEEFF"/>
          </w:tcPr>
          <w:p>
            <w:pPr>
              <w:ind w:left="340"/>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Note 11 - Pension and Other Post-Retirement Benefit Plans</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22</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gridSpan w:val="13"/>
          </w:tcPr>
          <w:p>
            <w:pPr>
              <w:ind w:left="340"/>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Note 12 - Stock Compensation Plans</w:t>
              </w:r>
            </w:hyperlink>
          </w:p>
        </w:tc>
        <w:tc>
          <w:tcPr>
            <w:tcW w:w="1620" w:type="dxa"/>
            <w:vAlign w:val="bottom"/>
          </w:tcPr>
          <w:p>
            <w:pPr>
              <w:jc w:val="right"/>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23</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0" w:type="dxa"/>
            <w:vAlign w:val="bottom"/>
            <w:gridSpan w:val="13"/>
            <w:shd w:val="clear" w:color="auto" w:fill="CCEEFF"/>
          </w:tcPr>
          <w:p>
            <w:pPr>
              <w:ind w:left="34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Note 13 - Segment Information</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25</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gridSpan w:val="13"/>
          </w:tcPr>
          <w:p>
            <w:pPr>
              <w:ind w:left="34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Note 14 - Treasury Stock Activity</w:t>
              </w:r>
            </w:hyperlink>
          </w:p>
        </w:tc>
        <w:tc>
          <w:tcPr>
            <w:tcW w:w="1620" w:type="dxa"/>
            <w:vAlign w:val="bottom"/>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28</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0" w:type="dxa"/>
            <w:vAlign w:val="bottom"/>
            <w:gridSpan w:val="13"/>
            <w:shd w:val="clear" w:color="auto" w:fill="CCEEFF"/>
          </w:tcPr>
          <w:p>
            <w:pPr>
              <w:ind w:left="34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Note 15 - Noncontrolling Interest</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28</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gridSpan w:val="13"/>
          </w:tcPr>
          <w:p>
            <w:pPr>
              <w:ind w:left="34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Note 16 - Contingencies</w:t>
              </w:r>
            </w:hyperlink>
          </w:p>
        </w:tc>
        <w:tc>
          <w:tcPr>
            <w:tcW w:w="1620" w:type="dxa"/>
            <w:vAlign w:val="bottom"/>
          </w:tcPr>
          <w:p>
            <w:pPr>
              <w:jc w:val="right"/>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29</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0" w:type="dxa"/>
            <w:vAlign w:val="bottom"/>
            <w:gridSpan w:val="13"/>
            <w:shd w:val="clear" w:color="auto" w:fill="CCEEFF"/>
          </w:tcPr>
          <w:p>
            <w:pPr>
              <w:ind w:left="34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Note 17 - Earnings Per Share</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29</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gridSpan w:val="13"/>
          </w:tcPr>
          <w:p>
            <w:pPr>
              <w:ind w:left="34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Note 18 - Other (Income) Expense, Net</w:t>
              </w:r>
            </w:hyperlink>
          </w:p>
        </w:tc>
        <w:tc>
          <w:tcPr>
            <w:tcW w:w="1620" w:type="dxa"/>
            <w:vAlign w:val="bottom"/>
          </w:tcPr>
          <w:p>
            <w:pPr>
              <w:jc w:val="right"/>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31</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0" w:type="dxa"/>
            <w:vAlign w:val="bottom"/>
            <w:gridSpan w:val="13"/>
            <w:shd w:val="clear" w:color="auto" w:fill="CCEEFF"/>
          </w:tcPr>
          <w:p>
            <w:pPr>
              <w:ind w:left="340"/>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Note 19 - Supplemental Balance Sheet Information</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r>
      <w:tr>
        <w:trPr>
          <w:trHeight w:val="175"/>
        </w:trPr>
        <w:tc>
          <w:tcPr>
            <w:tcW w:w="20" w:type="dxa"/>
            <w:vAlign w:val="bottom"/>
          </w:tcPr>
          <w:p>
            <w:pPr>
              <w:spacing w:after="0"/>
              <w:rPr>
                <w:sz w:val="15"/>
                <w:szCs w:val="15"/>
                <w:color w:val="auto"/>
              </w:rPr>
            </w:pPr>
          </w:p>
        </w:tc>
        <w:tc>
          <w:tcPr>
            <w:tcW w:w="9600" w:type="dxa"/>
            <w:vAlign w:val="bottom"/>
            <w:gridSpan w:val="15"/>
          </w:tcPr>
          <w:p>
            <w:pPr>
              <w:ind w:left="120"/>
              <w:spacing w:after="0" w:line="175" w:lineRule="exact"/>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620" w:type="dxa"/>
            <w:vAlign w:val="bottom"/>
          </w:tcPr>
          <w:p>
            <w:pPr>
              <w:jc w:val="right"/>
              <w:spacing w:after="0" w:line="175" w:lineRule="exact"/>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34</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80" w:type="dxa"/>
            <w:vAlign w:val="bottom"/>
            <w:gridSpan w:val="14"/>
            <w:shd w:val="clear" w:color="auto" w:fill="CCEEFF"/>
          </w:tcPr>
          <w:p>
            <w:pPr>
              <w:spacing w:after="0" w:line="175" w:lineRule="exact"/>
              <w:rPr>
                <w:sz w:val="20"/>
                <w:szCs w:val="20"/>
                <w:color w:val="auto"/>
              </w:rPr>
            </w:pPr>
            <w:r>
              <w:rPr>
                <w:rFonts w:ascii="Arial" w:cs="Arial" w:eastAsia="Arial" w:hAnsi="Arial"/>
                <w:sz w:val="16"/>
                <w:szCs w:val="16"/>
                <w:color w:val="0000FF"/>
              </w:rPr>
              <w:t>Item 3. Quantitative and Qualitative Disclosures About Market Risk</w:t>
            </w:r>
          </w:p>
        </w:tc>
        <w:tc>
          <w:tcPr>
            <w:tcW w:w="1620" w:type="dxa"/>
            <w:vAlign w:val="bottom"/>
            <w:shd w:val="clear" w:color="auto" w:fill="CCEEFF"/>
          </w:tcPr>
          <w:p>
            <w:pPr>
              <w:jc w:val="right"/>
              <w:spacing w:after="0" w:line="175" w:lineRule="exact"/>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48</w:t>
              </w:r>
            </w:hyperlink>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20" w:type="dxa"/>
            <w:vAlign w:val="bottom"/>
            <w:tcBorders>
              <w:top w:val="single" w:sz="8" w:color="0000FF"/>
            </w:tcBorders>
            <w:gridSpan w:val="12"/>
          </w:tcPr>
          <w:p>
            <w:pPr>
              <w:spacing w:after="0" w:line="175" w:lineRule="exact"/>
              <w:rPr>
                <w:sz w:val="20"/>
                <w:szCs w:val="20"/>
                <w:color w:val="auto"/>
              </w:rPr>
            </w:pPr>
            <w:r>
              <w:rPr>
                <w:rFonts w:ascii="Arial" w:cs="Arial" w:eastAsia="Arial" w:hAnsi="Arial"/>
                <w:sz w:val="16"/>
                <w:szCs w:val="16"/>
                <w:color w:val="0000FF"/>
              </w:rPr>
              <w:t>Item 4. Controls and Procedures</w:t>
            </w:r>
          </w:p>
        </w:tc>
        <w:tc>
          <w:tcPr>
            <w:tcW w:w="5060" w:type="dxa"/>
            <w:vAlign w:val="bottom"/>
            <w:tcBorders>
              <w:top w:val="single" w:sz="8" w:color="CCEEFF"/>
            </w:tcBorders>
            <w:gridSpan w:val="2"/>
          </w:tcPr>
          <w:p>
            <w:pPr>
              <w:spacing w:after="0"/>
              <w:rPr>
                <w:sz w:val="15"/>
                <w:szCs w:val="15"/>
                <w:color w:val="auto"/>
              </w:rPr>
            </w:pPr>
          </w:p>
        </w:tc>
        <w:tc>
          <w:tcPr>
            <w:tcW w:w="1620" w:type="dxa"/>
            <w:vAlign w:val="bottom"/>
            <w:tcBorders>
              <w:top w:val="single" w:sz="8" w:color="CCEEFF"/>
            </w:tcBorders>
          </w:tcPr>
          <w:p>
            <w:pPr>
              <w:jc w:val="right"/>
              <w:spacing w:after="0" w:line="175" w:lineRule="exact"/>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49</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600" w:type="dxa"/>
            <w:vAlign w:val="bottom"/>
            <w:gridSpan w:val="15"/>
            <w:shd w:val="clear" w:color="auto" w:fill="CCEEFF"/>
          </w:tcPr>
          <w:p>
            <w:pPr>
              <w:spacing w:after="0" w:line="175" w:lineRule="exact"/>
              <w:rPr>
                <w:sz w:val="20"/>
                <w:szCs w:val="20"/>
                <w:color w:val="auto"/>
              </w:rPr>
            </w:pPr>
            <w:r>
              <w:rPr>
                <w:rFonts w:ascii="Arial" w:cs="Arial" w:eastAsia="Arial" w:hAnsi="Arial"/>
                <w:sz w:val="16"/>
                <w:szCs w:val="16"/>
                <w:color w:val="0000FF"/>
              </w:rPr>
              <w:t>PART II. OTHER INFORMATION</w:t>
            </w:r>
          </w:p>
        </w:tc>
        <w:tc>
          <w:tcPr>
            <w:tcW w:w="1620" w:type="dxa"/>
            <w:vAlign w:val="bottom"/>
            <w:shd w:val="clear" w:color="auto" w:fill="CCEEFF"/>
          </w:tcPr>
          <w:p>
            <w:pPr>
              <w:jc w:val="right"/>
              <w:spacing w:after="0" w:line="175" w:lineRule="exact"/>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50</w:t>
              </w:r>
            </w:hyperlink>
          </w:p>
        </w:tc>
      </w:tr>
      <w:tr>
        <w:trPr>
          <w:trHeight w:val="176"/>
        </w:trPr>
        <w:tc>
          <w:tcPr>
            <w:tcW w:w="20" w:type="dxa"/>
            <w:vAlign w:val="bottom"/>
            <w:tcBorders>
              <w:top w:val="single" w:sz="8" w:color="CCEEFF"/>
            </w:tcBorders>
          </w:tcPr>
          <w:p>
            <w:pPr>
              <w:spacing w:after="0"/>
              <w:rPr>
                <w:sz w:val="15"/>
                <w:szCs w:val="15"/>
                <w:color w:val="auto"/>
              </w:rPr>
            </w:pPr>
          </w:p>
        </w:tc>
        <w:tc>
          <w:tcPr>
            <w:tcW w:w="2320" w:type="dxa"/>
            <w:vAlign w:val="bottom"/>
            <w:tcBorders>
              <w:top w:val="single" w:sz="8" w:color="0000FF"/>
            </w:tcBorders>
            <w:gridSpan w:val="9"/>
          </w:tcPr>
          <w:p>
            <w:pPr>
              <w:ind w:left="120"/>
              <w:spacing w:after="0" w:line="175" w:lineRule="exact"/>
              <w:rPr>
                <w:sz w:val="20"/>
                <w:szCs w:val="20"/>
                <w:color w:val="auto"/>
              </w:rPr>
            </w:pPr>
            <w:r>
              <w:rPr>
                <w:rFonts w:ascii="Arial" w:cs="Arial" w:eastAsia="Arial" w:hAnsi="Arial"/>
                <w:sz w:val="16"/>
                <w:szCs w:val="16"/>
                <w:color w:val="0000FF"/>
              </w:rPr>
              <w:t>Item 1. Legal Proceedings</w:t>
            </w:r>
          </w:p>
        </w:tc>
        <w:tc>
          <w:tcPr>
            <w:tcW w:w="7280" w:type="dxa"/>
            <w:vAlign w:val="bottom"/>
            <w:tcBorders>
              <w:top w:val="single" w:sz="8" w:color="CCEEFF"/>
            </w:tcBorders>
            <w:gridSpan w:val="6"/>
          </w:tcPr>
          <w:p>
            <w:pPr>
              <w:spacing w:after="0"/>
              <w:rPr>
                <w:sz w:val="15"/>
                <w:szCs w:val="15"/>
                <w:color w:val="auto"/>
              </w:rPr>
            </w:pPr>
          </w:p>
        </w:tc>
        <w:tc>
          <w:tcPr>
            <w:tcW w:w="1620" w:type="dxa"/>
            <w:vAlign w:val="bottom"/>
            <w:tcBorders>
              <w:top w:val="single" w:sz="8" w:color="CCEEFF"/>
            </w:tcBorders>
          </w:tcPr>
          <w:p>
            <w:pPr>
              <w:jc w:val="right"/>
              <w:spacing w:after="0" w:line="175" w:lineRule="exact"/>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50</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FF"/>
            </w:tcBorders>
            <w:gridSpan w:val="3"/>
            <w:shd w:val="clear" w:color="auto" w:fill="CCEEFF"/>
          </w:tcPr>
          <w:p>
            <w:pPr>
              <w:spacing w:after="0" w:line="175" w:lineRule="exact"/>
              <w:rPr>
                <w:sz w:val="20"/>
                <w:szCs w:val="20"/>
                <w:color w:val="auto"/>
              </w:rPr>
            </w:pPr>
            <w:r>
              <w:rPr>
                <w:rFonts w:ascii="Arial" w:cs="Arial" w:eastAsia="Arial" w:hAnsi="Arial"/>
                <w:sz w:val="16"/>
                <w:szCs w:val="16"/>
                <w:color w:val="0000FF"/>
                <w:w w:val="92"/>
              </w:rPr>
              <w:t>Item 1A. Risk Factors</w:t>
            </w:r>
          </w:p>
        </w:tc>
        <w:tc>
          <w:tcPr>
            <w:tcW w:w="8040" w:type="dxa"/>
            <w:vAlign w:val="bottom"/>
            <w:tcBorders>
              <w:bottom w:val="single" w:sz="8" w:color="CCEEFF"/>
            </w:tcBorders>
            <w:gridSpan w:val="11"/>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line="175" w:lineRule="exact"/>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50</w:t>
              </w:r>
            </w:hyperlink>
          </w:p>
        </w:tc>
      </w:tr>
      <w:tr>
        <w:trPr>
          <w:trHeight w:val="175"/>
        </w:trPr>
        <w:tc>
          <w:tcPr>
            <w:tcW w:w="20" w:type="dxa"/>
            <w:vAlign w:val="bottom"/>
          </w:tcPr>
          <w:p>
            <w:pPr>
              <w:spacing w:after="0"/>
              <w:rPr>
                <w:sz w:val="15"/>
                <w:szCs w:val="15"/>
                <w:color w:val="auto"/>
              </w:rPr>
            </w:pPr>
          </w:p>
        </w:tc>
        <w:tc>
          <w:tcPr>
            <w:tcW w:w="9600" w:type="dxa"/>
            <w:vAlign w:val="bottom"/>
            <w:gridSpan w:val="15"/>
          </w:tcPr>
          <w:p>
            <w:pPr>
              <w:ind w:left="120"/>
              <w:spacing w:after="0" w:line="175" w:lineRule="exact"/>
              <w:rPr>
                <w:sz w:val="20"/>
                <w:szCs w:val="20"/>
                <w:color w:val="auto"/>
              </w:rPr>
            </w:pPr>
            <w:r>
              <w:rPr>
                <w:rFonts w:ascii="Arial" w:cs="Arial" w:eastAsia="Arial" w:hAnsi="Arial"/>
                <w:sz w:val="16"/>
                <w:szCs w:val="16"/>
                <w:color w:val="0000FF"/>
              </w:rPr>
              <w:t>Item 2. Unregistered Sales of Equity Securities and Use of Proceeds</w:t>
            </w:r>
          </w:p>
        </w:tc>
        <w:tc>
          <w:tcPr>
            <w:tcW w:w="1620" w:type="dxa"/>
            <w:vAlign w:val="bottom"/>
          </w:tcPr>
          <w:p>
            <w:pPr>
              <w:jc w:val="right"/>
              <w:spacing w:after="0" w:line="175" w:lineRule="exact"/>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50</w:t>
              </w:r>
            </w:hyperlink>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FF"/>
            </w:tcBorders>
            <w:gridSpan w:val="10"/>
            <w:shd w:val="clear" w:color="auto" w:fill="CCEEFF"/>
          </w:tcPr>
          <w:p>
            <w:pPr>
              <w:spacing w:after="0" w:line="175" w:lineRule="exact"/>
              <w:rPr>
                <w:sz w:val="20"/>
                <w:szCs w:val="20"/>
                <w:color w:val="auto"/>
              </w:rPr>
            </w:pPr>
            <w:r>
              <w:rPr>
                <w:rFonts w:ascii="Arial" w:cs="Arial" w:eastAsia="Arial" w:hAnsi="Arial"/>
                <w:sz w:val="16"/>
                <w:szCs w:val="16"/>
                <w:color w:val="0000FF"/>
                <w:w w:val="92"/>
              </w:rPr>
              <w:t>Item 3. Defaults Upon Senior Securities</w:t>
            </w:r>
          </w:p>
        </w:tc>
        <w:tc>
          <w:tcPr>
            <w:tcW w:w="6880" w:type="dxa"/>
            <w:vAlign w:val="bottom"/>
            <w:tcBorders>
              <w:bottom w:val="single" w:sz="8" w:color="CCEEFF"/>
            </w:tcBorders>
            <w:gridSpan w:val="4"/>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line="175" w:lineRule="exact"/>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50</w:t>
              </w:r>
            </w:hyperlink>
          </w:p>
        </w:tc>
      </w:tr>
      <w:tr>
        <w:trPr>
          <w:trHeight w:val="175"/>
        </w:trPr>
        <w:tc>
          <w:tcPr>
            <w:tcW w:w="20" w:type="dxa"/>
            <w:vAlign w:val="bottom"/>
          </w:tcPr>
          <w:p>
            <w:pPr>
              <w:spacing w:after="0"/>
              <w:rPr>
                <w:sz w:val="15"/>
                <w:szCs w:val="15"/>
                <w:color w:val="auto"/>
              </w:rPr>
            </w:pPr>
          </w:p>
        </w:tc>
        <w:tc>
          <w:tcPr>
            <w:tcW w:w="9600" w:type="dxa"/>
            <w:vAlign w:val="bottom"/>
            <w:gridSpan w:val="15"/>
          </w:tcPr>
          <w:p>
            <w:pPr>
              <w:ind w:left="120"/>
              <w:spacing w:after="0" w:line="175" w:lineRule="exact"/>
              <w:rPr>
                <w:sz w:val="20"/>
                <w:szCs w:val="20"/>
                <w:color w:val="auto"/>
              </w:rPr>
            </w:pPr>
            <w:r>
              <w:rPr>
                <w:rFonts w:ascii="Arial" w:cs="Arial" w:eastAsia="Arial" w:hAnsi="Arial"/>
                <w:sz w:val="16"/>
                <w:szCs w:val="16"/>
                <w:color w:val="0000FF"/>
              </w:rPr>
              <w:t>Item 4. Mine Safety Disclosures</w:t>
            </w:r>
          </w:p>
        </w:tc>
        <w:tc>
          <w:tcPr>
            <w:tcW w:w="1620" w:type="dxa"/>
            <w:vAlign w:val="bottom"/>
          </w:tcPr>
          <w:p>
            <w:pPr>
              <w:jc w:val="right"/>
              <w:spacing w:after="0" w:line="175" w:lineRule="exact"/>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50</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80" w:type="dxa"/>
            <w:vAlign w:val="bottom"/>
            <w:gridSpan w:val="14"/>
            <w:shd w:val="clear" w:color="auto" w:fill="CCEEFF"/>
          </w:tcPr>
          <w:p>
            <w:pPr>
              <w:spacing w:after="0" w:line="175" w:lineRule="exact"/>
              <w:rPr>
                <w:sz w:val="20"/>
                <w:szCs w:val="20"/>
                <w:color w:val="auto"/>
              </w:rPr>
            </w:pPr>
            <w:r>
              <w:rPr>
                <w:rFonts w:ascii="Arial" w:cs="Arial" w:eastAsia="Arial" w:hAnsi="Arial"/>
                <w:sz w:val="16"/>
                <w:szCs w:val="16"/>
                <w:color w:val="0000FF"/>
              </w:rPr>
              <w:t>Item 5. Other Information</w:t>
            </w:r>
          </w:p>
        </w:tc>
        <w:tc>
          <w:tcPr>
            <w:tcW w:w="1620" w:type="dxa"/>
            <w:vAlign w:val="bottom"/>
            <w:shd w:val="clear" w:color="auto" w:fill="CCEEFF"/>
          </w:tcPr>
          <w:p>
            <w:pPr>
              <w:jc w:val="right"/>
              <w:spacing w:after="0" w:line="175" w:lineRule="exact"/>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50</w:t>
              </w:r>
            </w:hyperlink>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80" w:type="dxa"/>
            <w:vAlign w:val="bottom"/>
            <w:tcBorders>
              <w:top w:val="single" w:sz="8" w:color="0000FF"/>
            </w:tcBorders>
            <w:gridSpan w:val="4"/>
          </w:tcPr>
          <w:p>
            <w:pPr>
              <w:spacing w:after="0" w:line="175" w:lineRule="exact"/>
              <w:rPr>
                <w:sz w:val="20"/>
                <w:szCs w:val="20"/>
                <w:color w:val="auto"/>
              </w:rPr>
            </w:pPr>
            <w:r>
              <w:rPr>
                <w:rFonts w:ascii="Arial" w:cs="Arial" w:eastAsia="Arial" w:hAnsi="Arial"/>
                <w:sz w:val="16"/>
                <w:szCs w:val="16"/>
                <w:color w:val="0000FF"/>
              </w:rPr>
              <w:t>Item 6. Exhibits</w:t>
            </w:r>
          </w:p>
        </w:tc>
        <w:tc>
          <w:tcPr>
            <w:tcW w:w="7800" w:type="dxa"/>
            <w:vAlign w:val="bottom"/>
            <w:tcBorders>
              <w:top w:val="single" w:sz="8" w:color="CCEEFF"/>
            </w:tcBorders>
            <w:gridSpan w:val="10"/>
          </w:tcPr>
          <w:p>
            <w:pPr>
              <w:spacing w:after="0"/>
              <w:rPr>
                <w:sz w:val="15"/>
                <w:szCs w:val="15"/>
                <w:color w:val="auto"/>
              </w:rPr>
            </w:pPr>
          </w:p>
        </w:tc>
        <w:tc>
          <w:tcPr>
            <w:tcW w:w="1620" w:type="dxa"/>
            <w:vAlign w:val="bottom"/>
            <w:tcBorders>
              <w:top w:val="single" w:sz="8" w:color="CCEEFF"/>
            </w:tcBorders>
          </w:tcPr>
          <w:p>
            <w:pPr>
              <w:jc w:val="right"/>
              <w:spacing w:after="0" w:line="175" w:lineRule="exact"/>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51</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600" w:type="dxa"/>
            <w:vAlign w:val="bottom"/>
            <w:gridSpan w:val="15"/>
            <w:shd w:val="clear" w:color="auto" w:fill="CCEEFF"/>
          </w:tcPr>
          <w:p>
            <w:pP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Signature</w:t>
              </w:r>
            </w:hyperlink>
          </w:p>
        </w:tc>
        <w:tc>
          <w:tcPr>
            <w:tcW w:w="1620" w:type="dxa"/>
            <w:vAlign w:val="bottom"/>
            <w:shd w:val="clear" w:color="auto" w:fill="CCEEFF"/>
          </w:tcPr>
          <w:p>
            <w:pPr>
              <w:jc w:val="right"/>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28, 2020</w:t>
            </w: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28, 2020</w:t>
            </w:r>
          </w:p>
        </w:tc>
        <w:tc>
          <w:tcPr>
            <w:tcW w:w="14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June 30, 2019</w:t>
            </w:r>
          </w:p>
        </w:tc>
      </w:tr>
      <w:tr>
        <w:trPr>
          <w:trHeight w:val="27"/>
        </w:trPr>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1,707,329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1,767,217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3,744,646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3,783,705</w:t>
            </w:r>
          </w:p>
        </w:tc>
      </w:tr>
      <w:tr>
        <w:trPr>
          <w:trHeight w:val="270"/>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914,777</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892,473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2,085,472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2,016,457</w:t>
            </w:r>
          </w:p>
        </w:tc>
      </w:tr>
      <w:tr>
        <w:trPr>
          <w:trHeight w:val="263"/>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792,552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874,744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1,659,174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1,767,248</w:t>
            </w:r>
          </w:p>
        </w:tc>
      </w:tr>
      <w:tr>
        <w:trPr>
          <w:trHeight w:val="270"/>
        </w:trPr>
        <w:tc>
          <w:tcPr>
            <w:tcW w:w="5240" w:type="dxa"/>
            <w:vAlign w:val="bottom"/>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1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408,949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453,793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884,333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907,366</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 impairment charges</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4,741</w:t>
            </w:r>
          </w:p>
        </w:tc>
      </w:tr>
      <w:tr>
        <w:trPr>
          <w:trHeight w:val="270"/>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Business realignment (benefits) costs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6,140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6,202</w:t>
            </w:r>
          </w:p>
        </w:tc>
      </w:tr>
      <w:tr>
        <w:trPr>
          <w:trHeight w:val="263"/>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383,373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410,070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766,173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848,939</w:t>
            </w:r>
          </w:p>
        </w:tc>
      </w:tr>
      <w:tr>
        <w:trPr>
          <w:trHeight w:val="270"/>
        </w:trPr>
        <w:tc>
          <w:tcPr>
            <w:tcW w:w="52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38,079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33,776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74,334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71,234</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11,217</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13,125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22,750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18,602</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334,077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363,169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669,089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759,103</w:t>
            </w: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66,035</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49,898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132,264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141,951</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 including noncontrolling interest</w:t>
            </w: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268,042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313,271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536,825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617,152</w:t>
            </w: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(loss) income attributable to noncontrolling interest</w:t>
            </w: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64"/>
        </w:trPr>
        <w:tc>
          <w:tcPr>
            <w:tcW w:w="5240" w:type="dxa"/>
            <w:vAlign w:val="bottom"/>
          </w:tcPr>
          <w:p>
            <w:pPr>
              <w:ind w:left="6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268,901</w:t>
            </w:r>
          </w:p>
        </w:tc>
        <w:tc>
          <w:tcPr>
            <w:tcW w:w="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312,840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540,038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617,198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share—basic:</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3.03</w:t>
            </w:r>
          </w:p>
        </w:tc>
      </w:tr>
      <w:tr>
        <w:trPr>
          <w:trHeight w:val="270"/>
        </w:trPr>
        <w:tc>
          <w:tcPr>
            <w:tcW w:w="524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2.75</w:t>
            </w:r>
          </w:p>
        </w:tc>
      </w:tr>
      <w:tr>
        <w:trPr>
          <w:trHeight w:val="270"/>
        </w:trPr>
        <w:tc>
          <w:tcPr>
            <w:tcW w:w="5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share—diluted:</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2.93</w:t>
            </w:r>
          </w:p>
        </w:tc>
      </w:tr>
      <w:tr>
        <w:trPr>
          <w:trHeight w:val="270"/>
        </w:trPr>
        <w:tc>
          <w:tcPr>
            <w:tcW w:w="524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2.74</w:t>
            </w:r>
          </w:p>
        </w:tc>
      </w:tr>
      <w:tr>
        <w:trPr>
          <w:trHeight w:val="270"/>
        </w:trPr>
        <w:tc>
          <w:tcPr>
            <w:tcW w:w="5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Dividends paid per share:</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0.773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1.444</w:t>
            </w:r>
          </w:p>
        </w:tc>
      </w:tr>
      <w:tr>
        <w:trPr>
          <w:trHeight w:val="270"/>
        </w:trPr>
        <w:tc>
          <w:tcPr>
            <w:tcW w:w="524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0.702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0.656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1.312</w:t>
            </w: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1"/>
              </w:rPr>
              <w:t>For the three months ended</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w w:val="91"/>
              </w:rPr>
              <w:t>For the six months ended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w w:val="92"/>
              </w:rPr>
              <w:t>June 28, 2020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7"/>
          </w:tcPr>
          <w:p>
            <w:pPr>
              <w:jc w:val="center"/>
              <w:ind w:right="588"/>
              <w:spacing w:after="0"/>
              <w:rPr>
                <w:sz w:val="20"/>
                <w:szCs w:val="20"/>
                <w:color w:val="auto"/>
              </w:rPr>
            </w:pPr>
            <w:r>
              <w:rPr>
                <w:rFonts w:ascii="Arial" w:cs="Arial" w:eastAsia="Arial" w:hAnsi="Arial"/>
                <w:sz w:val="14"/>
                <w:szCs w:val="14"/>
                <w:b w:val="1"/>
                <w:bCs w:val="1"/>
                <w:color w:val="auto"/>
                <w:w w:val="92"/>
              </w:rPr>
              <w:t>June 28, 2020</w:t>
            </w:r>
          </w:p>
        </w:tc>
        <w:tc>
          <w:tcPr>
            <w:tcW w:w="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w w:val="94"/>
              </w:rPr>
              <w:t>June 30, 2019</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0"/>
              </w:rPr>
              <w:t>Tax</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Pre-Tax</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9"/>
              </w:rPr>
              <w:t>Tax</w:t>
            </w:r>
          </w:p>
        </w:tc>
        <w:tc>
          <w:tcPr>
            <w:tcW w:w="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80" w:type="dxa"/>
            <w:vAlign w:val="bottom"/>
          </w:tcPr>
          <w:p>
            <w:pPr>
              <w:spacing w:after="0"/>
              <w:rPr>
                <w:sz w:val="13"/>
                <w:szCs w:val="13"/>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Pre-Tax</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Tax</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14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rPr>
              <w:t>Pre-Tax  (Expense)  After-Tax</w:t>
            </w:r>
          </w:p>
        </w:tc>
        <w:tc>
          <w:tcPr>
            <w:tcW w:w="80" w:type="dxa"/>
            <w:vAlign w:val="bottom"/>
          </w:tcPr>
          <w:p>
            <w:pPr>
              <w:spacing w:after="0"/>
              <w:rPr>
                <w:sz w:val="12"/>
                <w:szCs w:val="12"/>
                <w:color w:val="auto"/>
              </w:rPr>
            </w:pPr>
          </w:p>
        </w:tc>
        <w:tc>
          <w:tcPr>
            <w:tcW w:w="2200" w:type="dxa"/>
            <w:vAlign w:val="bottom"/>
            <w:gridSpan w:val="7"/>
          </w:tcPr>
          <w:p>
            <w:pPr>
              <w:jc w:val="right"/>
              <w:spacing w:after="0" w:line="149" w:lineRule="exact"/>
              <w:rPr>
                <w:sz w:val="20"/>
                <w:szCs w:val="20"/>
                <w:color w:val="auto"/>
              </w:rPr>
            </w:pPr>
            <w:r>
              <w:rPr>
                <w:rFonts w:ascii="Arial" w:cs="Arial" w:eastAsia="Arial" w:hAnsi="Arial"/>
                <w:sz w:val="14"/>
                <w:szCs w:val="14"/>
                <w:b w:val="1"/>
                <w:bCs w:val="1"/>
                <w:color w:val="auto"/>
              </w:rPr>
              <w:t>Pre-Tax   (Expense)  After-Tax</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(Expense)</w:t>
            </w: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(Expense)</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w w:val="88"/>
              </w:rPr>
              <w:t>Benefit</w:t>
            </w:r>
          </w:p>
        </w:tc>
        <w:tc>
          <w:tcPr>
            <w:tcW w:w="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Benefit</w:t>
            </w:r>
          </w:p>
        </w:tc>
        <w:tc>
          <w:tcPr>
            <w:tcW w:w="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Benefit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39"/>
        </w:trPr>
        <w:tc>
          <w:tcPr>
            <w:tcW w:w="222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Net income including</w:t>
            </w: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$ 268,042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3"/>
              </w:rPr>
              <w:t>$ 313,271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w w:val="99"/>
              </w:rPr>
              <w:t>$ 536,825</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$ 617,152</w:t>
            </w:r>
          </w:p>
        </w:tc>
        <w:tc>
          <w:tcPr>
            <w:tcW w:w="0" w:type="dxa"/>
            <w:vAlign w:val="bottom"/>
          </w:tcPr>
          <w:p>
            <w:pPr>
              <w:spacing w:after="0"/>
              <w:rPr>
                <w:sz w:val="1"/>
                <w:szCs w:val="1"/>
                <w:color w:val="auto"/>
              </w:rPr>
            </w:pPr>
          </w:p>
        </w:tc>
      </w:tr>
      <w:tr>
        <w:trPr>
          <w:trHeight w:val="133"/>
        </w:trPr>
        <w:tc>
          <w:tcPr>
            <w:tcW w:w="22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Other comprehensive (loss)</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income, net of tax:</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20" w:type="dxa"/>
            <w:vAlign w:val="bottom"/>
          </w:tcPr>
          <w:p>
            <w:pPr>
              <w:ind w:left="220"/>
              <w:spacing w:after="0" w:line="157" w:lineRule="exact"/>
              <w:rPr>
                <w:sz w:val="20"/>
                <w:szCs w:val="20"/>
                <w:color w:val="auto"/>
              </w:rPr>
            </w:pPr>
            <w:r>
              <w:rPr>
                <w:rFonts w:ascii="Arial" w:cs="Arial" w:eastAsia="Arial" w:hAnsi="Arial"/>
                <w:sz w:val="14"/>
                <w:szCs w:val="14"/>
                <w:color w:val="auto"/>
              </w:rPr>
              <w:t>Foreign currency translation</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20" w:type="dxa"/>
            <w:vAlign w:val="bottom"/>
          </w:tcPr>
          <w:p>
            <w:pPr>
              <w:ind w:left="220"/>
              <w:spacing w:after="0"/>
              <w:rPr>
                <w:sz w:val="20"/>
                <w:szCs w:val="20"/>
                <w:color w:val="auto"/>
              </w:rPr>
            </w:pPr>
            <w:r>
              <w:rPr>
                <w:rFonts w:ascii="Arial" w:cs="Arial" w:eastAsia="Arial" w:hAnsi="Arial"/>
                <w:sz w:val="14"/>
                <w:szCs w:val="14"/>
                <w:color w:val="auto"/>
              </w:rPr>
              <w:t>gains (losses) during period</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w w:val="94"/>
              </w:rPr>
              <w:t>$  3,052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3,052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7,651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7,651</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 (48,292)</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(48,292)</w:t>
            </w: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$ 11,079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11,079</w:t>
            </w: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Pension and post-retirement</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benefit plans: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20" w:type="dxa"/>
            <w:vAlign w:val="bottom"/>
          </w:tcPr>
          <w:p>
            <w:pPr>
              <w:ind w:left="220"/>
              <w:spacing w:after="0" w:line="157" w:lineRule="exact"/>
              <w:rPr>
                <w:sz w:val="20"/>
                <w:szCs w:val="20"/>
                <w:color w:val="auto"/>
              </w:rPr>
            </w:pPr>
            <w:r>
              <w:rPr>
                <w:rFonts w:ascii="Arial" w:cs="Arial" w:eastAsia="Arial" w:hAnsi="Arial"/>
                <w:sz w:val="14"/>
                <w:szCs w:val="14"/>
                <w:color w:val="auto"/>
              </w:rPr>
              <w:t>Net actuarial (loss) gain and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20" w:type="dxa"/>
            <w:vAlign w:val="bottom"/>
          </w:tcPr>
          <w:p>
            <w:pPr>
              <w:ind w:left="220"/>
              <w:spacing w:after="0"/>
              <w:rPr>
                <w:sz w:val="20"/>
                <w:szCs w:val="20"/>
                <w:color w:val="auto"/>
              </w:rPr>
            </w:pPr>
            <w:r>
              <w:rPr>
                <w:rFonts w:ascii="Arial" w:cs="Arial" w:eastAsia="Arial" w:hAnsi="Arial"/>
                <w:sz w:val="14"/>
                <w:szCs w:val="14"/>
                <w:color w:val="auto"/>
              </w:rPr>
              <w:t>prior service cost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w w:val="99"/>
              </w:rPr>
              <w:t>(16,685)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3,954</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(12,731)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(16,685)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3,954</w:t>
            </w:r>
          </w:p>
        </w:tc>
        <w:tc>
          <w:tcPr>
            <w:tcW w:w="40" w:type="dxa"/>
            <w:vAlign w:val="bottom"/>
          </w:tcPr>
          <w:p>
            <w:pPr>
              <w:spacing w:after="0"/>
              <w:rPr>
                <w:sz w:val="16"/>
                <w:szCs w:val="16"/>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(12,731)</w:t>
            </w:r>
          </w:p>
        </w:tc>
        <w:tc>
          <w:tcPr>
            <w:tcW w:w="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to earnings</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(2,183)</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6,359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(1,773)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0"/>
              </w:rPr>
              <w:t>(2,731)</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10,566</w:t>
            </w: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13,438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(3,580)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9,858</w:t>
            </w:r>
          </w:p>
        </w:tc>
        <w:tc>
          <w:tcPr>
            <w:tcW w:w="0" w:type="dxa"/>
            <w:vAlign w:val="bottom"/>
          </w:tcPr>
          <w:p>
            <w:pPr>
              <w:spacing w:after="0"/>
              <w:rPr>
                <w:sz w:val="1"/>
                <w:szCs w:val="1"/>
                <w:color w:val="auto"/>
              </w:rPr>
            </w:pPr>
          </w:p>
        </w:tc>
      </w:tr>
      <w:tr>
        <w:trPr>
          <w:trHeight w:val="197"/>
        </w:trPr>
        <w:tc>
          <w:tcPr>
            <w:tcW w:w="2220" w:type="dxa"/>
            <w:vAlign w:val="bottom"/>
          </w:tcPr>
          <w:p>
            <w:pPr>
              <w:ind w:left="120"/>
              <w:spacing w:after="0"/>
              <w:rPr>
                <w:sz w:val="20"/>
                <w:szCs w:val="20"/>
                <w:color w:val="auto"/>
              </w:rPr>
            </w:pPr>
            <w:r>
              <w:rPr>
                <w:rFonts w:ascii="Arial" w:cs="Arial" w:eastAsia="Arial" w:hAnsi="Arial"/>
                <w:sz w:val="14"/>
                <w:szCs w:val="14"/>
                <w:color w:val="auto"/>
              </w:rPr>
              <w:t>Cash flow hedges: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Gains (losses) on cash flow</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hedging derivatives</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838</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1,513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(2,547)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6,056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5,788</w:t>
            </w: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(3,336)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Reclassification to earnings</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(817)</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(885)</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3,297</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0"/>
              </w:rPr>
              <w:t>(1,930)</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1,367</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(1,776)</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139"/>
        </w:trPr>
        <w:tc>
          <w:tcPr>
            <w:tcW w:w="22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w w:val="98"/>
              </w:rPr>
              <w:t>Total other comprehensive (loss)</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2"/>
              </w:rPr>
              <w:t>$ (3,211)</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1,792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88"/>
              </w:rPr>
              <w:t>13,219</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(1,528)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(42,327)</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$ 24,014</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(3,508)</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net of tax</w:t>
            </w:r>
          </w:p>
        </w:tc>
        <w:tc>
          <w:tcPr>
            <w:tcW w:w="640" w:type="dxa"/>
            <w:vAlign w:val="bottom"/>
            <w:vMerge w:val="continue"/>
            <w:shd w:val="clear" w:color="auto" w:fill="CCEEFF"/>
          </w:tcPr>
          <w:p>
            <w:pPr>
              <w:spacing w:after="0"/>
              <w:rPr>
                <w:sz w:val="20"/>
                <w:szCs w:val="20"/>
                <w:color w:val="auto"/>
              </w:rPr>
            </w:pPr>
          </w:p>
        </w:tc>
        <w:tc>
          <w:tcPr>
            <w:tcW w:w="160" w:type="dxa"/>
            <w:vAlign w:val="bottom"/>
            <w:gridSpan w:val="2"/>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(1,419)</w:t>
            </w:r>
          </w:p>
        </w:tc>
        <w:tc>
          <w:tcPr>
            <w:tcW w:w="200" w:type="dxa"/>
            <w:vAlign w:val="bottom"/>
            <w:gridSpan w:val="2"/>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180" w:type="dxa"/>
            <w:vAlign w:val="bottom"/>
            <w:gridSpan w:val="2"/>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11,691</w:t>
            </w:r>
          </w:p>
        </w:tc>
        <w:tc>
          <w:tcPr>
            <w:tcW w:w="740" w:type="dxa"/>
            <w:vAlign w:val="bottom"/>
            <w:gridSpan w:val="2"/>
            <w:vMerge w:val="continue"/>
            <w:shd w:val="clear" w:color="auto" w:fill="CCEEFF"/>
          </w:tcPr>
          <w:p>
            <w:pPr>
              <w:spacing w:after="0"/>
              <w:rPr>
                <w:sz w:val="20"/>
                <w:szCs w:val="20"/>
                <w:color w:val="auto"/>
              </w:rPr>
            </w:pPr>
          </w:p>
        </w:tc>
        <w:tc>
          <w:tcPr>
            <w:tcW w:w="240" w:type="dxa"/>
            <w:vAlign w:val="bottom"/>
            <w:gridSpan w:val="3"/>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(43,302)</w:t>
            </w:r>
          </w:p>
        </w:tc>
        <w:tc>
          <w:tcPr>
            <w:tcW w:w="720" w:type="dxa"/>
            <w:vAlign w:val="bottom"/>
            <w:gridSpan w:val="2"/>
            <w:vMerge w:val="continue"/>
            <w:shd w:val="clear" w:color="auto" w:fill="CCEEFF"/>
          </w:tcPr>
          <w:p>
            <w:pPr>
              <w:spacing w:after="0"/>
              <w:rPr>
                <w:sz w:val="20"/>
                <w:szCs w:val="20"/>
                <w:color w:val="auto"/>
              </w:rPr>
            </w:pPr>
          </w:p>
        </w:tc>
        <w:tc>
          <w:tcPr>
            <w:tcW w:w="180" w:type="dxa"/>
            <w:vAlign w:val="bottom"/>
            <w:gridSpan w:val="2"/>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20,506</w:t>
            </w:r>
          </w:p>
        </w:tc>
        <w:tc>
          <w:tcPr>
            <w:tcW w:w="0" w:type="dxa"/>
            <w:vAlign w:val="bottom"/>
          </w:tcPr>
          <w:p>
            <w:pPr>
              <w:spacing w:after="0"/>
              <w:rPr>
                <w:sz w:val="1"/>
                <w:szCs w:val="1"/>
                <w:color w:val="auto"/>
              </w:rPr>
            </w:pPr>
          </w:p>
        </w:tc>
      </w:tr>
      <w:tr>
        <w:trPr>
          <w:trHeight w:val="100"/>
        </w:trPr>
        <w:tc>
          <w:tcPr>
            <w:tcW w:w="2220" w:type="dxa"/>
            <w:vAlign w:val="bottom"/>
            <w:tcBorders>
              <w:top w:val="single" w:sz="8" w:color="CCEEFF"/>
            </w:tcBorders>
          </w:tcPr>
          <w:p>
            <w:pPr>
              <w:ind w:left="20"/>
              <w:spacing w:after="0" w:line="100" w:lineRule="exact"/>
              <w:rPr>
                <w:sz w:val="20"/>
                <w:szCs w:val="20"/>
                <w:color w:val="auto"/>
              </w:rPr>
            </w:pPr>
            <w:r>
              <w:rPr>
                <w:rFonts w:ascii="Arial" w:cs="Arial" w:eastAsia="Arial" w:hAnsi="Arial"/>
                <w:sz w:val="11"/>
                <w:szCs w:val="11"/>
                <w:b w:val="1"/>
                <w:bCs w:val="1"/>
                <w:color w:val="auto"/>
              </w:rPr>
              <w:t>Total comprehensive income</w:t>
            </w:r>
          </w:p>
        </w:tc>
        <w:tc>
          <w:tcPr>
            <w:tcW w:w="6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w w:val="99"/>
              </w:rPr>
              <w:t>including noncontrolling interest</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$ 266,623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$ 324,962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w w:val="99"/>
              </w:rPr>
              <w:t>$ 493,523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w w:val="89"/>
              </w:rPr>
              <w:t>$ 637,658</w:t>
            </w:r>
          </w:p>
        </w:tc>
        <w:tc>
          <w:tcPr>
            <w:tcW w:w="0" w:type="dxa"/>
            <w:vAlign w:val="bottom"/>
          </w:tcPr>
          <w:p>
            <w:pPr>
              <w:spacing w:after="0"/>
              <w:rPr>
                <w:sz w:val="1"/>
                <w:szCs w:val="1"/>
                <w:color w:val="auto"/>
              </w:rPr>
            </w:pPr>
          </w:p>
        </w:tc>
      </w:tr>
      <w:tr>
        <w:trPr>
          <w:trHeight w:val="143"/>
        </w:trPr>
        <w:tc>
          <w:tcPr>
            <w:tcW w:w="2220" w:type="dxa"/>
            <w:vAlign w:val="bottom"/>
            <w:tcBorders>
              <w:top w:val="single" w:sz="8" w:color="CCEEFF"/>
            </w:tcBorders>
            <w:shd w:val="clear" w:color="auto" w:fill="CCEEFF"/>
          </w:tcPr>
          <w:p>
            <w:pPr>
              <w:ind w:left="120"/>
              <w:spacing w:after="0" w:line="143" w:lineRule="exact"/>
              <w:rPr>
                <w:sz w:val="20"/>
                <w:szCs w:val="20"/>
                <w:color w:val="auto"/>
              </w:rPr>
            </w:pPr>
            <w:r>
              <w:rPr>
                <w:rFonts w:ascii="Arial" w:cs="Arial" w:eastAsia="Arial" w:hAnsi="Arial"/>
                <w:sz w:val="14"/>
                <w:szCs w:val="14"/>
                <w:color w:val="auto"/>
              </w:rPr>
              <w:t>Comprehensive (loss) income</w:t>
            </w:r>
          </w:p>
        </w:tc>
        <w:tc>
          <w:tcPr>
            <w:tcW w:w="6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attributable to noncontrolling</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(3,288)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33"/>
        </w:trPr>
        <w:tc>
          <w:tcPr>
            <w:tcW w:w="22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Comprehensive income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attributable to The Hershey</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$ 267,449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w w:val="93"/>
              </w:rPr>
              <w:t>$ 324,624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w w:val="99"/>
              </w:rPr>
              <w:t>$ 496,811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w w:val="89"/>
              </w:rPr>
              <w:t>$ 637,242</w:t>
            </w:r>
          </w:p>
        </w:tc>
        <w:tc>
          <w:tcPr>
            <w:tcW w:w="0" w:type="dxa"/>
            <w:vAlign w:val="bottom"/>
          </w:tcPr>
          <w:p>
            <w:pPr>
              <w:spacing w:after="0"/>
              <w:rPr>
                <w:sz w:val="1"/>
                <w:szCs w:val="1"/>
                <w:color w:val="auto"/>
              </w:rPr>
            </w:pPr>
          </w:p>
        </w:tc>
      </w:tr>
      <w:tr>
        <w:trPr>
          <w:trHeight w:val="171"/>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Company</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b w:val="1"/>
                <w:bCs w:val="1"/>
                <w:color w:val="auto"/>
              </w:rPr>
              <w:t>THE HERSHEY COMPANY</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CONSOLIDATED BALANCE SHEETS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 except share data)</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June 28, 2020</w:t>
            </w:r>
          </w:p>
        </w:tc>
        <w:tc>
          <w:tcPr>
            <w:tcW w:w="220" w:type="dxa"/>
            <w:vAlign w:val="bottom"/>
          </w:tcPr>
          <w:p>
            <w:pPr>
              <w:spacing w:after="0"/>
              <w:rPr>
                <w:sz w:val="23"/>
                <w:szCs w:val="23"/>
                <w:color w:val="auto"/>
              </w:rPr>
            </w:pPr>
          </w:p>
        </w:tc>
        <w:tc>
          <w:tcPr>
            <w:tcW w:w="190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December 31, 2019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2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1,165,331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493,262</w:t>
            </w: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Accounts receivable—trade, net</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540,398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568,509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999,380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815,251</w:t>
            </w: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197,835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240,080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2,902,944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2,117,102</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2,165,346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2,153,139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1,979,002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1,985,955</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Other intangibles</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1,314,332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1,341,166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524,687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512,000</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24,760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31,033</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8,911,071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8,140,395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6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530,042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550,828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643,938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702,372</w:t>
            </w: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54,091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19,921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Short-term debt</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32,282</w:t>
            </w: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788,448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703,390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2,214,818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2,008,793</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4,091,211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3,530,813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643,847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655,777</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205,106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200,018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7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7,154,982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6,395,401</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The Hershey Company stockholders’ equity</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Preferred stock, shares issued: none in 2020 and 2019</w:t>
            </w:r>
          </w:p>
        </w:tc>
        <w:tc>
          <w:tcPr>
            <w:tcW w:w="27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60" w:type="dxa"/>
            <w:vAlign w:val="bottom"/>
            <w:gridSpan w:val="3"/>
          </w:tcPr>
          <w:p>
            <w:pPr>
              <w:ind w:left="220"/>
              <w:spacing w:after="0"/>
              <w:rPr>
                <w:sz w:val="20"/>
                <w:szCs w:val="20"/>
                <w:color w:val="auto"/>
              </w:rPr>
            </w:pPr>
            <w:r>
              <w:rPr>
                <w:rFonts w:ascii="Arial" w:cs="Arial" w:eastAsia="Arial" w:hAnsi="Arial"/>
                <w:sz w:val="18"/>
                <w:szCs w:val="18"/>
                <w:color w:val="auto"/>
              </w:rPr>
              <w:t>Common stock, shares issued: 160,939,248 at June 28, 2020 and December 31, 2019</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160,939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160,939</w:t>
            </w:r>
          </w:p>
        </w:tc>
        <w:tc>
          <w:tcPr>
            <w:tcW w:w="0" w:type="dxa"/>
            <w:vAlign w:val="bottom"/>
          </w:tcPr>
          <w:p>
            <w:pPr>
              <w:spacing w:after="0"/>
              <w:rPr>
                <w:sz w:val="1"/>
                <w:szCs w:val="1"/>
                <w:color w:val="auto"/>
              </w:rPr>
            </w:pPr>
          </w:p>
        </w:tc>
      </w:tr>
      <w:tr>
        <w:trPr>
          <w:trHeight w:val="175"/>
        </w:trPr>
        <w:tc>
          <w:tcPr>
            <w:tcW w:w="736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rPr>
              <w:t>Class B common stock, shares issued: 60,613,777 at June 28, 2020 and December 31,</w:t>
            </w:r>
          </w:p>
        </w:tc>
        <w:tc>
          <w:tcPr>
            <w:tcW w:w="16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60,614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2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1,161,878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1,142,210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1,516,543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1,290,461</w:t>
            </w:r>
          </w:p>
        </w:tc>
        <w:tc>
          <w:tcPr>
            <w:tcW w:w="0" w:type="dxa"/>
            <w:vAlign w:val="bottom"/>
          </w:tcPr>
          <w:p>
            <w:pPr>
              <w:spacing w:after="0"/>
              <w:rPr>
                <w:sz w:val="1"/>
                <w:szCs w:val="1"/>
                <w:color w:val="auto"/>
              </w:rPr>
            </w:pPr>
          </w:p>
        </w:tc>
      </w:tr>
      <w:tr>
        <w:trPr>
          <w:trHeight w:val="176"/>
        </w:trPr>
        <w:tc>
          <w:tcPr>
            <w:tcW w:w="736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9"/>
              </w:rPr>
              <w:t>Treasury—common stock shares, at cost: 13,570,656 at June 28, 2020 and 12,723,592 at</w:t>
            </w:r>
          </w:p>
        </w:tc>
        <w:tc>
          <w:tcPr>
            <w:tcW w:w="1620" w:type="dxa"/>
            <w:vAlign w:val="bottom"/>
            <w:vMerge w:val="restart"/>
          </w:tcPr>
          <w:p>
            <w:pPr>
              <w:jc w:val="right"/>
              <w:ind w:right="10"/>
              <w:spacing w:after="0"/>
              <w:rPr>
                <w:sz w:val="20"/>
                <w:szCs w:val="20"/>
                <w:color w:val="auto"/>
              </w:rPr>
            </w:pPr>
            <w:r>
              <w:rPr>
                <w:rFonts w:ascii="Arial" w:cs="Arial" w:eastAsia="Arial" w:hAnsi="Arial"/>
                <w:sz w:val="18"/>
                <w:szCs w:val="18"/>
                <w:color w:val="auto"/>
              </w:rPr>
              <w:t>(779,176)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vMerge w:val="restart"/>
          </w:tcPr>
          <w:p>
            <w:pPr>
              <w:jc w:val="right"/>
              <w:ind w:right="10"/>
              <w:spacing w:after="0"/>
              <w:rPr>
                <w:sz w:val="20"/>
                <w:szCs w:val="20"/>
                <w:color w:val="auto"/>
              </w:rPr>
            </w:pPr>
            <w:r>
              <w:rPr>
                <w:rFonts w:ascii="Arial" w:cs="Arial" w:eastAsia="Arial" w:hAnsi="Arial"/>
                <w:sz w:val="18"/>
                <w:szCs w:val="18"/>
                <w:color w:val="auto"/>
              </w:rPr>
              <w:t>(591,036)</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December 31, 2019</w:t>
            </w: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7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(367,193)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(323,966)</w:t>
            </w:r>
          </w:p>
        </w:tc>
        <w:tc>
          <w:tcPr>
            <w:tcW w:w="0" w:type="dxa"/>
            <w:vAlign w:val="bottom"/>
          </w:tcPr>
          <w:p>
            <w:pPr>
              <w:spacing w:after="0"/>
              <w:rPr>
                <w:sz w:val="1"/>
                <w:szCs w:val="1"/>
                <w:color w:val="auto"/>
              </w:rPr>
            </w:pPr>
          </w:p>
        </w:tc>
      </w:tr>
      <w:tr>
        <w:trPr>
          <w:trHeight w:val="236"/>
        </w:trPr>
        <w:tc>
          <w:tcPr>
            <w:tcW w:w="4160" w:type="dxa"/>
            <w:vAlign w:val="bottom"/>
          </w:tcPr>
          <w:p>
            <w:pPr>
              <w:ind w:left="320"/>
              <w:spacing w:after="0"/>
              <w:rPr>
                <w:sz w:val="20"/>
                <w:szCs w:val="20"/>
                <w:color w:val="auto"/>
              </w:rPr>
            </w:pPr>
            <w:r>
              <w:rPr>
                <w:rFonts w:ascii="Arial" w:cs="Arial" w:eastAsia="Arial" w:hAnsi="Arial"/>
                <w:sz w:val="18"/>
                <w:szCs w:val="18"/>
                <w:color w:val="auto"/>
                <w:w w:val="94"/>
              </w:rPr>
              <w:t>Total—The Hershey Company stockholders’ equity</w:t>
            </w:r>
          </w:p>
        </w:tc>
        <w:tc>
          <w:tcPr>
            <w:tcW w:w="27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1,753,605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1,739,222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Noncontrolling interest in subsidiary</w:t>
            </w:r>
          </w:p>
        </w:tc>
        <w:tc>
          <w:tcPr>
            <w:tcW w:w="27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36"/>
        </w:trPr>
        <w:tc>
          <w:tcPr>
            <w:tcW w:w="416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27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1,756,089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1,744,994</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8,911,071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8,140,395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200"/>
          </w:cols>
          <w:pgMar w:left="340" w:top="125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Q2 2020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type w:val="continuous"/>
        </w:sectPr>
      </w:pPr>
    </w:p>
    <w:bookmarkStart w:id="5" w:name="page6"/>
    <w:bookmarkEnd w:id="5"/>
    <w:p>
      <w:pPr>
        <w:jc w:val="center"/>
        <w:ind w:right="-3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28, 2020</w:t>
            </w:r>
          </w:p>
        </w:tc>
        <w:tc>
          <w:tcPr>
            <w:tcW w:w="22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820" w:type="dxa"/>
            <w:vAlign w:val="bottom"/>
          </w:tcPr>
          <w:p>
            <w:pPr>
              <w:ind w:left="380"/>
              <w:spacing w:after="0"/>
              <w:rPr>
                <w:sz w:val="20"/>
                <w:szCs w:val="20"/>
                <w:color w:val="auto"/>
              </w:rPr>
            </w:pPr>
            <w:r>
              <w:rPr>
                <w:rFonts w:ascii="Arial" w:cs="Arial" w:eastAsia="Arial" w:hAnsi="Arial"/>
                <w:sz w:val="16"/>
                <w:szCs w:val="16"/>
                <w:color w:val="auto"/>
              </w:rPr>
              <w:t>Net income including noncontrolling interest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536,825</w:t>
            </w:r>
          </w:p>
        </w:tc>
        <w:tc>
          <w:tcPr>
            <w:tcW w:w="10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617,152</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820" w:type="dxa"/>
            <w:vAlign w:val="bottom"/>
          </w:tcPr>
          <w:p>
            <w:pPr>
              <w:ind w:left="6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142,524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144,346</w:t>
            </w:r>
          </w:p>
        </w:tc>
        <w:tc>
          <w:tcPr>
            <w:tcW w:w="0" w:type="dxa"/>
            <w:vAlign w:val="bottom"/>
          </w:tcPr>
          <w:p>
            <w:pPr>
              <w:spacing w:after="0"/>
              <w:rPr>
                <w:sz w:val="1"/>
                <w:szCs w:val="1"/>
                <w:color w:val="auto"/>
              </w:rPr>
            </w:pPr>
          </w:p>
        </w:tc>
      </w:tr>
      <w:tr>
        <w:trPr>
          <w:trHeight w:val="259"/>
        </w:trPr>
        <w:tc>
          <w:tcPr>
            <w:tcW w:w="7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Stock-based compensation expense</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25,490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23,712</w:t>
            </w:r>
          </w:p>
        </w:tc>
        <w:tc>
          <w:tcPr>
            <w:tcW w:w="0" w:type="dxa"/>
            <w:vAlign w:val="bottom"/>
          </w:tcPr>
          <w:p>
            <w:pPr>
              <w:spacing w:after="0"/>
              <w:rPr>
                <w:sz w:val="1"/>
                <w:szCs w:val="1"/>
                <w:color w:val="auto"/>
              </w:rPr>
            </w:pPr>
          </w:p>
        </w:tc>
      </w:tr>
      <w:tr>
        <w:trPr>
          <w:trHeight w:val="254"/>
        </w:trPr>
        <w:tc>
          <w:tcPr>
            <w:tcW w:w="7820" w:type="dxa"/>
            <w:vAlign w:val="bottom"/>
          </w:tcPr>
          <w:p>
            <w:pPr>
              <w:ind w:left="6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3,309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8,783</w:t>
            </w:r>
          </w:p>
        </w:tc>
        <w:tc>
          <w:tcPr>
            <w:tcW w:w="0" w:type="dxa"/>
            <w:vAlign w:val="bottom"/>
          </w:tcPr>
          <w:p>
            <w:pPr>
              <w:spacing w:after="0"/>
              <w:rPr>
                <w:sz w:val="1"/>
                <w:szCs w:val="1"/>
                <w:color w:val="auto"/>
              </w:rPr>
            </w:pPr>
          </w:p>
        </w:tc>
      </w:tr>
      <w:tr>
        <w:trPr>
          <w:trHeight w:val="259"/>
        </w:trPr>
        <w:tc>
          <w:tcPr>
            <w:tcW w:w="7820" w:type="dxa"/>
            <w:vAlign w:val="bottom"/>
            <w:shd w:val="clear" w:color="auto" w:fill="CCEEFF"/>
          </w:tcPr>
          <w:p>
            <w:pPr>
              <w:ind w:left="620"/>
              <w:spacing w:after="0"/>
              <w:rPr>
                <w:rFonts w:ascii="Arial" w:cs="Arial" w:eastAsia="Arial" w:hAnsi="Arial"/>
                <w:sz w:val="16"/>
                <w:szCs w:val="16"/>
                <w:color w:val="auto"/>
              </w:rPr>
            </w:pPr>
            <w:r>
              <w:rPr>
                <w:rFonts w:ascii="Arial" w:cs="Arial" w:eastAsia="Arial" w:hAnsi="Arial"/>
                <w:sz w:val="16"/>
                <w:szCs w:val="16"/>
                <w:color w:val="auto"/>
              </w:rPr>
              <w:t xml:space="preserve">Impairment of long-lived assets (see </w:t>
            </w:r>
            <w:hyperlink w:anchor="page17">
              <w:r>
                <w:rPr>
                  <w:rFonts w:ascii="Arial" w:cs="Arial" w:eastAsia="Arial" w:hAnsi="Arial"/>
                  <w:sz w:val="16"/>
                  <w:szCs w:val="16"/>
                  <w:u w:val="single" w:color="auto"/>
                  <w:color w:val="0000FF"/>
                </w:rPr>
                <w:t>Note 6</w:t>
              </w:r>
            </w:hyperlink>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4,741</w:t>
            </w:r>
          </w:p>
        </w:tc>
        <w:tc>
          <w:tcPr>
            <w:tcW w:w="0" w:type="dxa"/>
            <w:vAlign w:val="bottom"/>
          </w:tcPr>
          <w:p>
            <w:pPr>
              <w:spacing w:after="0"/>
              <w:rPr>
                <w:sz w:val="1"/>
                <w:szCs w:val="1"/>
                <w:color w:val="auto"/>
              </w:rPr>
            </w:pPr>
          </w:p>
        </w:tc>
      </w:tr>
      <w:tr>
        <w:trPr>
          <w:trHeight w:val="254"/>
        </w:trPr>
        <w:tc>
          <w:tcPr>
            <w:tcW w:w="7820" w:type="dxa"/>
            <w:vAlign w:val="bottom"/>
          </w:tcPr>
          <w:p>
            <w:pPr>
              <w:ind w:left="620"/>
              <w:spacing w:after="0"/>
              <w:rPr>
                <w:sz w:val="20"/>
                <w:szCs w:val="20"/>
                <w:color w:val="auto"/>
              </w:rPr>
            </w:pPr>
            <w:r>
              <w:rPr>
                <w:rFonts w:ascii="Arial" w:cs="Arial" w:eastAsia="Arial" w:hAnsi="Arial"/>
                <w:sz w:val="16"/>
                <w:szCs w:val="16"/>
                <w:color w:val="auto"/>
              </w:rPr>
              <w:t>Write-down of equity investments</w:t>
            </w:r>
          </w:p>
        </w:tc>
        <w:tc>
          <w:tcPr>
            <w:tcW w:w="22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18,550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9,785</w:t>
            </w:r>
          </w:p>
        </w:tc>
        <w:tc>
          <w:tcPr>
            <w:tcW w:w="0" w:type="dxa"/>
            <w:vAlign w:val="bottom"/>
          </w:tcPr>
          <w:p>
            <w:pPr>
              <w:spacing w:after="0"/>
              <w:rPr>
                <w:sz w:val="1"/>
                <w:szCs w:val="1"/>
                <w:color w:val="auto"/>
              </w:rPr>
            </w:pPr>
          </w:p>
        </w:tc>
      </w:tr>
      <w:tr>
        <w:trPr>
          <w:trHeight w:val="259"/>
        </w:trPr>
        <w:tc>
          <w:tcPr>
            <w:tcW w:w="7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27,311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24,117</w:t>
            </w: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Changes in assets and liabilities, net of business acquisitions and divestitures: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8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Accounts receivable—trade, net</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55,399</w:t>
            </w:r>
          </w:p>
        </w:tc>
        <w:tc>
          <w:tcPr>
            <w:tcW w:w="0" w:type="dxa"/>
            <w:vAlign w:val="bottom"/>
          </w:tcPr>
          <w:p>
            <w:pPr>
              <w:spacing w:after="0"/>
              <w:rPr>
                <w:sz w:val="1"/>
                <w:szCs w:val="1"/>
                <w:color w:val="auto"/>
              </w:rPr>
            </w:pPr>
          </w:p>
        </w:tc>
      </w:tr>
      <w:tr>
        <w:trPr>
          <w:trHeight w:val="253"/>
        </w:trPr>
        <w:tc>
          <w:tcPr>
            <w:tcW w:w="7820" w:type="dxa"/>
            <w:vAlign w:val="bottom"/>
          </w:tcPr>
          <w:p>
            <w:pPr>
              <w:ind w:left="82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(194,396)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(173,074)</w:t>
            </w:r>
          </w:p>
        </w:tc>
        <w:tc>
          <w:tcPr>
            <w:tcW w:w="0" w:type="dxa"/>
            <w:vAlign w:val="bottom"/>
          </w:tcPr>
          <w:p>
            <w:pPr>
              <w:spacing w:after="0"/>
              <w:rPr>
                <w:sz w:val="1"/>
                <w:szCs w:val="1"/>
                <w:color w:val="auto"/>
              </w:rPr>
            </w:pPr>
          </w:p>
        </w:tc>
      </w:tr>
      <w:tr>
        <w:trPr>
          <w:trHeight w:val="260"/>
        </w:trPr>
        <w:tc>
          <w:tcPr>
            <w:tcW w:w="78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18,175</w:t>
            </w:r>
          </w:p>
        </w:tc>
        <w:tc>
          <w:tcPr>
            <w:tcW w:w="0" w:type="dxa"/>
            <w:vAlign w:val="bottom"/>
          </w:tcPr>
          <w:p>
            <w:pPr>
              <w:spacing w:after="0"/>
              <w:rPr>
                <w:sz w:val="1"/>
                <w:szCs w:val="1"/>
                <w:color w:val="auto"/>
              </w:rPr>
            </w:pPr>
          </w:p>
        </w:tc>
      </w:tr>
      <w:tr>
        <w:trPr>
          <w:trHeight w:val="253"/>
        </w:trPr>
        <w:tc>
          <w:tcPr>
            <w:tcW w:w="7820" w:type="dxa"/>
            <w:vAlign w:val="bottom"/>
          </w:tcPr>
          <w:p>
            <w:pPr>
              <w:ind w:left="82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(19,304)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(33,797)</w:t>
            </w:r>
          </w:p>
        </w:tc>
        <w:tc>
          <w:tcPr>
            <w:tcW w:w="0" w:type="dxa"/>
            <w:vAlign w:val="bottom"/>
          </w:tcPr>
          <w:p>
            <w:pPr>
              <w:spacing w:after="0"/>
              <w:rPr>
                <w:sz w:val="1"/>
                <w:szCs w:val="1"/>
                <w:color w:val="auto"/>
              </w:rPr>
            </w:pPr>
          </w:p>
        </w:tc>
      </w:tr>
      <w:tr>
        <w:trPr>
          <w:trHeight w:val="259"/>
        </w:trPr>
        <w:tc>
          <w:tcPr>
            <w:tcW w:w="78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Accrued income taxes</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65,169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(15,499)</w:t>
            </w:r>
          </w:p>
        </w:tc>
        <w:tc>
          <w:tcPr>
            <w:tcW w:w="0" w:type="dxa"/>
            <w:vAlign w:val="bottom"/>
          </w:tcPr>
          <w:p>
            <w:pPr>
              <w:spacing w:after="0"/>
              <w:rPr>
                <w:sz w:val="1"/>
                <w:szCs w:val="1"/>
                <w:color w:val="auto"/>
              </w:rPr>
            </w:pPr>
          </w:p>
        </w:tc>
      </w:tr>
      <w:tr>
        <w:trPr>
          <w:trHeight w:val="254"/>
        </w:trPr>
        <w:tc>
          <w:tcPr>
            <w:tcW w:w="7820" w:type="dxa"/>
            <w:vAlign w:val="bottom"/>
          </w:tcPr>
          <w:p>
            <w:pPr>
              <w:ind w:left="820"/>
              <w:spacing w:after="0"/>
              <w:rPr>
                <w:sz w:val="20"/>
                <w:szCs w:val="20"/>
                <w:color w:val="auto"/>
              </w:rPr>
            </w:pPr>
            <w:r>
              <w:rPr>
                <w:rFonts w:ascii="Arial" w:cs="Arial" w:eastAsia="Arial" w:hAnsi="Arial"/>
                <w:sz w:val="16"/>
                <w:szCs w:val="16"/>
                <w:color w:val="auto"/>
              </w:rPr>
              <w:t>Contributions to pension and other benefit plans</w:t>
            </w: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(8,333)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(8,919)</w:t>
            </w:r>
          </w:p>
        </w:tc>
        <w:tc>
          <w:tcPr>
            <w:tcW w:w="0" w:type="dxa"/>
            <w:vAlign w:val="bottom"/>
          </w:tcPr>
          <w:p>
            <w:pPr>
              <w:spacing w:after="0"/>
              <w:rPr>
                <w:sz w:val="1"/>
                <w:szCs w:val="1"/>
                <w:color w:val="auto"/>
              </w:rPr>
            </w:pPr>
          </w:p>
        </w:tc>
      </w:tr>
      <w:tr>
        <w:trPr>
          <w:trHeight w:val="256"/>
        </w:trPr>
        <w:tc>
          <w:tcPr>
            <w:tcW w:w="78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Other assets and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(19,765)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20"/>
        </w:trPr>
        <w:tc>
          <w:tcPr>
            <w:tcW w:w="78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Pr>
          <w:p>
            <w:pPr>
              <w:spacing w:after="0"/>
              <w:rPr>
                <w:sz w:val="19"/>
                <w:szCs w:val="19"/>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614,047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679,328</w:t>
            </w:r>
          </w:p>
        </w:tc>
        <w:tc>
          <w:tcPr>
            <w:tcW w:w="0" w:type="dxa"/>
            <w:vAlign w:val="bottom"/>
          </w:tcPr>
          <w:p>
            <w:pPr>
              <w:spacing w:after="0"/>
              <w:rPr>
                <w:sz w:val="1"/>
                <w:szCs w:val="1"/>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820" w:type="dxa"/>
            <w:vAlign w:val="bottom"/>
          </w:tcPr>
          <w:p>
            <w:pPr>
              <w:ind w:left="380"/>
              <w:spacing w:after="0"/>
              <w:rPr>
                <w:sz w:val="20"/>
                <w:szCs w:val="20"/>
                <w:color w:val="auto"/>
              </w:rPr>
            </w:pPr>
            <w:r>
              <w:rPr>
                <w:rFonts w:ascii="Arial" w:cs="Arial" w:eastAsia="Arial" w:hAnsi="Arial"/>
                <w:sz w:val="16"/>
                <w:szCs w:val="16"/>
                <w:color w:val="auto"/>
              </w:rPr>
              <w:t>Capital additions (including software)</w:t>
            </w: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(185,784)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(176,270)</w:t>
            </w:r>
          </w:p>
        </w:tc>
        <w:tc>
          <w:tcPr>
            <w:tcW w:w="0" w:type="dxa"/>
            <w:vAlign w:val="bottom"/>
          </w:tcPr>
          <w:p>
            <w:pPr>
              <w:spacing w:after="0"/>
              <w:rPr>
                <w:sz w:val="1"/>
                <w:szCs w:val="1"/>
                <w:color w:val="auto"/>
              </w:rPr>
            </w:pPr>
          </w:p>
        </w:tc>
      </w:tr>
      <w:tr>
        <w:trPr>
          <w:trHeight w:val="260"/>
        </w:trPr>
        <w:tc>
          <w:tcPr>
            <w:tcW w:w="7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investments in tax credit qualifying partnerships</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(26,392)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(30,270)</w:t>
            </w:r>
          </w:p>
        </w:tc>
        <w:tc>
          <w:tcPr>
            <w:tcW w:w="0" w:type="dxa"/>
            <w:vAlign w:val="bottom"/>
          </w:tcPr>
          <w:p>
            <w:pPr>
              <w:spacing w:after="0"/>
              <w:rPr>
                <w:sz w:val="1"/>
                <w:szCs w:val="1"/>
                <w:color w:val="auto"/>
              </w:rPr>
            </w:pPr>
          </w:p>
        </w:tc>
      </w:tr>
      <w:tr>
        <w:trPr>
          <w:trHeight w:val="254"/>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2,374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5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(206,386)</w:t>
            </w:r>
          </w:p>
        </w:tc>
        <w:tc>
          <w:tcPr>
            <w:tcW w:w="0" w:type="dxa"/>
            <w:vAlign w:val="bottom"/>
          </w:tcPr>
          <w:p>
            <w:pPr>
              <w:spacing w:after="0"/>
              <w:rPr>
                <w:sz w:val="1"/>
                <w:szCs w:val="1"/>
                <w:color w:val="auto"/>
              </w:rPr>
            </w:pPr>
          </w:p>
        </w:tc>
      </w:tr>
      <w:tr>
        <w:trPr>
          <w:trHeight w:val="193"/>
        </w:trPr>
        <w:tc>
          <w:tcPr>
            <w:tcW w:w="7820" w:type="dxa"/>
            <w:vAlign w:val="bottom"/>
          </w:tcPr>
          <w:p>
            <w:pPr>
              <w:ind w:left="6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increase (decrease) in short-term debt</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166,017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(311,183)</w:t>
            </w:r>
          </w:p>
        </w:tc>
        <w:tc>
          <w:tcPr>
            <w:tcW w:w="0" w:type="dxa"/>
            <w:vAlign w:val="bottom"/>
          </w:tcPr>
          <w:p>
            <w:pPr>
              <w:spacing w:after="0"/>
              <w:rPr>
                <w:sz w:val="1"/>
                <w:szCs w:val="1"/>
                <w:color w:val="auto"/>
              </w:rPr>
            </w:pPr>
          </w:p>
        </w:tc>
      </w:tr>
      <w:tr>
        <w:trPr>
          <w:trHeight w:val="253"/>
        </w:trPr>
        <w:tc>
          <w:tcPr>
            <w:tcW w:w="7820" w:type="dxa"/>
            <w:vAlign w:val="bottom"/>
          </w:tcPr>
          <w:p>
            <w:pPr>
              <w:ind w:left="380"/>
              <w:spacing w:after="0"/>
              <w:rPr>
                <w:sz w:val="20"/>
                <w:szCs w:val="20"/>
                <w:color w:val="auto"/>
              </w:rPr>
            </w:pPr>
            <w:r>
              <w:rPr>
                <w:rFonts w:ascii="Arial" w:cs="Arial" w:eastAsia="Arial" w:hAnsi="Arial"/>
                <w:sz w:val="16"/>
                <w:szCs w:val="16"/>
                <w:color w:val="auto"/>
              </w:rPr>
              <w:t>Long-term borrowings, net of debt issuance costs</w:t>
            </w:r>
          </w:p>
        </w:tc>
        <w:tc>
          <w:tcPr>
            <w:tcW w:w="22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989,876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60"/>
        </w:trPr>
        <w:tc>
          <w:tcPr>
            <w:tcW w:w="7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Repayment of long-term debt and finance leases</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(352,104)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(4,054)</w:t>
            </w:r>
          </w:p>
        </w:tc>
        <w:tc>
          <w:tcPr>
            <w:tcW w:w="0" w:type="dxa"/>
            <w:vAlign w:val="bottom"/>
          </w:tcPr>
          <w:p>
            <w:pPr>
              <w:spacing w:after="0"/>
              <w:rPr>
                <w:sz w:val="1"/>
                <w:szCs w:val="1"/>
                <w:color w:val="auto"/>
              </w:rPr>
            </w:pPr>
          </w:p>
        </w:tc>
      </w:tr>
      <w:tr>
        <w:trPr>
          <w:trHeight w:val="253"/>
        </w:trPr>
        <w:tc>
          <w:tcPr>
            <w:tcW w:w="782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(314,279)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(295,483)</w:t>
            </w:r>
          </w:p>
        </w:tc>
        <w:tc>
          <w:tcPr>
            <w:tcW w:w="0" w:type="dxa"/>
            <w:vAlign w:val="bottom"/>
          </w:tcPr>
          <w:p>
            <w:pPr>
              <w:spacing w:after="0"/>
              <w:rPr>
                <w:sz w:val="1"/>
                <w:szCs w:val="1"/>
                <w:color w:val="auto"/>
              </w:rPr>
            </w:pPr>
          </w:p>
        </w:tc>
      </w:tr>
      <w:tr>
        <w:trPr>
          <w:trHeight w:val="260"/>
        </w:trPr>
        <w:tc>
          <w:tcPr>
            <w:tcW w:w="7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(211,196)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(254,429)</w:t>
            </w:r>
          </w:p>
        </w:tc>
        <w:tc>
          <w:tcPr>
            <w:tcW w:w="0" w:type="dxa"/>
            <w:vAlign w:val="bottom"/>
          </w:tcPr>
          <w:p>
            <w:pPr>
              <w:spacing w:after="0"/>
              <w:rPr>
                <w:sz w:val="1"/>
                <w:szCs w:val="1"/>
                <w:color w:val="auto"/>
              </w:rPr>
            </w:pPr>
          </w:p>
        </w:tc>
      </w:tr>
      <w:tr>
        <w:trPr>
          <w:trHeight w:val="254"/>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Exercise of stock options</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17,544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161,399</w:t>
            </w:r>
          </w:p>
        </w:tc>
        <w:tc>
          <w:tcPr>
            <w:tcW w:w="0" w:type="dxa"/>
            <w:vAlign w:val="bottom"/>
          </w:tcPr>
          <w:p>
            <w:pPr>
              <w:spacing w:after="0"/>
              <w:rPr>
                <w:sz w:val="1"/>
                <w:szCs w:val="1"/>
                <w:color w:val="auto"/>
              </w:rPr>
            </w:pPr>
          </w:p>
        </w:tc>
      </w:tr>
      <w:tr>
        <w:trPr>
          <w:trHeight w:val="25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295,858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(698,730)</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(17,351)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3,753</w:t>
            </w:r>
          </w:p>
        </w:tc>
        <w:tc>
          <w:tcPr>
            <w:tcW w:w="0" w:type="dxa"/>
            <w:vAlign w:val="bottom"/>
          </w:tcPr>
          <w:p>
            <w:pPr>
              <w:spacing w:after="0"/>
              <w:rPr>
                <w:sz w:val="1"/>
                <w:szCs w:val="1"/>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and cash equivalents, including cash classified as held for sale</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682,752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(222,035)</w:t>
            </w:r>
          </w:p>
        </w:tc>
        <w:tc>
          <w:tcPr>
            <w:tcW w:w="0" w:type="dxa"/>
            <w:vAlign w:val="bottom"/>
          </w:tcPr>
          <w:p>
            <w:pPr>
              <w:spacing w:after="0"/>
              <w:rPr>
                <w:sz w:val="1"/>
                <w:szCs w:val="1"/>
                <w:color w:val="auto"/>
              </w:rPr>
            </w:pPr>
          </w:p>
        </w:tc>
      </w:tr>
      <w:tr>
        <w:trPr>
          <w:trHeight w:val="253"/>
        </w:trPr>
        <w:tc>
          <w:tcPr>
            <w:tcW w:w="7820" w:type="dxa"/>
            <w:vAlign w:val="bottom"/>
            <w:tcBorders>
              <w:bottom w:val="single" w:sz="8" w:color="CCEEFF"/>
            </w:tcBorders>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Less: Increase in cash and cash equivalents classified as held for sale (see </w:t>
            </w:r>
            <w:hyperlink w:anchor="page21">
              <w:r>
                <w:rPr>
                  <w:rFonts w:ascii="Arial" w:cs="Arial" w:eastAsia="Arial" w:hAnsi="Arial"/>
                  <w:sz w:val="16"/>
                  <w:szCs w:val="16"/>
                  <w:u w:val="single" w:color="auto"/>
                  <w:color w:val="0000FF"/>
                </w:rPr>
                <w:t>Note 8</w:t>
              </w:r>
            </w:hyperlink>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(10,683)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672,069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(222,035)</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Pr>
          <w:p>
            <w:pPr>
              <w:spacing w:after="0"/>
              <w:rPr>
                <w:sz w:val="19"/>
                <w:szCs w:val="19"/>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493,262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587,998</w:t>
            </w:r>
          </w:p>
        </w:tc>
        <w:tc>
          <w:tcPr>
            <w:tcW w:w="0" w:type="dxa"/>
            <w:vAlign w:val="bottom"/>
          </w:tcPr>
          <w:p>
            <w:pPr>
              <w:spacing w:after="0"/>
              <w:rPr>
                <w:sz w:val="1"/>
                <w:szCs w:val="1"/>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1,165,331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365,963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6"/>
                <w:szCs w:val="16"/>
                <w:b w:val="1"/>
                <w:bCs w:val="1"/>
                <w:color w:val="auto"/>
              </w:rPr>
              <w:t>Supplemental Disclosure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74,944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72,167</w:t>
            </w:r>
          </w:p>
        </w:tc>
        <w:tc>
          <w:tcPr>
            <w:tcW w:w="0" w:type="dxa"/>
            <w:vAlign w:val="bottom"/>
          </w:tcPr>
          <w:p>
            <w:pPr>
              <w:spacing w:after="0"/>
              <w:rPr>
                <w:sz w:val="1"/>
                <w:szCs w:val="1"/>
                <w:color w:val="auto"/>
              </w:rPr>
            </w:pPr>
          </w:p>
        </w:tc>
      </w:tr>
      <w:tr>
        <w:trPr>
          <w:trHeight w:val="224"/>
        </w:trPr>
        <w:tc>
          <w:tcPr>
            <w:tcW w:w="782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220" w:type="dxa"/>
            <w:vAlign w:val="bottom"/>
          </w:tcPr>
          <w:p>
            <w:pPr>
              <w:spacing w:after="0"/>
              <w:rPr>
                <w:sz w:val="19"/>
                <w:szCs w:val="19"/>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71,633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136,922</w:t>
            </w:r>
          </w:p>
        </w:tc>
        <w:tc>
          <w:tcPr>
            <w:tcW w:w="0" w:type="dxa"/>
            <w:vAlign w:val="bottom"/>
          </w:tcPr>
          <w:p>
            <w:pPr>
              <w:spacing w:after="0"/>
              <w:rPr>
                <w:sz w:val="1"/>
                <w:szCs w:val="1"/>
                <w:color w:val="auto"/>
              </w:rPr>
            </w:pPr>
          </w:p>
        </w:tc>
      </w:tr>
    </w:tbl>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200"/>
          </w:cols>
          <w:pgMar w:left="340" w:top="125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Q2 2020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type w:val="continuous"/>
        </w:sectPr>
      </w:pPr>
    </w:p>
    <w:bookmarkStart w:id="6" w:name="page7"/>
    <w:bookmarkEnd w:id="6"/>
    <w:p>
      <w:pPr>
        <w:ind w:left="4460"/>
        <w:spacing w:after="0"/>
        <w:rPr>
          <w:sz w:val="20"/>
          <w:szCs w:val="20"/>
          <w:color w:val="auto"/>
        </w:rPr>
      </w:pPr>
      <w:r>
        <w:rPr>
          <w:rFonts w:ascii="Arial" w:cs="Arial" w:eastAsia="Arial" w:hAnsi="Arial"/>
          <w:sz w:val="18"/>
          <w:szCs w:val="18"/>
          <w:b w:val="1"/>
          <w:bCs w:val="1"/>
          <w:color w:val="auto"/>
        </w:rPr>
        <w:t>THE HERSHEY COMPANY</w:t>
      </w:r>
    </w:p>
    <w:p>
      <w:pPr>
        <w:ind w:left="308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ind w:left="3380"/>
        <w:spacing w:after="0" w:line="215" w:lineRule="auto"/>
        <w:rPr>
          <w:sz w:val="20"/>
          <w:szCs w:val="20"/>
          <w:color w:val="auto"/>
        </w:rPr>
      </w:pPr>
      <w:r>
        <w:rPr>
          <w:rFonts w:ascii="Arial" w:cs="Arial" w:eastAsia="Arial" w:hAnsi="Arial"/>
          <w:sz w:val="17"/>
          <w:szCs w:val="17"/>
          <w:b w:val="1"/>
          <w:bCs w:val="1"/>
          <w:color w:val="auto"/>
        </w:rPr>
        <w:t>For the Three Months Ended June 28, 2020 and June 30, 2019</w:t>
      </w:r>
    </w:p>
    <w:p>
      <w:pPr>
        <w:ind w:left="5060"/>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00"/>
          </w:cols>
          <w:pgMar w:left="340" w:top="1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right="1360"/>
        <w:spacing w:after="0" w:line="304" w:lineRule="auto"/>
        <w:rPr>
          <w:sz w:val="20"/>
          <w:szCs w:val="20"/>
          <w:color w:val="auto"/>
        </w:rPr>
      </w:pPr>
      <w:r>
        <w:rPr>
          <w:rFonts w:ascii="Arial" w:cs="Arial" w:eastAsia="Arial" w:hAnsi="Arial"/>
          <w:sz w:val="14"/>
          <w:szCs w:val="14"/>
          <w:b w:val="1"/>
          <w:bCs w:val="1"/>
          <w:color w:val="auto"/>
        </w:rPr>
        <w:t xml:space="preserve">Balance, March 29, 2020 </w:t>
      </w:r>
      <w:r>
        <w:rPr>
          <w:rFonts w:ascii="Arial" w:cs="Arial" w:eastAsia="Arial" w:hAnsi="Arial"/>
          <w:sz w:val="14"/>
          <w:szCs w:val="14"/>
          <w:color w:val="auto"/>
        </w:rPr>
        <w:t>Net income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Dividends (including dividend equivalents):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Common Stock, $0.773 per share</w:t>
      </w:r>
    </w:p>
    <w:p>
      <w:pPr>
        <w:spacing w:after="0" w:line="42" w:lineRule="exact"/>
        <w:rPr>
          <w:sz w:val="20"/>
          <w:szCs w:val="20"/>
          <w:color w:val="auto"/>
        </w:rPr>
      </w:pPr>
    </w:p>
    <w:p>
      <w:pPr>
        <w:ind w:left="20" w:right="280" w:firstLine="203"/>
        <w:spacing w:after="0" w:line="301" w:lineRule="auto"/>
        <w:rPr>
          <w:sz w:val="20"/>
          <w:szCs w:val="20"/>
          <w:color w:val="auto"/>
        </w:rPr>
      </w:pPr>
      <w:r>
        <w:rPr>
          <w:rFonts w:ascii="Arial" w:cs="Arial" w:eastAsia="Arial" w:hAnsi="Arial"/>
          <w:sz w:val="14"/>
          <w:szCs w:val="14"/>
          <w:color w:val="auto"/>
        </w:rPr>
        <w:t>Class B Common Stock, $0.702 per share Stock-based compensation</w:t>
      </w:r>
    </w:p>
    <w:p>
      <w:pPr>
        <w:spacing w:after="0" w:line="1"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Repurchase of common stock</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Balance, June 28, 2020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ind w:left="120"/>
              <w:spacing w:after="0" w:line="161" w:lineRule="exact"/>
              <w:rPr>
                <w:sz w:val="20"/>
                <w:szCs w:val="20"/>
                <w:color w:val="auto"/>
              </w:rPr>
            </w:pPr>
            <w:r>
              <w:rPr>
                <w:rFonts w:ascii="Arial" w:cs="Arial" w:eastAsia="Arial" w:hAnsi="Arial"/>
                <w:sz w:val="14"/>
                <w:szCs w:val="14"/>
                <w:b w:val="1"/>
                <w:bCs w:val="1"/>
                <w:color w:val="auto"/>
              </w:rPr>
              <w:t xml:space="preserve">Class B </w:t>
            </w:r>
            <w:r>
              <w:rPr>
                <w:rFonts w:ascii="MS PGothic" w:cs="MS PGothic" w:eastAsia="MS PGothic" w:hAnsi="MS PGothic"/>
                <w:sz w:val="14"/>
                <w:szCs w:val="14"/>
                <w:color w:val="auto"/>
              </w:rPr>
              <w:t> </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Other</w:t>
            </w:r>
            <w:r>
              <w:rPr>
                <w:rFonts w:ascii="MS PGothic" w:cs="MS PGothic" w:eastAsia="MS PGothic" w:hAnsi="MS PGothic"/>
                <w:sz w:val="14"/>
                <w:szCs w:val="14"/>
                <w:color w:val="auto"/>
              </w:rPr>
              <w:t> </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74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5"/>
              </w:rPr>
              <w:t>Common</w:t>
            </w:r>
          </w:p>
        </w:tc>
        <w:tc>
          <w:tcPr>
            <w:tcW w:w="940" w:type="dxa"/>
            <w:vAlign w:val="bottom"/>
            <w:gridSpan w:val="2"/>
            <w:vMerge w:val="continue"/>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Comprehensive</w:t>
            </w:r>
            <w:r>
              <w:rPr>
                <w:rFonts w:ascii="MS PGothic" w:cs="MS PGothic" w:eastAsia="MS PGothic" w:hAnsi="MS PGothic"/>
                <w:sz w:val="14"/>
                <w:szCs w:val="14"/>
                <w:color w:val="auto"/>
              </w:rPr>
              <w:t> </w:t>
            </w:r>
          </w:p>
        </w:tc>
        <w:tc>
          <w:tcPr>
            <w:tcW w:w="102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20" w:type="dxa"/>
            <w:vAlign w:val="bottom"/>
            <w:gridSpan w:val="3"/>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gridSpan w:val="2"/>
          </w:tcPr>
          <w:p>
            <w:pPr>
              <w:jc w:val="center"/>
              <w:ind w:right="40"/>
              <w:spacing w:after="0" w:line="115" w:lineRule="exact"/>
              <w:rPr>
                <w:sz w:val="20"/>
                <w:szCs w:val="20"/>
                <w:color w:val="auto"/>
              </w:rPr>
            </w:pPr>
            <w:r>
              <w:rPr>
                <w:rFonts w:ascii="MS PGothic" w:cs="MS PGothic" w:eastAsia="MS PGothic" w:hAnsi="MS PGothic"/>
                <w:sz w:val="13"/>
                <w:szCs w:val="13"/>
                <w:color w:val="auto"/>
                <w:w w:val="95"/>
              </w:rPr>
              <w:t> </w:t>
            </w:r>
            <w:r>
              <w:rPr>
                <w:rFonts w:ascii="Arial" w:cs="Arial" w:eastAsia="Arial" w:hAnsi="Arial"/>
                <w:sz w:val="13"/>
                <w:szCs w:val="13"/>
                <w:b w:val="1"/>
                <w:bCs w:val="1"/>
                <w:color w:val="auto"/>
                <w:w w:val="95"/>
              </w:rPr>
              <w:t>Stock</w:t>
            </w:r>
          </w:p>
        </w:tc>
        <w:tc>
          <w:tcPr>
            <w:tcW w:w="94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rPr>
              <w:t>Paid-in</w:t>
            </w:r>
          </w:p>
        </w:tc>
        <w:tc>
          <w:tcPr>
            <w:tcW w:w="920" w:type="dxa"/>
            <w:vAlign w:val="bottom"/>
            <w:gridSpan w:val="2"/>
            <w:vMerge w:val="continue"/>
          </w:tcPr>
          <w:p>
            <w:pPr>
              <w:spacing w:after="0"/>
              <w:rPr>
                <w:sz w:val="9"/>
                <w:szCs w:val="9"/>
                <w:color w:val="auto"/>
              </w:rPr>
            </w:pPr>
          </w:p>
        </w:tc>
        <w:tc>
          <w:tcPr>
            <w:tcW w:w="880" w:type="dxa"/>
            <w:vAlign w:val="bottom"/>
            <w:gridSpan w:val="2"/>
          </w:tcPr>
          <w:p>
            <w:pPr>
              <w:jc w:val="right"/>
              <w:ind w:right="220"/>
              <w:spacing w:after="0" w:line="115"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9"/>
                <w:szCs w:val="9"/>
                <w:color w:val="auto"/>
              </w:rPr>
            </w:pPr>
          </w:p>
        </w:tc>
        <w:tc>
          <w:tcPr>
            <w:tcW w:w="118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7"/>
              </w:rPr>
              <w:t>Income (Loss)</w:t>
            </w:r>
          </w:p>
        </w:tc>
        <w:tc>
          <w:tcPr>
            <w:tcW w:w="100" w:type="dxa"/>
            <w:vAlign w:val="bottom"/>
          </w:tcPr>
          <w:p>
            <w:pPr>
              <w:spacing w:after="0"/>
              <w:rPr>
                <w:sz w:val="9"/>
                <w:szCs w:val="9"/>
                <w:color w:val="auto"/>
              </w:rPr>
            </w:pPr>
          </w:p>
        </w:tc>
        <w:tc>
          <w:tcPr>
            <w:tcW w:w="92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Interests in</w:t>
            </w:r>
          </w:p>
        </w:tc>
        <w:tc>
          <w:tcPr>
            <w:tcW w:w="880" w:type="dxa"/>
            <w:vAlign w:val="bottom"/>
          </w:tcPr>
          <w:p>
            <w:pPr>
              <w:jc w:val="right"/>
              <w:spacing w:after="0" w:line="11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82"/>
        </w:trPr>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160,939</w:t>
            </w:r>
          </w:p>
        </w:tc>
        <w:tc>
          <w:tcPr>
            <w:tcW w:w="8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60,614</w:t>
            </w:r>
          </w:p>
        </w:tc>
        <w:tc>
          <w:tcPr>
            <w:tcW w:w="80" w:type="dxa"/>
            <w:vAlign w:val="bottom"/>
          </w:tcPr>
          <w:p>
            <w:pPr>
              <w:spacing w:after="0"/>
              <w:rPr>
                <w:sz w:val="16"/>
                <w:szCs w:val="16"/>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1,153,130</w:t>
            </w:r>
          </w:p>
        </w:tc>
        <w:tc>
          <w:tcPr>
            <w:tcW w:w="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1,404,453</w:t>
            </w:r>
          </w:p>
        </w:tc>
        <w:tc>
          <w:tcPr>
            <w:tcW w:w="8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(742,164)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(365,741)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3,310</w:t>
            </w:r>
          </w:p>
        </w:tc>
        <w:tc>
          <w:tcPr>
            <w:tcW w:w="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1,674,541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268,901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(859)</w:t>
            </w: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268,042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(1,452)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(114,260)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(114,260)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(42,551)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(42,551)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12,612</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12,612</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(3,864)</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5,008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208"/>
        </w:trPr>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(42,020)</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(42,020)</w:t>
            </w:r>
          </w:p>
        </w:tc>
        <w:tc>
          <w:tcPr>
            <w:tcW w:w="0" w:type="dxa"/>
            <w:vAlign w:val="bottom"/>
          </w:tcPr>
          <w:p>
            <w:pPr>
              <w:spacing w:after="0"/>
              <w:rPr>
                <w:sz w:val="1"/>
                <w:szCs w:val="1"/>
                <w:color w:val="auto"/>
              </w:rPr>
            </w:pPr>
          </w:p>
        </w:tc>
      </w:tr>
      <w:tr>
        <w:trPr>
          <w:trHeight w:val="196"/>
        </w:trPr>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w w:val="91"/>
              </w:rPr>
              <w:t>$ 60,614</w:t>
            </w:r>
          </w:p>
        </w:tc>
        <w:tc>
          <w:tcPr>
            <w:tcW w:w="80" w:type="dxa"/>
            <w:vAlign w:val="bottom"/>
          </w:tcPr>
          <w:p>
            <w:pPr>
              <w:spacing w:after="0"/>
              <w:rPr>
                <w:sz w:val="17"/>
                <w:szCs w:val="17"/>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w w:val="91"/>
              </w:rPr>
              <w:t>$ 1,161,878</w:t>
            </w:r>
          </w:p>
        </w:tc>
        <w:tc>
          <w:tcPr>
            <w:tcW w:w="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w w:val="91"/>
              </w:rPr>
              <w:t>$ 1,516,543</w:t>
            </w:r>
          </w:p>
        </w:tc>
        <w:tc>
          <w:tcPr>
            <w:tcW w:w="80" w:type="dxa"/>
            <w:vAlign w:val="bottom"/>
          </w:tcPr>
          <w:p>
            <w:pPr>
              <w:spacing w:after="0"/>
              <w:rPr>
                <w:sz w:val="17"/>
                <w:szCs w:val="17"/>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w w:val="94"/>
              </w:rPr>
              <w:t>$ (779,176)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(367,193)</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2,484</w:t>
            </w: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w w:val="97"/>
              </w:rPr>
              <w:t>$ 1,756,089</w:t>
            </w:r>
          </w:p>
        </w:tc>
        <w:tc>
          <w:tcPr>
            <w:tcW w:w="0" w:type="dxa"/>
            <w:vAlign w:val="bottom"/>
          </w:tcPr>
          <w:p>
            <w:pPr>
              <w:spacing w:after="0"/>
              <w:rPr>
                <w:sz w:val="1"/>
                <w:szCs w:val="1"/>
                <w:color w:val="auto"/>
              </w:rPr>
            </w:pPr>
          </w:p>
        </w:tc>
      </w:tr>
      <w:tr>
        <w:trPr>
          <w:trHeight w:val="26"/>
        </w:trPr>
        <w:tc>
          <w:tcPr>
            <w:tcW w:w="1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-1431290</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-1165225</wp:posOffset>
            </wp:positionV>
            <wp:extent cx="711517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-908050</wp:posOffset>
            </wp:positionV>
            <wp:extent cx="711517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-650875</wp:posOffset>
            </wp:positionV>
            <wp:extent cx="7115175" cy="128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2827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-299720</wp:posOffset>
            </wp:positionV>
            <wp:extent cx="711517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100"/>
            <w:col w:w="8200"/>
          </w:cols>
          <w:pgMar w:left="340" w:top="1230" w:right="359" w:bottom="1440" w:gutter="0" w:footer="0" w:header="0"/>
          <w:type w:val="continuous"/>
        </w:sectPr>
      </w:pP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vMerge w:val="restart"/>
          </w:tcPr>
          <w:p>
            <w:pPr>
              <w:ind w:left="120"/>
              <w:spacing w:after="0" w:line="161" w:lineRule="exact"/>
              <w:rPr>
                <w:sz w:val="20"/>
                <w:szCs w:val="20"/>
                <w:color w:val="auto"/>
              </w:rPr>
            </w:pPr>
            <w:r>
              <w:rPr>
                <w:rFonts w:ascii="Arial" w:cs="Arial" w:eastAsia="Arial" w:hAnsi="Arial"/>
                <w:sz w:val="14"/>
                <w:szCs w:val="14"/>
                <w:b w:val="1"/>
                <w:bCs w:val="1"/>
                <w:color w:val="auto"/>
              </w:rPr>
              <w:t xml:space="preserve">Class B </w:t>
            </w:r>
            <w:r>
              <w:rPr>
                <w:rFonts w:ascii="MS PGothic" w:cs="MS PGothic" w:eastAsia="MS PGothic" w:hAnsi="MS PGothic"/>
                <w:sz w:val="14"/>
                <w:szCs w:val="14"/>
                <w:color w:val="auto"/>
              </w:rPr>
              <w:t> </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Other</w:t>
            </w:r>
            <w:r>
              <w:rPr>
                <w:rFonts w:ascii="MS PGothic" w:cs="MS PGothic" w:eastAsia="MS PGothic" w:hAnsi="MS PGothic"/>
                <w:sz w:val="14"/>
                <w:szCs w:val="14"/>
                <w:color w:val="auto"/>
              </w:rPr>
              <w:t> </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vMerge w:val="continue"/>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2"/>
            <w:vMerge w:val="continue"/>
          </w:tcPr>
          <w:p>
            <w:pPr>
              <w:spacing w:after="0"/>
              <w:rPr>
                <w:sz w:val="11"/>
                <w:szCs w:val="11"/>
                <w:color w:val="auto"/>
              </w:rPr>
            </w:pPr>
          </w:p>
        </w:tc>
        <w:tc>
          <w:tcPr>
            <w:tcW w:w="12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8"/>
              </w:rPr>
              <w:t>Comprehensive</w:t>
            </w:r>
            <w:r>
              <w:rPr>
                <w:rFonts w:ascii="MS PGothic" w:cs="MS PGothic" w:eastAsia="MS PGothic" w:hAnsi="MS PGothic"/>
                <w:sz w:val="14"/>
                <w:szCs w:val="14"/>
                <w:color w:val="auto"/>
                <w:w w:val="98"/>
              </w:rPr>
              <w:t> </w:t>
            </w:r>
          </w:p>
        </w:tc>
        <w:tc>
          <w:tcPr>
            <w:tcW w:w="102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gridSpan w:val="2"/>
          </w:tcPr>
          <w:p>
            <w:pPr>
              <w:jc w:val="center"/>
              <w:ind w:right="40"/>
              <w:spacing w:after="0" w:line="135" w:lineRule="exact"/>
              <w:rPr>
                <w:sz w:val="20"/>
                <w:szCs w:val="20"/>
                <w:color w:val="auto"/>
              </w:rPr>
            </w:pPr>
            <w:r>
              <w:rPr>
                <w:rFonts w:ascii="MS PGothic" w:cs="MS PGothic" w:eastAsia="MS PGothic" w:hAnsi="MS PGothic"/>
                <w:sz w:val="14"/>
                <w:szCs w:val="14"/>
                <w:color w:val="auto"/>
                <w:w w:val="88"/>
              </w:rPr>
              <w:t> </w:t>
            </w:r>
            <w:r>
              <w:rPr>
                <w:rFonts w:ascii="Arial" w:cs="Arial" w:eastAsia="Arial" w:hAnsi="Arial"/>
                <w:sz w:val="14"/>
                <w:szCs w:val="14"/>
                <w:b w:val="1"/>
                <w:bCs w:val="1"/>
                <w:color w:val="auto"/>
                <w:w w:val="88"/>
              </w:rPr>
              <w:t>Stock</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920" w:type="dxa"/>
            <w:vAlign w:val="bottom"/>
            <w:gridSpan w:val="2"/>
            <w:vMerge w:val="continue"/>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8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299,287</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60,614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996,181</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7,193,240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(6,786,065)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(348,520)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8,623</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1,423,360</w:t>
            </w:r>
          </w:p>
        </w:tc>
        <w:tc>
          <w:tcPr>
            <w:tcW w:w="0" w:type="dxa"/>
            <w:vAlign w:val="bottom"/>
          </w:tcPr>
          <w:p>
            <w:pPr>
              <w:spacing w:after="0"/>
              <w:rPr>
                <w:sz w:val="1"/>
                <w:szCs w:val="1"/>
                <w:color w:val="auto"/>
              </w:rPr>
            </w:pPr>
          </w:p>
        </w:tc>
      </w:tr>
      <w:tr>
        <w:trPr>
          <w:trHeight w:val="197"/>
        </w:trPr>
        <w:tc>
          <w:tcPr>
            <w:tcW w:w="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312,840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431</w:t>
            </w: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313,271</w:t>
            </w:r>
          </w:p>
        </w:tc>
        <w:tc>
          <w:tcPr>
            <w:tcW w:w="0" w:type="dxa"/>
            <w:vAlign w:val="bottom"/>
          </w:tcPr>
          <w:p>
            <w:pPr>
              <w:spacing w:after="0"/>
              <w:rPr>
                <w:sz w:val="1"/>
                <w:szCs w:val="1"/>
                <w:color w:val="auto"/>
              </w:rPr>
            </w:pPr>
          </w:p>
        </w:tc>
      </w:tr>
      <w:tr>
        <w:trPr>
          <w:trHeight w:val="208"/>
        </w:trPr>
        <w:tc>
          <w:tcPr>
            <w:tcW w:w="25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11,691</w:t>
            </w:r>
          </w:p>
        </w:tc>
        <w:tc>
          <w:tcPr>
            <w:tcW w:w="0" w:type="dxa"/>
            <w:vAlign w:val="bottom"/>
          </w:tcPr>
          <w:p>
            <w:pPr>
              <w:spacing w:after="0"/>
              <w:rPr>
                <w:sz w:val="1"/>
                <w:szCs w:val="1"/>
                <w:color w:val="auto"/>
              </w:rPr>
            </w:pPr>
          </w:p>
        </w:tc>
      </w:tr>
      <w:tr>
        <w:trPr>
          <w:trHeight w:val="157"/>
        </w:trPr>
        <w:tc>
          <w:tcPr>
            <w:tcW w:w="840" w:type="dxa"/>
            <w:vAlign w:val="bottom"/>
          </w:tcPr>
          <w:p>
            <w:pPr>
              <w:ind w:left="20"/>
              <w:spacing w:after="0" w:line="157" w:lineRule="exact"/>
              <w:rPr>
                <w:sz w:val="20"/>
                <w:szCs w:val="20"/>
                <w:color w:val="auto"/>
              </w:rPr>
            </w:pPr>
            <w:r>
              <w:rPr>
                <w:rFonts w:ascii="Arial" w:cs="Arial" w:eastAsia="Arial" w:hAnsi="Arial"/>
                <w:sz w:val="14"/>
                <w:szCs w:val="14"/>
                <w:color w:val="auto"/>
              </w:rPr>
              <w:t>Dividends</w:t>
            </w:r>
          </w:p>
        </w:tc>
        <w:tc>
          <w:tcPr>
            <w:tcW w:w="920" w:type="dxa"/>
            <w:vAlign w:val="bottom"/>
          </w:tcPr>
          <w:p>
            <w:pPr>
              <w:ind w:left="60"/>
              <w:spacing w:after="0" w:line="157" w:lineRule="exact"/>
              <w:rPr>
                <w:sz w:val="20"/>
                <w:szCs w:val="20"/>
                <w:color w:val="auto"/>
              </w:rPr>
            </w:pPr>
            <w:r>
              <w:rPr>
                <w:rFonts w:ascii="Arial" w:cs="Arial" w:eastAsia="Arial" w:hAnsi="Arial"/>
                <w:sz w:val="14"/>
                <w:szCs w:val="14"/>
                <w:color w:val="auto"/>
              </w:rPr>
              <w:t>(including</w:t>
            </w:r>
          </w:p>
        </w:tc>
        <w:tc>
          <w:tcPr>
            <w:tcW w:w="7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dividend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20"/>
              <w:spacing w:after="0"/>
              <w:rPr>
                <w:sz w:val="20"/>
                <w:szCs w:val="20"/>
                <w:color w:val="auto"/>
              </w:rPr>
            </w:pPr>
            <w:r>
              <w:rPr>
                <w:rFonts w:ascii="Arial" w:cs="Arial" w:eastAsia="Arial" w:hAnsi="Arial"/>
                <w:sz w:val="14"/>
                <w:szCs w:val="14"/>
                <w:color w:val="auto"/>
              </w:rPr>
              <w:t>equivalents):</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00" w:type="dxa"/>
            <w:vAlign w:val="bottom"/>
            <w:gridSpan w:val="4"/>
            <w:shd w:val="clear" w:color="auto" w:fill="CCEEFF"/>
          </w:tcPr>
          <w:p>
            <w:pPr>
              <w:ind w:left="220"/>
              <w:spacing w:after="0"/>
              <w:rPr>
                <w:sz w:val="20"/>
                <w:szCs w:val="20"/>
                <w:color w:val="auto"/>
              </w:rPr>
            </w:pPr>
            <w:r>
              <w:rPr>
                <w:rFonts w:ascii="Arial" w:cs="Arial" w:eastAsia="Arial" w:hAnsi="Arial"/>
                <w:sz w:val="14"/>
                <w:szCs w:val="14"/>
                <w:color w:val="auto"/>
              </w:rPr>
              <w:t>Common Stock, $0.722 per share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(108,041)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(108,041)</w:t>
            </w:r>
          </w:p>
        </w:tc>
        <w:tc>
          <w:tcPr>
            <w:tcW w:w="0" w:type="dxa"/>
            <w:vAlign w:val="bottom"/>
          </w:tcPr>
          <w:p>
            <w:pPr>
              <w:spacing w:after="0"/>
              <w:rPr>
                <w:sz w:val="1"/>
                <w:szCs w:val="1"/>
                <w:color w:val="auto"/>
              </w:rPr>
            </w:pPr>
          </w:p>
        </w:tc>
      </w:tr>
      <w:tr>
        <w:trPr>
          <w:trHeight w:val="135"/>
        </w:trPr>
        <w:tc>
          <w:tcPr>
            <w:tcW w:w="2500" w:type="dxa"/>
            <w:vAlign w:val="bottom"/>
            <w:gridSpan w:val="4"/>
          </w:tcPr>
          <w:p>
            <w:pPr>
              <w:ind w:left="220"/>
              <w:spacing w:after="0" w:line="135" w:lineRule="exact"/>
              <w:rPr>
                <w:sz w:val="20"/>
                <w:szCs w:val="20"/>
                <w:color w:val="auto"/>
              </w:rPr>
            </w:pPr>
            <w:r>
              <w:rPr>
                <w:rFonts w:ascii="Arial" w:cs="Arial" w:eastAsia="Arial" w:hAnsi="Arial"/>
                <w:sz w:val="14"/>
                <w:szCs w:val="14"/>
                <w:color w:val="auto"/>
              </w:rPr>
              <w:t>Class B Common Stock, $0.656 per</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(39,762)</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(39,762)</w:t>
            </w:r>
          </w:p>
        </w:tc>
        <w:tc>
          <w:tcPr>
            <w:tcW w:w="0" w:type="dxa"/>
            <w:vAlign w:val="bottom"/>
          </w:tcPr>
          <w:p>
            <w:pPr>
              <w:spacing w:after="0"/>
              <w:rPr>
                <w:sz w:val="1"/>
                <w:szCs w:val="1"/>
                <w:color w:val="auto"/>
              </w:rPr>
            </w:pPr>
          </w:p>
        </w:tc>
      </w:tr>
      <w:tr>
        <w:trPr>
          <w:trHeight w:val="186"/>
        </w:trPr>
        <w:tc>
          <w:tcPr>
            <w:tcW w:w="840" w:type="dxa"/>
            <w:vAlign w:val="bottom"/>
          </w:tcPr>
          <w:p>
            <w:pPr>
              <w:ind w:left="220"/>
              <w:spacing w:after="0"/>
              <w:rPr>
                <w:sz w:val="20"/>
                <w:szCs w:val="20"/>
                <w:color w:val="auto"/>
              </w:rPr>
            </w:pPr>
            <w:r>
              <w:rPr>
                <w:rFonts w:ascii="Arial" w:cs="Arial" w:eastAsia="Arial" w:hAnsi="Arial"/>
                <w:sz w:val="14"/>
                <w:szCs w:val="14"/>
                <w:color w:val="auto"/>
              </w:rPr>
              <w:t>share</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12,665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12,665</w:t>
            </w:r>
          </w:p>
        </w:tc>
        <w:tc>
          <w:tcPr>
            <w:tcW w:w="0" w:type="dxa"/>
            <w:vAlign w:val="bottom"/>
          </w:tcPr>
          <w:p>
            <w:pPr>
              <w:spacing w:after="0"/>
              <w:rPr>
                <w:sz w:val="1"/>
                <w:szCs w:val="1"/>
                <w:color w:val="auto"/>
              </w:rPr>
            </w:pPr>
          </w:p>
        </w:tc>
      </w:tr>
      <w:tr>
        <w:trPr>
          <w:trHeight w:val="157"/>
        </w:trPr>
        <w:tc>
          <w:tcPr>
            <w:tcW w:w="2500" w:type="dxa"/>
            <w:vAlign w:val="bottom"/>
            <w:gridSpan w:val="4"/>
          </w:tcPr>
          <w:p>
            <w:pPr>
              <w:ind w:left="20"/>
              <w:spacing w:after="0" w:line="157" w:lineRule="exact"/>
              <w:rPr>
                <w:sz w:val="20"/>
                <w:szCs w:val="20"/>
                <w:color w:val="auto"/>
              </w:rPr>
            </w:pPr>
            <w:r>
              <w:rPr>
                <w:rFonts w:ascii="Arial" w:cs="Arial" w:eastAsia="Arial" w:hAnsi="Arial"/>
                <w:sz w:val="14"/>
                <w:szCs w:val="14"/>
                <w:color w:val="auto"/>
              </w:rPr>
              <w:t>Exercise   of   stock   options   and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60" w:type="dxa"/>
            <w:vAlign w:val="bottom"/>
            <w:gridSpan w:val="2"/>
          </w:tcPr>
          <w:p>
            <w:pPr>
              <w:ind w:left="20"/>
              <w:spacing w:after="0"/>
              <w:rPr>
                <w:sz w:val="20"/>
                <w:szCs w:val="20"/>
                <w:color w:val="auto"/>
              </w:rPr>
            </w:pPr>
            <w:r>
              <w:rPr>
                <w:rFonts w:ascii="Arial" w:cs="Arial" w:eastAsia="Arial" w:hAnsi="Arial"/>
                <w:sz w:val="14"/>
                <w:szCs w:val="14"/>
                <w:color w:val="auto"/>
                <w:w w:val="96"/>
              </w:rPr>
              <w:t>incentive-based transactions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66,341</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60,485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126,826</w:t>
            </w:r>
          </w:p>
        </w:tc>
        <w:tc>
          <w:tcPr>
            <w:tcW w:w="0" w:type="dxa"/>
            <w:vAlign w:val="bottom"/>
          </w:tcPr>
          <w:p>
            <w:pPr>
              <w:spacing w:after="0"/>
              <w:rPr>
                <w:sz w:val="1"/>
                <w:szCs w:val="1"/>
                <w:color w:val="auto"/>
              </w:rPr>
            </w:pPr>
          </w:p>
        </w:tc>
      </w:tr>
      <w:tr>
        <w:trPr>
          <w:trHeight w:val="203"/>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rPr>
              <w:t>Repurchase of common stock</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(55,929)</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(55,929)</w:t>
            </w:r>
          </w:p>
        </w:tc>
        <w:tc>
          <w:tcPr>
            <w:tcW w:w="0" w:type="dxa"/>
            <w:vAlign w:val="bottom"/>
          </w:tcPr>
          <w:p>
            <w:pPr>
              <w:spacing w:after="0"/>
              <w:rPr>
                <w:sz w:val="1"/>
                <w:szCs w:val="1"/>
                <w:color w:val="auto"/>
              </w:rPr>
            </w:pPr>
          </w:p>
        </w:tc>
      </w:tr>
      <w:tr>
        <w:trPr>
          <w:trHeight w:val="202"/>
        </w:trPr>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 June 30, 2019</w:t>
            </w:r>
          </w:p>
        </w:tc>
        <w:tc>
          <w:tcPr>
            <w:tcW w:w="7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w w:val="93"/>
              </w:rPr>
              <w:t>$ 299,287</w:t>
            </w:r>
          </w:p>
        </w:tc>
        <w:tc>
          <w:tcPr>
            <w:tcW w:w="42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1"/>
              </w:rPr>
              <w:t>$ 60,614</w:t>
            </w:r>
          </w:p>
        </w:tc>
        <w:tc>
          <w:tcPr>
            <w:tcW w:w="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w w:val="91"/>
              </w:rPr>
              <w:t>$ 1,075,187</w:t>
            </w:r>
          </w:p>
        </w:tc>
        <w:tc>
          <w:tcPr>
            <w:tcW w:w="2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w w:val="94"/>
              </w:rPr>
              <w:t>$ 7,358,277</w:t>
            </w:r>
          </w:p>
        </w:tc>
        <w:tc>
          <w:tcPr>
            <w:tcW w:w="8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w w:val="93"/>
              </w:rPr>
              <w:t>$ (6,781,509)</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(336,736)</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8,961</w:t>
            </w: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w w:val="97"/>
              </w:rPr>
              <w:t>$ 1,684,081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30" w:right="359" w:bottom="1440" w:gutter="0" w:footer="0" w:header="0"/>
          <w:type w:val="continuous"/>
        </w:sectPr>
      </w:pPr>
    </w:p>
    <w:bookmarkStart w:id="7" w:name="page8"/>
    <w:bookmarkEnd w:id="7"/>
    <w:p>
      <w:pPr>
        <w:ind w:left="4440"/>
        <w:spacing w:after="0"/>
        <w:rPr>
          <w:sz w:val="20"/>
          <w:szCs w:val="20"/>
          <w:color w:val="auto"/>
        </w:rPr>
      </w:pPr>
      <w:r>
        <w:rPr>
          <w:rFonts w:ascii="Arial" w:cs="Arial" w:eastAsia="Arial" w:hAnsi="Arial"/>
          <w:sz w:val="18"/>
          <w:szCs w:val="18"/>
          <w:b w:val="1"/>
          <w:bCs w:val="1"/>
          <w:color w:val="auto"/>
        </w:rPr>
        <w:t>THE HERSHEY COMPANY</w:t>
      </w:r>
    </w:p>
    <w:p>
      <w:pPr>
        <w:ind w:left="306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ind w:left="3480"/>
        <w:spacing w:after="0" w:line="215" w:lineRule="auto"/>
        <w:rPr>
          <w:sz w:val="20"/>
          <w:szCs w:val="20"/>
          <w:color w:val="auto"/>
        </w:rPr>
      </w:pPr>
      <w:r>
        <w:rPr>
          <w:rFonts w:ascii="Arial" w:cs="Arial" w:eastAsia="Arial" w:hAnsi="Arial"/>
          <w:sz w:val="17"/>
          <w:szCs w:val="17"/>
          <w:b w:val="1"/>
          <w:bCs w:val="1"/>
          <w:color w:val="auto"/>
        </w:rPr>
        <w:t>For the Six Months Ended June 28, 2020 and June 30, 2019</w:t>
      </w:r>
    </w:p>
    <w:p>
      <w:pPr>
        <w:ind w:left="5040"/>
        <w:spacing w:after="0" w:line="204" w:lineRule="auto"/>
        <w:rPr>
          <w:sz w:val="20"/>
          <w:szCs w:val="20"/>
          <w:color w:val="auto"/>
        </w:rPr>
      </w:pPr>
      <w:r>
        <w:rPr>
          <w:rFonts w:ascii="Arial" w:cs="Arial" w:eastAsia="Arial" w:hAnsi="Arial"/>
          <w:sz w:val="18"/>
          <w:szCs w:val="18"/>
          <w:b w:val="1"/>
          <w:bCs w:val="1"/>
          <w:color w:val="auto"/>
        </w:rPr>
        <w:t>(in thousands)</w:t>
      </w:r>
    </w:p>
    <w:p>
      <w:pPr>
        <w:jc w:val="center"/>
        <w:ind w:right="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60" w:top="1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$1.546 per share</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Class B Common Stock, $1.404 per share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12" w:lineRule="exact"/>
        <w:rPr>
          <w:sz w:val="20"/>
          <w:szCs w:val="20"/>
          <w:color w:val="auto"/>
        </w:rPr>
      </w:pPr>
    </w:p>
    <w:p>
      <w:pPr>
        <w:ind w:right="1200"/>
        <w:spacing w:after="0" w:line="499" w:lineRule="auto"/>
        <w:rPr>
          <w:sz w:val="20"/>
          <w:szCs w:val="20"/>
          <w:color w:val="auto"/>
        </w:rPr>
      </w:pPr>
      <w:r>
        <w:rPr>
          <w:rFonts w:ascii="Arial" w:cs="Arial" w:eastAsia="Arial" w:hAnsi="Arial"/>
          <w:sz w:val="12"/>
          <w:szCs w:val="12"/>
          <w:color w:val="auto"/>
        </w:rPr>
        <w:t xml:space="preserve">Repurchase of common stock </w:t>
      </w:r>
      <w:r>
        <w:rPr>
          <w:rFonts w:ascii="Arial" w:cs="Arial" w:eastAsia="Arial" w:hAnsi="Arial"/>
          <w:sz w:val="12"/>
          <w:szCs w:val="12"/>
          <w:b w:val="1"/>
          <w:bCs w:val="1"/>
          <w:color w:val="auto"/>
        </w:rPr>
        <w:t>Balance, June 28, 2020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ind w:left="120"/>
              <w:spacing w:after="0" w:line="161" w:lineRule="exact"/>
              <w:rPr>
                <w:sz w:val="20"/>
                <w:szCs w:val="20"/>
                <w:color w:val="auto"/>
              </w:rPr>
            </w:pPr>
            <w:r>
              <w:rPr>
                <w:rFonts w:ascii="Arial" w:cs="Arial" w:eastAsia="Arial" w:hAnsi="Arial"/>
                <w:sz w:val="14"/>
                <w:szCs w:val="14"/>
                <w:b w:val="1"/>
                <w:bCs w:val="1"/>
                <w:color w:val="auto"/>
              </w:rPr>
              <w:t xml:space="preserve">Class B </w:t>
            </w:r>
            <w:r>
              <w:rPr>
                <w:rFonts w:ascii="MS PGothic" w:cs="MS PGothic" w:eastAsia="MS PGothic" w:hAnsi="MS PGothic"/>
                <w:sz w:val="14"/>
                <w:szCs w:val="14"/>
                <w:color w:val="auto"/>
              </w:rPr>
              <w:t> </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Other</w:t>
            </w:r>
            <w:r>
              <w:rPr>
                <w:rFonts w:ascii="MS PGothic" w:cs="MS PGothic" w:eastAsia="MS PGothic" w:hAnsi="MS PGothic"/>
                <w:sz w:val="14"/>
                <w:szCs w:val="14"/>
                <w:color w:val="auto"/>
              </w:rPr>
              <w:t> </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7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vMerge w:val="continue"/>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Comprehensive</w:t>
            </w:r>
            <w:r>
              <w:rPr>
                <w:rFonts w:ascii="MS PGothic" w:cs="MS PGothic" w:eastAsia="MS PGothic" w:hAnsi="MS PGothic"/>
                <w:sz w:val="14"/>
                <w:szCs w:val="14"/>
                <w:color w:val="auto"/>
                <w:w w:val="98"/>
              </w:rPr>
              <w:t> </w:t>
            </w:r>
          </w:p>
        </w:tc>
        <w:tc>
          <w:tcPr>
            <w:tcW w:w="102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20" w:type="dxa"/>
            <w:vAlign w:val="bottom"/>
            <w:gridSpan w:val="3"/>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gridSpan w:val="2"/>
          </w:tcPr>
          <w:p>
            <w:pPr>
              <w:jc w:val="center"/>
              <w:ind w:right="40"/>
              <w:spacing w:after="0" w:line="115" w:lineRule="exact"/>
              <w:rPr>
                <w:sz w:val="20"/>
                <w:szCs w:val="20"/>
                <w:color w:val="auto"/>
              </w:rPr>
            </w:pPr>
            <w:r>
              <w:rPr>
                <w:rFonts w:ascii="MS PGothic" w:cs="MS PGothic" w:eastAsia="MS PGothic" w:hAnsi="MS PGothic"/>
                <w:sz w:val="13"/>
                <w:szCs w:val="13"/>
                <w:color w:val="auto"/>
                <w:w w:val="95"/>
              </w:rPr>
              <w:t> </w:t>
            </w:r>
            <w:r>
              <w:rPr>
                <w:rFonts w:ascii="Arial" w:cs="Arial" w:eastAsia="Arial" w:hAnsi="Arial"/>
                <w:sz w:val="13"/>
                <w:szCs w:val="13"/>
                <w:b w:val="1"/>
                <w:bCs w:val="1"/>
                <w:color w:val="auto"/>
                <w:w w:val="95"/>
              </w:rPr>
              <w:t>Stock</w:t>
            </w:r>
          </w:p>
        </w:tc>
        <w:tc>
          <w:tcPr>
            <w:tcW w:w="94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Paid-in</w:t>
            </w:r>
          </w:p>
        </w:tc>
        <w:tc>
          <w:tcPr>
            <w:tcW w:w="920" w:type="dxa"/>
            <w:vAlign w:val="bottom"/>
            <w:gridSpan w:val="2"/>
            <w:vMerge w:val="continue"/>
          </w:tcPr>
          <w:p>
            <w:pPr>
              <w:spacing w:after="0"/>
              <w:rPr>
                <w:sz w:val="9"/>
                <w:szCs w:val="9"/>
                <w:color w:val="auto"/>
              </w:rPr>
            </w:pPr>
          </w:p>
        </w:tc>
        <w:tc>
          <w:tcPr>
            <w:tcW w:w="880" w:type="dxa"/>
            <w:vAlign w:val="bottom"/>
            <w:gridSpan w:val="2"/>
          </w:tcPr>
          <w:p>
            <w:pPr>
              <w:jc w:val="right"/>
              <w:ind w:right="200"/>
              <w:spacing w:after="0" w:line="115"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9"/>
                <w:szCs w:val="9"/>
                <w:color w:val="auto"/>
              </w:rPr>
            </w:pPr>
          </w:p>
        </w:tc>
        <w:tc>
          <w:tcPr>
            <w:tcW w:w="116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7"/>
              </w:rPr>
              <w:t>Income (Loss)</w:t>
            </w:r>
          </w:p>
        </w:tc>
        <w:tc>
          <w:tcPr>
            <w:tcW w:w="100" w:type="dxa"/>
            <w:vAlign w:val="bottom"/>
          </w:tcPr>
          <w:p>
            <w:pPr>
              <w:spacing w:after="0"/>
              <w:rPr>
                <w:sz w:val="9"/>
                <w:szCs w:val="9"/>
                <w:color w:val="auto"/>
              </w:rPr>
            </w:pPr>
          </w:p>
        </w:tc>
        <w:tc>
          <w:tcPr>
            <w:tcW w:w="920" w:type="dxa"/>
            <w:vAlign w:val="bottom"/>
            <w:gridSpan w:val="2"/>
          </w:tcPr>
          <w:p>
            <w:pPr>
              <w:jc w:val="right"/>
              <w:ind w:right="220"/>
              <w:spacing w:after="0" w:line="115" w:lineRule="exact"/>
              <w:rPr>
                <w:sz w:val="20"/>
                <w:szCs w:val="20"/>
                <w:color w:val="auto"/>
              </w:rPr>
            </w:pPr>
            <w:r>
              <w:rPr>
                <w:rFonts w:ascii="Arial" w:cs="Arial" w:eastAsia="Arial" w:hAnsi="Arial"/>
                <w:sz w:val="13"/>
                <w:szCs w:val="13"/>
                <w:b w:val="1"/>
                <w:bCs w:val="1"/>
                <w:color w:val="auto"/>
                <w:w w:val="97"/>
              </w:rPr>
              <w:t>Interests in</w:t>
            </w:r>
          </w:p>
        </w:tc>
        <w:tc>
          <w:tcPr>
            <w:tcW w:w="880" w:type="dxa"/>
            <w:vAlign w:val="bottom"/>
          </w:tcPr>
          <w:p>
            <w:pPr>
              <w:jc w:val="right"/>
              <w:spacing w:after="0" w:line="11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82"/>
        </w:trPr>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160,939</w:t>
            </w:r>
          </w:p>
        </w:tc>
        <w:tc>
          <w:tcPr>
            <w:tcW w:w="8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60,614</w:t>
            </w:r>
          </w:p>
        </w:tc>
        <w:tc>
          <w:tcPr>
            <w:tcW w:w="8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1,142,210</w:t>
            </w:r>
          </w:p>
        </w:tc>
        <w:tc>
          <w:tcPr>
            <w:tcW w:w="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1,290,461</w:t>
            </w:r>
          </w:p>
        </w:tc>
        <w:tc>
          <w:tcPr>
            <w:tcW w:w="8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(591,036)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(323,966)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5,772</w:t>
            </w:r>
          </w:p>
        </w:tc>
        <w:tc>
          <w:tcPr>
            <w:tcW w:w="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1,744,994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540,038</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(3,213)</w:t>
            </w: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536,825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(43,227)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(43,302)</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(228,854)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(228,854)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(85,102)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(85,102)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25,180</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25,180</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(5,512)</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23,056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17,544</w:t>
            </w:r>
          </w:p>
        </w:tc>
        <w:tc>
          <w:tcPr>
            <w:tcW w:w="0" w:type="dxa"/>
            <w:vAlign w:val="bottom"/>
          </w:tcPr>
          <w:p>
            <w:pPr>
              <w:spacing w:after="0"/>
              <w:rPr>
                <w:sz w:val="1"/>
                <w:szCs w:val="1"/>
                <w:color w:val="auto"/>
              </w:rPr>
            </w:pPr>
          </w:p>
        </w:tc>
      </w:tr>
      <w:tr>
        <w:trPr>
          <w:trHeight w:val="209"/>
        </w:trPr>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(211,196)</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(211,196)</w:t>
            </w:r>
          </w:p>
        </w:tc>
        <w:tc>
          <w:tcPr>
            <w:tcW w:w="0" w:type="dxa"/>
            <w:vAlign w:val="bottom"/>
          </w:tcPr>
          <w:p>
            <w:pPr>
              <w:spacing w:after="0"/>
              <w:rPr>
                <w:sz w:val="1"/>
                <w:szCs w:val="1"/>
                <w:color w:val="auto"/>
              </w:rPr>
            </w:pPr>
          </w:p>
        </w:tc>
      </w:tr>
      <w:tr>
        <w:trPr>
          <w:trHeight w:val="196"/>
        </w:trPr>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w w:val="91"/>
              </w:rPr>
              <w:t>$ 60,614</w:t>
            </w:r>
          </w:p>
        </w:tc>
        <w:tc>
          <w:tcPr>
            <w:tcW w:w="80" w:type="dxa"/>
            <w:vAlign w:val="bottom"/>
          </w:tcPr>
          <w:p>
            <w:pPr>
              <w:spacing w:after="0"/>
              <w:rPr>
                <w:sz w:val="17"/>
                <w:szCs w:val="17"/>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w w:val="94"/>
              </w:rPr>
              <w:t>$ 1,161,878</w:t>
            </w:r>
          </w:p>
        </w:tc>
        <w:tc>
          <w:tcPr>
            <w:tcW w:w="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w w:val="91"/>
              </w:rPr>
              <w:t>$ 1,516,543</w:t>
            </w:r>
          </w:p>
        </w:tc>
        <w:tc>
          <w:tcPr>
            <w:tcW w:w="80" w:type="dxa"/>
            <w:vAlign w:val="bottom"/>
          </w:tcPr>
          <w:p>
            <w:pPr>
              <w:spacing w:after="0"/>
              <w:rPr>
                <w:sz w:val="17"/>
                <w:szCs w:val="17"/>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w w:val="94"/>
              </w:rPr>
              <w:t>$ (779,176)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(367,193)</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2,484</w:t>
            </w: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w w:val="97"/>
              </w:rPr>
              <w:t>$ 1,756,089</w:t>
            </w:r>
          </w:p>
        </w:tc>
        <w:tc>
          <w:tcPr>
            <w:tcW w:w="0" w:type="dxa"/>
            <w:vAlign w:val="bottom"/>
          </w:tcPr>
          <w:p>
            <w:pPr>
              <w:spacing w:after="0"/>
              <w:rPr>
                <w:sz w:val="1"/>
                <w:szCs w:val="1"/>
                <w:color w:val="auto"/>
              </w:rPr>
            </w:pPr>
          </w:p>
        </w:tc>
      </w:tr>
      <w:tr>
        <w:trPr>
          <w:trHeight w:val="27"/>
        </w:trPr>
        <w:tc>
          <w:tcPr>
            <w:tcW w:w="1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-1431290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-1165225</wp:posOffset>
            </wp:positionV>
            <wp:extent cx="711517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-908050</wp:posOffset>
            </wp:positionV>
            <wp:extent cx="711517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-650875</wp:posOffset>
            </wp:positionV>
            <wp:extent cx="711517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-299720</wp:posOffset>
            </wp:positionV>
            <wp:extent cx="711517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2">
            <w:col w:w="2900" w:space="100"/>
            <w:col w:w="8180"/>
          </w:cols>
          <w:pgMar w:left="360" w:top="12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$1.444 per share</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Class B Common Stock, $1.312 per share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Impact of ASU 2016-02 related to leases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June 30, 2019</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ind w:left="140"/>
              <w:spacing w:after="0" w:line="161" w:lineRule="exact"/>
              <w:rPr>
                <w:sz w:val="20"/>
                <w:szCs w:val="20"/>
                <w:color w:val="auto"/>
              </w:rPr>
            </w:pPr>
            <w:r>
              <w:rPr>
                <w:rFonts w:ascii="Arial" w:cs="Arial" w:eastAsia="Arial" w:hAnsi="Arial"/>
                <w:sz w:val="14"/>
                <w:szCs w:val="14"/>
                <w:b w:val="1"/>
                <w:bCs w:val="1"/>
                <w:color w:val="auto"/>
              </w:rPr>
              <w:t xml:space="preserve">Class B </w:t>
            </w:r>
            <w:r>
              <w:rPr>
                <w:rFonts w:ascii="MS PGothic" w:cs="MS PGothic" w:eastAsia="MS PGothic" w:hAnsi="MS PGothic"/>
                <w:sz w:val="14"/>
                <w:szCs w:val="14"/>
                <w:color w:val="auto"/>
              </w:rPr>
              <w:t> </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1"/>
                <w:szCs w:val="11"/>
                <w:color w:val="auto"/>
              </w:rPr>
            </w:pP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Other</w:t>
            </w:r>
            <w:r>
              <w:rPr>
                <w:rFonts w:ascii="MS PGothic" w:cs="MS PGothic" w:eastAsia="MS PGothic" w:hAnsi="MS PGothic"/>
                <w:sz w:val="14"/>
                <w:szCs w:val="14"/>
                <w:color w:val="auto"/>
              </w:rPr>
              <w:t> </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vMerge w:val="continue"/>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Comprehensive</w:t>
            </w:r>
            <w:r>
              <w:rPr>
                <w:rFonts w:ascii="MS PGothic" w:cs="MS PGothic" w:eastAsia="MS PGothic" w:hAnsi="MS PGothic"/>
                <w:sz w:val="14"/>
                <w:szCs w:val="14"/>
                <w:color w:val="auto"/>
                <w:w w:val="98"/>
              </w:rPr>
              <w:t> </w:t>
            </w:r>
          </w:p>
        </w:tc>
        <w:tc>
          <w:tcPr>
            <w:tcW w:w="102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gridSpan w:val="2"/>
          </w:tcPr>
          <w:p>
            <w:pPr>
              <w:jc w:val="center"/>
              <w:ind w:right="40"/>
              <w:spacing w:after="0" w:line="135" w:lineRule="exact"/>
              <w:rPr>
                <w:sz w:val="20"/>
                <w:szCs w:val="20"/>
                <w:color w:val="auto"/>
              </w:rPr>
            </w:pPr>
            <w:r>
              <w:rPr>
                <w:rFonts w:ascii="MS PGothic" w:cs="MS PGothic" w:eastAsia="MS PGothic" w:hAnsi="MS PGothic"/>
                <w:sz w:val="14"/>
                <w:szCs w:val="14"/>
                <w:color w:val="auto"/>
                <w:w w:val="94"/>
              </w:rPr>
              <w:t> </w:t>
            </w:r>
            <w:r>
              <w:rPr>
                <w:rFonts w:ascii="Arial" w:cs="Arial" w:eastAsia="Arial" w:hAnsi="Arial"/>
                <w:sz w:val="14"/>
                <w:szCs w:val="14"/>
                <w:b w:val="1"/>
                <w:bCs w:val="1"/>
                <w:color w:val="auto"/>
                <w:w w:val="94"/>
              </w:rPr>
              <w:t>Stock</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Paid-in</w:t>
            </w:r>
          </w:p>
        </w:tc>
        <w:tc>
          <w:tcPr>
            <w:tcW w:w="940" w:type="dxa"/>
            <w:vAlign w:val="bottom"/>
            <w:gridSpan w:val="2"/>
            <w:vMerge w:val="continue"/>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w w:val="94"/>
              </w:rPr>
              <w:t>Income (Loss)</w:t>
            </w:r>
          </w:p>
        </w:tc>
        <w:tc>
          <w:tcPr>
            <w:tcW w:w="1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299,287</w:t>
            </w:r>
          </w:p>
        </w:tc>
        <w:tc>
          <w:tcPr>
            <w:tcW w:w="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60,614</w:t>
            </w:r>
          </w:p>
        </w:tc>
        <w:tc>
          <w:tcPr>
            <w:tcW w:w="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982,205</w:t>
            </w:r>
          </w:p>
        </w:tc>
        <w:tc>
          <w:tcPr>
            <w:tcW w:w="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7,032,020</w:t>
            </w:r>
          </w:p>
        </w:tc>
        <w:tc>
          <w:tcPr>
            <w:tcW w:w="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(6,618,625)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(356,780)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8,545</w:t>
            </w:r>
          </w:p>
        </w:tc>
        <w:tc>
          <w:tcPr>
            <w:tcW w:w="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1,407,266</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617,198</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617,152</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20,044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20,506</w:t>
            </w: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(215,329)</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(215,329)</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(79,525)</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(79,525)</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23,128</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23,128</w:t>
            </w: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69,854</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91,545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161,399</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(254,429)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(254,429)</w:t>
            </w:r>
          </w:p>
        </w:tc>
        <w:tc>
          <w:tcPr>
            <w:tcW w:w="0" w:type="dxa"/>
            <w:vAlign w:val="bottom"/>
          </w:tcPr>
          <w:p>
            <w:pPr>
              <w:spacing w:after="0"/>
              <w:rPr>
                <w:sz w:val="1"/>
                <w:szCs w:val="1"/>
                <w:color w:val="auto"/>
              </w:rPr>
            </w:pPr>
          </w:p>
        </w:tc>
      </w:tr>
      <w:tr>
        <w:trPr>
          <w:trHeight w:val="208"/>
        </w:trPr>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3,913</w:t>
            </w: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w w:val="93"/>
              </w:rPr>
              <w:t>$ 299,287</w:t>
            </w:r>
          </w:p>
        </w:tc>
        <w:tc>
          <w:tcPr>
            <w:tcW w:w="8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1"/>
              </w:rPr>
              <w:t>$ 60,614</w:t>
            </w:r>
          </w:p>
        </w:tc>
        <w:tc>
          <w:tcPr>
            <w:tcW w:w="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w w:val="91"/>
              </w:rPr>
              <w:t>$ 1,075,187</w:t>
            </w:r>
          </w:p>
        </w:tc>
        <w:tc>
          <w:tcPr>
            <w:tcW w:w="8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w w:val="94"/>
              </w:rPr>
              <w:t>$ 7,358,277</w:t>
            </w:r>
          </w:p>
        </w:tc>
        <w:tc>
          <w:tcPr>
            <w:tcW w:w="8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w w:val="93"/>
              </w:rPr>
              <w:t>$ (6,781,509)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(336,736)</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8,961</w:t>
            </w:r>
          </w:p>
        </w:tc>
        <w:tc>
          <w:tcPr>
            <w:tcW w:w="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w w:val="97"/>
              </w:rPr>
              <w:t>$ 1,684,081</w:t>
            </w:r>
          </w:p>
        </w:tc>
        <w:tc>
          <w:tcPr>
            <w:tcW w:w="0" w:type="dxa"/>
            <w:vAlign w:val="bottom"/>
          </w:tcPr>
          <w:p>
            <w:pPr>
              <w:spacing w:after="0"/>
              <w:rPr>
                <w:sz w:val="1"/>
                <w:szCs w:val="1"/>
                <w:color w:val="auto"/>
              </w:rPr>
            </w:pPr>
          </w:p>
        </w:tc>
      </w:tr>
      <w:tr>
        <w:trPr>
          <w:trHeight w:val="26"/>
        </w:trPr>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-1559560</wp:posOffset>
            </wp:positionV>
            <wp:extent cx="71151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-1293495</wp:posOffset>
            </wp:positionV>
            <wp:extent cx="711517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-1036320</wp:posOffset>
            </wp:positionV>
            <wp:extent cx="711517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-779145</wp:posOffset>
            </wp:positionV>
            <wp:extent cx="711517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-427990</wp:posOffset>
            </wp:positionV>
            <wp:extent cx="711517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-170815</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120"/>
            <w:col w:w="8260"/>
          </w:cols>
          <w:pgMar w:left="360" w:top="1230" w:right="359" w:bottom="1440" w:gutter="0" w:footer="0" w:header="0"/>
          <w:type w:val="continuous"/>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78105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30" w:right="35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left="40"/>
        <w:spacing w:after="0" w:line="271" w:lineRule="auto"/>
        <w:rPr>
          <w:sz w:val="20"/>
          <w:szCs w:val="20"/>
          <w:color w:val="auto"/>
        </w:rPr>
      </w:pPr>
      <w:r>
        <w:rPr>
          <w:rFonts w:ascii="Arial" w:cs="Arial" w:eastAsia="Arial" w:hAnsi="Arial"/>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24" w:lineRule="exact"/>
        <w:rPr>
          <w:sz w:val="20"/>
          <w:szCs w:val="20"/>
          <w:color w:val="auto"/>
        </w:rPr>
      </w:pPr>
    </w:p>
    <w:p>
      <w:pPr>
        <w:ind w:left="40" w:right="240"/>
        <w:spacing w:after="0" w:line="25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6" w:lineRule="exact"/>
        <w:rPr>
          <w:sz w:val="20"/>
          <w:szCs w:val="20"/>
          <w:color w:val="auto"/>
        </w:rPr>
      </w:pPr>
    </w:p>
    <w:p>
      <w:pPr>
        <w:ind w:left="40" w:right="20"/>
        <w:spacing w:after="0" w:line="259" w:lineRule="auto"/>
        <w:rPr>
          <w:sz w:val="20"/>
          <w:szCs w:val="20"/>
          <w:color w:val="auto"/>
        </w:rPr>
      </w:pPr>
      <w:r>
        <w:rPr>
          <w:rFonts w:ascii="Arial" w:cs="Arial" w:eastAsia="Arial" w:hAnsi="Arial"/>
          <w:sz w:val="18"/>
          <w:szCs w:val="18"/>
          <w:color w:val="auto"/>
        </w:rPr>
        <w:t>Operating results for the quarter ended June 28, 2020 may not be indicative of the results that may be expected for the year ending December 31, 2020 because of seasonal effects on our business. These financial statements should be read in conjunction with our Annual Report on Form 10-K for the year ended December 31, 2019 (our “2019 Annual Report on Form 10-K”), which provides a more complete understanding of our accounting policies, financial position, operating results and other matters.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ind w:left="40"/>
        <w:spacing w:after="0" w:line="257" w:lineRule="auto"/>
        <w:rPr>
          <w:sz w:val="20"/>
          <w:szCs w:val="20"/>
          <w:color w:val="auto"/>
        </w:rPr>
      </w:pPr>
      <w:r>
        <w:rPr>
          <w:rFonts w:ascii="Arial" w:cs="Arial" w:eastAsia="Arial" w:hAnsi="Arial"/>
          <w:sz w:val="18"/>
          <w:szCs w:val="18"/>
          <w:color w:val="auto"/>
        </w:rPr>
        <w:t>On March 11, 2020, the World Health Organization designated the recent novel coronavirus ("COVID-19") as a global pandemic. We continue to actively monitor COVID-19 and its potential impact on our operations and financial results. Employee health and safety remains our first priority while we continue our efforts to support community food supplies. To date, there has been minimal disruption to our supply chain network, and all our manufacturing plants are currently open. We are also working closely with our business units, contract manufacturers, distributors, contractors and other external business partners to minimize the potential impact on our business.</w:t>
      </w:r>
    </w:p>
    <w:p>
      <w:pPr>
        <w:spacing w:after="0" w:line="66" w:lineRule="exact"/>
        <w:rPr>
          <w:sz w:val="20"/>
          <w:szCs w:val="20"/>
          <w:color w:val="auto"/>
        </w:rPr>
      </w:pPr>
    </w:p>
    <w:p>
      <w:pPr>
        <w:ind w:left="40" w:right="220"/>
        <w:spacing w:after="0" w:line="301" w:lineRule="auto"/>
        <w:rPr>
          <w:sz w:val="20"/>
          <w:szCs w:val="20"/>
          <w:color w:val="auto"/>
        </w:rPr>
      </w:pPr>
      <w:r>
        <w:rPr>
          <w:rFonts w:ascii="Arial" w:cs="Arial" w:eastAsia="Arial" w:hAnsi="Arial"/>
          <w:sz w:val="16"/>
          <w:szCs w:val="16"/>
          <w:color w:val="auto"/>
        </w:rPr>
        <w:t>As a result of shelter-in-place restrictions that were implemented in late March and early April, as well as decreases in retail foot traffic and volatility in consumer shopping and consumption behavior across several areas of our portfolio, we experienced a reduction in our net sales and earnings per share during the second quarter of 2020. We believe the financial impacts from COVID-19 are temporary in nature and do not significantly affect our business model and growth strategy. Therefore, we do not consider COVID-19 to be a triggering event to accelerate our annual impairments tests.</w:t>
      </w:r>
    </w:p>
    <w:p>
      <w:pPr>
        <w:spacing w:after="0" w:line="36" w:lineRule="exact"/>
        <w:rPr>
          <w:sz w:val="20"/>
          <w:szCs w:val="20"/>
          <w:color w:val="auto"/>
        </w:rPr>
      </w:pPr>
    </w:p>
    <w:p>
      <w:pPr>
        <w:jc w:val="both"/>
        <w:ind w:left="40" w:right="140"/>
        <w:spacing w:after="0" w:line="286" w:lineRule="auto"/>
        <w:rPr>
          <w:sz w:val="20"/>
          <w:szCs w:val="20"/>
          <w:color w:val="auto"/>
        </w:rPr>
      </w:pPr>
      <w:r>
        <w:rPr>
          <w:rFonts w:ascii="Arial" w:cs="Arial" w:eastAsia="Arial" w:hAnsi="Arial"/>
          <w:sz w:val="17"/>
          <w:szCs w:val="17"/>
          <w:color w:val="auto"/>
        </w:rPr>
        <w:t>We evaluated our goodwill and indefinite-lived intangible assets and determined there were no interim triggering events as it was not more likely than not that the fair value of our reporting units would be less than their respective carrying amounts. Additionally, we evaluated our long-lived assets, including our property, plant and equipment, lease right-of-use assets and other intangible assets, noting no indicators of impairment.</w:t>
      </w:r>
    </w:p>
    <w:p>
      <w:pPr>
        <w:spacing w:after="0" w:line="30" w:lineRule="exact"/>
        <w:rPr>
          <w:sz w:val="20"/>
          <w:szCs w:val="20"/>
          <w:color w:val="auto"/>
        </w:rPr>
      </w:pPr>
    </w:p>
    <w:p>
      <w:pPr>
        <w:ind w:left="40" w:right="120"/>
        <w:spacing w:after="0" w:line="259" w:lineRule="auto"/>
        <w:rPr>
          <w:sz w:val="20"/>
          <w:szCs w:val="20"/>
          <w:color w:val="auto"/>
        </w:rPr>
      </w:pPr>
      <w:r>
        <w:rPr>
          <w:rFonts w:ascii="Arial" w:cs="Arial" w:eastAsia="Arial" w:hAnsi="Arial"/>
          <w:sz w:val="18"/>
          <w:szCs w:val="18"/>
          <w:color w:val="auto"/>
        </w:rPr>
        <w:t>In late May and early June, many state governments began a phased reopening of their economies. These phased approaches promote limited food service offerings, outdoor dining, increased travel and the reopening of retailing establishments while adhering to new guidelines and enhanced safety measures, including social distancing and face mask protocols. However, certain states have paused or reversed plans to reopen their economies as new cases of COVID-19 have been on the rise in recent weeks.</w:t>
      </w:r>
    </w:p>
    <w:p>
      <w:pPr>
        <w:spacing w:after="0" w:line="65" w:lineRule="exact"/>
        <w:rPr>
          <w:sz w:val="20"/>
          <w:szCs w:val="20"/>
          <w:color w:val="auto"/>
        </w:rPr>
      </w:pPr>
    </w:p>
    <w:p>
      <w:pPr>
        <w:ind w:left="40" w:right="280"/>
        <w:spacing w:after="0" w:line="277" w:lineRule="auto"/>
        <w:rPr>
          <w:sz w:val="20"/>
          <w:szCs w:val="20"/>
          <w:color w:val="auto"/>
        </w:rPr>
      </w:pPr>
      <w:r>
        <w:rPr>
          <w:rFonts w:ascii="Arial" w:cs="Arial" w:eastAsia="Arial" w:hAnsi="Arial"/>
          <w:sz w:val="18"/>
          <w:szCs w:val="18"/>
          <w:color w:val="auto"/>
        </w:rPr>
        <w:t>The impact that COVID-19 will have on our consolidated financial statements throughout 2020 remains uncertain and ultimately will be dictated by the length and severity of the pandemic, as well as the economic recovery and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Hershey Company | Q2 2020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78105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280" w:top="12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state and local government actions taken in response. We will continue to evaluate the nature and extent of these potential impacts to our business and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No. 2018-14,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Retirement Benefits—Defined Benefit Plans—General (Topic 715-20): Disclosure Framework—Changes to the Disclosure Requirements for Defined Benefit Plans</w:t>
      </w:r>
      <w:r>
        <w:rPr>
          <w:rFonts w:ascii="Arial" w:cs="Arial" w:eastAsia="Arial" w:hAnsi="Arial"/>
          <w:sz w:val="17"/>
          <w:szCs w:val="17"/>
          <w:color w:val="auto"/>
        </w:rPr>
        <w:t>, which modifies the disclosure requirements for defined benefit pension plans and other post-retirement plans. ASU 2018-14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periods beginning after December 15, 2020, with early adoption permitted. The amendments in this ASU should be applied on a retrospective basis to all periods presented. We elected to early adopt the provisions of this ASU in the fourth quarter of 2019. Adoption of the new standard did not have a material impact on our consolidated financial statements.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ASU modifies the measurement of expected credit losses of certain financial instruments. ASU 2016-13 is effective for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2019 and interim periods within those annual periods. The amendments in this ASU should be applied on a modified retrospective basis to all periods presented. We adopted the provisions of this ASU in the first quarter of 2020. Adoption of the new standard did not have a material impact on our consolidated financial statements.</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This ASU modifies the disclosure requirements for fair value measurements by removing, modifying or adding</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adopted the provisions of this ASU in the first quarter of 2020. Adoption of the new standard did not have a material impact on our consolidated financial statements.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Implementation Costs Incurred in a Cloud Computing Arrangement that is a Service Contract</w:t>
      </w:r>
      <w:r>
        <w:rPr>
          <w:rFonts w:ascii="Arial" w:cs="Arial" w:eastAsia="Arial" w:hAnsi="Arial"/>
          <w:sz w:val="18"/>
          <w:szCs w:val="18"/>
          <w:color w:val="auto"/>
        </w:rPr>
        <w:t>. This ASU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adopted the provisions of this ASU in the first quarter of 2020 on a prospective basis. Adoption of the new standard did not have a material impact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ASU is intended to simplify various aspects related to accounting for income taxes by removing 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We are currently evaluating the impact of the new standard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The ASU is intended to provide temporary optional expedients and exceptions to the GAAP guidance on contract modifications and hedge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to ease the financial reporting burdens related to the expected market transition from the London Interbank Offered Rate (LIBOR) and other interbank offered rates to alternative reference rates. Entities may apply this ASU upon issuance through December 31, 2022 on a prospective basis. We are currently evaluating the impact of the new standard on our consolidated financial statements and related disclosures.</w:t>
      </w:r>
    </w:p>
    <w:p>
      <w:pPr>
        <w:spacing w:after="0" w:line="12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7" w:lineRule="exact"/>
        <w:rPr>
          <w:sz w:val="20"/>
          <w:szCs w:val="20"/>
          <w:color w:val="auto"/>
        </w:rPr>
      </w:pPr>
    </w:p>
    <w:p>
      <w:pPr>
        <w:ind w:right="7080" w:firstLine="8"/>
        <w:spacing w:after="0" w:line="440"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AND DIVESTITURES 2020 Activity</w:t>
      </w:r>
    </w:p>
    <w:p>
      <w:pPr>
        <w:spacing w:after="0" w:line="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 xml:space="preserve">During the second quarter of 2020, we completed the divestitures of KRAVE Pure Foods, Inc.,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all of which were previously included within the North America segment results in our consolidated financial statements. Total proceeds from the divestitures and the impact on our Consolidated Statements of Income, both individually and on an aggregate basis, were immaterial.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 Brands, LLC</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On September 23, 2019, we completed the acquisition of ONE Brands, LLC ("ONE Brands"), previously a privately held company that sells a line of low-sugar, high-protein nutrition bars to retailers and distributors in the United States, with the </w:t>
      </w:r>
      <w:r>
        <w:rPr>
          <w:rFonts w:ascii="Arial" w:cs="Arial" w:eastAsia="Arial" w:hAnsi="Arial"/>
          <w:sz w:val="18"/>
          <w:szCs w:val="18"/>
          <w:i w:val="1"/>
          <w:iCs w:val="1"/>
          <w:color w:val="auto"/>
        </w:rPr>
        <w:t>ONE Bar</w:t>
      </w:r>
      <w:r>
        <w:rPr>
          <w:rFonts w:ascii="Arial" w:cs="Arial" w:eastAsia="Arial" w:hAnsi="Arial"/>
          <w:sz w:val="18"/>
          <w:szCs w:val="18"/>
          <w:color w:val="auto"/>
        </w:rPr>
        <w:t xml:space="preserve"> as its primary product. The purchase consideration for ONE Brands totaled $402,160 and consisted of cash on hand and short-term borrowings. Acquisition-related costs for the ONE Brands acquisition were immaterial.</w:t>
      </w:r>
    </w:p>
    <w:p>
      <w:pPr>
        <w:spacing w:after="0" w:line="21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acquisition has been accounted for as a purchase and, accordingly, ONE Brands' results of operations have been included within the North America segment results in our consolidated financial statements since the date of acquisition. The purchase consideration was allocated to assets acquired and liabilities assumed based on their respective fair values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ind w:left="100"/>
              <w:spacing w:after="0"/>
              <w:rPr>
                <w:sz w:val="20"/>
                <w:szCs w:val="20"/>
                <w:color w:val="auto"/>
              </w:rPr>
            </w:pPr>
            <w:r>
              <w:rPr>
                <w:rFonts w:ascii="Arial" w:cs="Arial" w:eastAsia="Arial" w:hAnsi="Arial"/>
                <w:sz w:val="16"/>
                <w:szCs w:val="16"/>
                <w:b w:val="1"/>
                <w:bCs w:val="1"/>
                <w:color w:val="auto"/>
              </w:rPr>
              <w:t>Initial Allocation (1)</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Adjustments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332"/>
              <w:spacing w:after="0"/>
              <w:rPr>
                <w:sz w:val="20"/>
                <w:szCs w:val="20"/>
                <w:color w:val="auto"/>
              </w:rPr>
            </w:pPr>
            <w:r>
              <w:rPr>
                <w:rFonts w:ascii="Arial" w:cs="Arial" w:eastAsia="Arial" w:hAnsi="Arial"/>
                <w:sz w:val="16"/>
                <w:szCs w:val="16"/>
                <w:b w:val="1"/>
                <w:bCs w:val="1"/>
                <w:color w:val="auto"/>
              </w:rPr>
              <w:t>Final Allocation</w:t>
            </w:r>
          </w:p>
        </w:tc>
      </w:tr>
      <w:tr>
        <w:trPr>
          <w:trHeight w:val="33"/>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179,240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180,065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21"/>
                <w:szCs w:val="21"/>
                <w:color w:val="auto"/>
              </w:rPr>
            </w:pP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206,800</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206,800</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acquired, primarily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25,926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25,435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liabilities assumed, primarily current liabilities</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(9,806)</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0"/>
              </w:rPr>
              <w:t>(334)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(10,140)</w:t>
            </w:r>
          </w:p>
        </w:tc>
      </w:tr>
      <w:tr>
        <w:trPr>
          <w:trHeight w:val="27"/>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assets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402,160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93"/>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402,160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As reported in the Company's 2019 Annual Report on Form 10-K.</w:t>
      </w:r>
    </w:p>
    <w:p>
      <w:pPr>
        <w:spacing w:after="0" w:line="25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purchase price allocation presented above has been finalized as of the end of the first quarter of 2020. The measurement period adjustments to the initial allocation are based on more detailed information obtained about the specific assets acquired and liabilities assumed.</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supply chain capabilities and retail relationships to accelerate growth and access to the portfolio of ONE Brands products.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intangible assets include trademarks valued at $144,900, customer relationships valued at $58,800 and covenants not to compete valued at $3,100. Trademarks were assigned an estimated useful life of 33 years, customer relationships were assigned estimated useful lives ranging from 17 to 19 years and covenants not to compete were assigned an estimated useful life of 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six months ended June 28, 2020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North America</w:t>
            </w:r>
          </w:p>
        </w:tc>
        <w:tc>
          <w:tcPr>
            <w:tcW w:w="14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40" w:type="dxa"/>
            <w:vAlign w:val="bottom"/>
          </w:tcPr>
          <w:p>
            <w:pPr>
              <w:spacing w:after="0"/>
              <w:rPr>
                <w:sz w:val="18"/>
                <w:szCs w:val="18"/>
                <w:color w:val="auto"/>
              </w:rPr>
            </w:pPr>
          </w:p>
        </w:tc>
        <w:tc>
          <w:tcPr>
            <w:tcW w:w="1460" w:type="dxa"/>
            <w:vAlign w:val="bottom"/>
          </w:tcPr>
          <w:p>
            <w:pPr>
              <w:jc w:val="right"/>
              <w:ind w:right="672"/>
              <w:spacing w:after="0"/>
              <w:rPr>
                <w:sz w:val="20"/>
                <w:szCs w:val="20"/>
                <w:color w:val="auto"/>
              </w:rPr>
            </w:pPr>
            <w:r>
              <w:rPr>
                <w:rFonts w:ascii="Arial" w:cs="Arial" w:eastAsia="Arial" w:hAnsi="Arial"/>
                <w:sz w:val="16"/>
                <w:szCs w:val="16"/>
                <w:b w:val="1"/>
                <w:bCs w:val="1"/>
                <w:color w:val="auto"/>
              </w:rPr>
              <w:t>Total</w:t>
            </w:r>
          </w:p>
        </w:tc>
      </w:tr>
      <w:tr>
        <w:trPr>
          <w:trHeight w:val="24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1,967,466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1,985,955</w:t>
            </w:r>
          </w:p>
        </w:tc>
      </w:tr>
      <w:tr>
        <w:trPr>
          <w:trHeight w:val="270"/>
        </w:trPr>
        <w:tc>
          <w:tcPr>
            <w:tcW w:w="536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Measurement period adjustments (see </w:t>
            </w:r>
            <w:hyperlink w:anchor="page11">
              <w:r>
                <w:rPr>
                  <w:rFonts w:ascii="Arial" w:cs="Arial" w:eastAsia="Arial" w:hAnsi="Arial"/>
                  <w:sz w:val="18"/>
                  <w:szCs w:val="18"/>
                  <w:u w:val="single" w:color="auto"/>
                  <w:color w:val="0000FF"/>
                </w:rPr>
                <w:t>Note 2</w:t>
              </w:r>
            </w:hyperlink>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825</w:t>
            </w: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(7,778)</w:t>
            </w:r>
          </w:p>
        </w:tc>
      </w:tr>
      <w:tr>
        <w:trPr>
          <w:trHeight w:val="263"/>
        </w:trPr>
        <w:tc>
          <w:tcPr>
            <w:tcW w:w="5360" w:type="dxa"/>
            <w:vAlign w:val="bottom"/>
          </w:tcPr>
          <w:p>
            <w:pPr>
              <w:ind w:left="20"/>
              <w:spacing w:after="0"/>
              <w:rPr>
                <w:sz w:val="20"/>
                <w:szCs w:val="20"/>
                <w:color w:val="auto"/>
              </w:rPr>
            </w:pPr>
            <w:r>
              <w:rPr>
                <w:rFonts w:ascii="Arial" w:cs="Arial" w:eastAsia="Arial" w:hAnsi="Arial"/>
                <w:sz w:val="18"/>
                <w:szCs w:val="18"/>
                <w:color w:val="auto"/>
              </w:rPr>
              <w:t>Balance at June 28, 2020</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1,962,795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16,207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1,979,002</w:t>
            </w: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940"/>
              <w:spacing w:after="0"/>
              <w:rPr>
                <w:sz w:val="20"/>
                <w:szCs w:val="20"/>
                <w:color w:val="auto"/>
              </w:rPr>
            </w:pPr>
            <w:r>
              <w:rPr>
                <w:rFonts w:ascii="Arial" w:cs="Arial" w:eastAsia="Arial" w:hAnsi="Arial"/>
                <w:sz w:val="16"/>
                <w:szCs w:val="16"/>
                <w:b w:val="1"/>
                <w:bCs w:val="1"/>
                <w:color w:val="auto"/>
              </w:rPr>
              <w:t>June 28, 2020</w:t>
            </w:r>
          </w:p>
        </w:tc>
        <w:tc>
          <w:tcPr>
            <w:tcW w:w="140" w:type="dxa"/>
            <w:vAlign w:val="bottom"/>
          </w:tcPr>
          <w:p>
            <w:pPr>
              <w:spacing w:after="0"/>
              <w:rPr>
                <w:sz w:val="18"/>
                <w:szCs w:val="18"/>
                <w:color w:val="auto"/>
              </w:rPr>
            </w:pPr>
          </w:p>
        </w:tc>
        <w:tc>
          <w:tcPr>
            <w:tcW w:w="298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8"/>
                <w:szCs w:val="18"/>
                <w:color w:val="auto"/>
              </w:rPr>
            </w:pPr>
          </w:p>
        </w:tc>
        <w:tc>
          <w:tcPr>
            <w:tcW w:w="132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353"/>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132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4860" w:type="dxa"/>
            <w:vAlign w:val="bottom"/>
          </w:tcPr>
          <w:p>
            <w:pPr>
              <w:ind w:left="340"/>
              <w:spacing w:after="0"/>
              <w:rPr>
                <w:sz w:val="20"/>
                <w:szCs w:val="20"/>
                <w:color w:val="auto"/>
              </w:rPr>
            </w:pPr>
            <w:r>
              <w:rPr>
                <w:rFonts w:ascii="Arial" w:cs="Arial" w:eastAsia="Arial" w:hAnsi="Arial"/>
                <w:sz w:val="18"/>
                <w:szCs w:val="18"/>
                <w:color w:val="auto"/>
              </w:rPr>
              <w:t>Trademarks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1,207,594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(86,910)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1,212,172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(73,262)</w:t>
            </w: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Customer-related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202,371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207,749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(40,544)</w:t>
            </w:r>
          </w:p>
        </w:tc>
      </w:tr>
      <w:tr>
        <w:trPr>
          <w:trHeight w:val="243"/>
        </w:trPr>
        <w:tc>
          <w:tcPr>
            <w:tcW w:w="4860" w:type="dxa"/>
            <w:vAlign w:val="bottom"/>
          </w:tcPr>
          <w:p>
            <w:pPr>
              <w:ind w:left="340"/>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7,980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(7,885)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16,711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(16,525)</w:t>
            </w:r>
          </w:p>
        </w:tc>
      </w:tr>
      <w:tr>
        <w:trPr>
          <w:trHeight w:val="27"/>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1,417,945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(137,465)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1,436,632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(130,331)</w:t>
            </w:r>
          </w:p>
        </w:tc>
      </w:tr>
      <w:tr>
        <w:trPr>
          <w:trHeight w:val="270"/>
        </w:trPr>
        <w:tc>
          <w:tcPr>
            <w:tcW w:w="4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34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33,852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34,865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8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1,314,332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1,341,166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Total amortization expense for the three months ended June 28, 2020 and June 30, 2019 was $11,580 and $12,672, respectively. Total amortization expense for the six months ended June 28, 2020 and June 30, 2019 was $23,220 and $24,910, respectively.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6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June 28, 2020, we were in compliance with all covenants pertaining to the credit agreement, and we had no significant compensating balance agreements that legally restricted these funds. For more information, refer to the Consolidated Financial Statements included in our 2019Annual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right="140"/>
        <w:spacing w:after="0" w:line="277"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28, 2020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Short-term foreign bank borrowings against lines of credit</w:t>
            </w: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48,421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32,282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ind w:left="20"/>
              <w:spacing w:after="0"/>
              <w:rPr>
                <w:sz w:val="20"/>
                <w:szCs w:val="20"/>
                <w:color w:val="auto"/>
              </w:rPr>
            </w:pPr>
            <w:r>
              <w:rPr>
                <w:rFonts w:ascii="Arial" w:cs="Arial" w:eastAsia="Arial" w:hAnsi="Arial"/>
                <w:sz w:val="18"/>
                <w:szCs w:val="18"/>
                <w:color w:val="auto"/>
              </w:rPr>
              <w:t>U.S. commercial paper</w:t>
            </w:r>
          </w:p>
        </w:tc>
        <w:tc>
          <w:tcPr>
            <w:tcW w:w="2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149,878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2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198,299</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32,282</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700" w:type="dxa"/>
            <w:vAlign w:val="bottom"/>
            <w:gridSpan w:val="3"/>
          </w:tcPr>
          <w:p>
            <w:pPr>
              <w:ind w:left="20"/>
              <w:spacing w:after="0"/>
              <w:rPr>
                <w:sz w:val="20"/>
                <w:szCs w:val="20"/>
                <w:color w:val="auto"/>
              </w:rPr>
            </w:pPr>
            <w:r>
              <w:rPr>
                <w:rFonts w:ascii="Arial" w:cs="Arial" w:eastAsia="Arial" w:hAnsi="Arial"/>
                <w:sz w:val="18"/>
                <w:szCs w:val="18"/>
                <w:color w:val="auto"/>
                <w:w w:val="90"/>
              </w:rPr>
              <w:t>Weighted average interest rate on outstanding commercial paper</w:t>
            </w:r>
          </w:p>
        </w:tc>
        <w:tc>
          <w:tcPr>
            <w:tcW w:w="20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ind w:left="156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4700" w:type="dxa"/>
            <w:vAlign w:val="bottom"/>
            <w:gridSpan w:val="3"/>
            <w:vMerge w:val="continue"/>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Long-term debt consisted of the following:</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720" w:type="dxa"/>
            <w:vAlign w:val="bottom"/>
            <w:gridSpan w:val="4"/>
          </w:tcPr>
          <w:p>
            <w:pPr>
              <w:spacing w:after="0"/>
              <w:rPr>
                <w:sz w:val="20"/>
                <w:szCs w:val="20"/>
                <w:color w:val="auto"/>
              </w:rPr>
            </w:pPr>
            <w:r>
              <w:rPr>
                <w:rFonts w:ascii="Arial" w:cs="Arial" w:eastAsia="Arial" w:hAnsi="Arial"/>
                <w:sz w:val="16"/>
                <w:szCs w:val="16"/>
                <w:b w:val="1"/>
                <w:bCs w:val="1"/>
                <w:color w:val="auto"/>
              </w:rPr>
              <w:t>Debt Type and Rate</w:t>
            </w:r>
          </w:p>
        </w:tc>
        <w:tc>
          <w:tcPr>
            <w:tcW w:w="2080" w:type="dxa"/>
            <w:vAlign w:val="bottom"/>
          </w:tcPr>
          <w:p>
            <w:pPr>
              <w:ind w:left="540"/>
              <w:spacing w:after="0"/>
              <w:rPr>
                <w:sz w:val="20"/>
                <w:szCs w:val="20"/>
                <w:color w:val="auto"/>
              </w:rPr>
            </w:pPr>
            <w:r>
              <w:rPr>
                <w:rFonts w:ascii="Arial" w:cs="Arial" w:eastAsia="Arial" w:hAnsi="Arial"/>
                <w:sz w:val="16"/>
                <w:szCs w:val="16"/>
                <w:b w:val="1"/>
                <w:bCs w:val="1"/>
                <w:color w:val="auto"/>
              </w:rPr>
              <w:t>Maturity Date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80"/>
              <w:spacing w:after="0"/>
              <w:rPr>
                <w:sz w:val="20"/>
                <w:szCs w:val="20"/>
                <w:color w:val="auto"/>
              </w:rPr>
            </w:pPr>
            <w:r>
              <w:rPr>
                <w:rFonts w:ascii="Arial" w:cs="Arial" w:eastAsia="Arial" w:hAnsi="Arial"/>
                <w:sz w:val="16"/>
                <w:szCs w:val="16"/>
                <w:b w:val="1"/>
                <w:bCs w:val="1"/>
                <w:color w:val="auto"/>
              </w:rPr>
              <w:t>June 28, 2020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2.900%</w:t>
            </w:r>
          </w:p>
        </w:tc>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(1)</w:t>
            </w:r>
          </w:p>
        </w:tc>
        <w:tc>
          <w:tcPr>
            <w:tcW w:w="100" w:type="dxa"/>
            <w:vAlign w:val="bottom"/>
            <w:tcBorders>
              <w:top w:val="single" w:sz="8" w:color="CCEEFF"/>
            </w:tcBorders>
            <w:shd w:val="clear" w:color="auto" w:fill="CCEEFF"/>
          </w:tcPr>
          <w:p>
            <w:pPr>
              <w:spacing w:after="0"/>
              <w:rPr>
                <w:sz w:val="23"/>
                <w:szCs w:val="23"/>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May 15, 2020</w:t>
            </w: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4.125%</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December 1, 2020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jc w:val="right"/>
              <w:ind w:right="111"/>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8.800%</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15, 2021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84,715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84,715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3.100%</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May 15, 2021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jc w:val="right"/>
              <w:ind w:right="111"/>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2.625%</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May 1, 2023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250,000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3.375%</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May 15, 2023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jc w:val="right"/>
              <w:ind w:right="111"/>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2.050%</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15, 2024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0.900%</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 (2)</w:t>
            </w:r>
          </w:p>
        </w:tc>
        <w:tc>
          <w:tcPr>
            <w:tcW w:w="2080" w:type="dxa"/>
            <w:vAlign w:val="bottom"/>
          </w:tcPr>
          <w:p>
            <w:pPr>
              <w:jc w:val="center"/>
              <w:spacing w:after="0"/>
              <w:rPr>
                <w:sz w:val="20"/>
                <w:szCs w:val="20"/>
                <w:color w:val="auto"/>
              </w:rPr>
            </w:pPr>
            <w:r>
              <w:rPr>
                <w:rFonts w:ascii="Arial" w:cs="Arial" w:eastAsia="Arial" w:hAnsi="Arial"/>
                <w:sz w:val="18"/>
                <w:szCs w:val="18"/>
                <w:color w:val="auto"/>
                <w:w w:val="86"/>
              </w:rPr>
              <w:t>June 1, 2025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3.200%</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21, 2025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2.300%</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August 15, 2026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jc w:val="right"/>
              <w:ind w:right="111"/>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7.200%</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15, 2027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193,639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193,639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2.450%</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November 15, 2029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jc w:val="right"/>
              <w:ind w:right="111"/>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1.700%</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(2)</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 2030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3.375%</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August 15, 2046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jc w:val="right"/>
              <w:ind w:right="111"/>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15, 2049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2.650%</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 (2)</w:t>
            </w:r>
          </w:p>
        </w:tc>
        <w:tc>
          <w:tcPr>
            <w:tcW w:w="2080" w:type="dxa"/>
            <w:vAlign w:val="bottom"/>
          </w:tcPr>
          <w:p>
            <w:pPr>
              <w:jc w:val="center"/>
              <w:spacing w:after="0"/>
              <w:rPr>
                <w:sz w:val="20"/>
                <w:szCs w:val="20"/>
                <w:color w:val="auto"/>
              </w:rPr>
            </w:pPr>
            <w:r>
              <w:rPr>
                <w:rFonts w:ascii="Arial" w:cs="Arial" w:eastAsia="Arial" w:hAnsi="Arial"/>
                <w:sz w:val="18"/>
                <w:szCs w:val="18"/>
                <w:color w:val="auto"/>
                <w:w w:val="86"/>
              </w:rPr>
              <w:t>June 1, 2050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gridSpan w:val="3"/>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Finance lease obligations (see </w:t>
            </w:r>
            <w:hyperlink w:anchor="page18">
              <w:r>
                <w:rPr>
                  <w:rFonts w:ascii="Arial" w:cs="Arial" w:eastAsia="Arial" w:hAnsi="Arial"/>
                  <w:sz w:val="18"/>
                  <w:szCs w:val="18"/>
                  <w:u w:val="single" w:color="auto"/>
                  <w:color w:val="0000FF"/>
                </w:rPr>
                <w:t>Note 7</w:t>
              </w:r>
            </w:hyperlink>
            <w:r>
              <w:rPr>
                <w:rFonts w:ascii="Arial" w:cs="Arial" w:eastAsia="Arial" w:hAnsi="Arial"/>
                <w:sz w:val="18"/>
                <w:szCs w:val="18"/>
                <w:color w:val="auto"/>
              </w:rPr>
              <w:t>)</w:t>
            </w:r>
          </w:p>
        </w:tc>
        <w:tc>
          <w:tcPr>
            <w:tcW w:w="2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80,447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79,643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3"/>
          </w:tcPr>
          <w:p>
            <w:pPr>
              <w:ind w:left="20"/>
              <w:spacing w:after="0"/>
              <w:rPr>
                <w:sz w:val="20"/>
                <w:szCs w:val="20"/>
                <w:color w:val="auto"/>
              </w:rPr>
            </w:pPr>
            <w:r>
              <w:rPr>
                <w:rFonts w:ascii="Arial" w:cs="Arial" w:eastAsia="Arial" w:hAnsi="Arial"/>
                <w:sz w:val="18"/>
                <w:szCs w:val="18"/>
                <w:color w:val="auto"/>
              </w:rPr>
              <w:t>Net impact of interest rate swaps, debt issuance costs and</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3"/>
          </w:tcPr>
          <w:p>
            <w:pPr>
              <w:ind w:left="20"/>
              <w:spacing w:after="0"/>
              <w:rPr>
                <w:sz w:val="20"/>
                <w:szCs w:val="20"/>
                <w:color w:val="auto"/>
              </w:rPr>
            </w:pPr>
            <w:r>
              <w:rPr>
                <w:rFonts w:ascii="Arial" w:cs="Arial" w:eastAsia="Arial" w:hAnsi="Arial"/>
                <w:sz w:val="18"/>
                <w:szCs w:val="18"/>
                <w:color w:val="auto"/>
              </w:rPr>
              <w:t>unamortized debt discounts</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(29,142)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ind w:right="51"/>
              <w:spacing w:after="0"/>
              <w:rPr>
                <w:sz w:val="20"/>
                <w:szCs w:val="20"/>
                <w:color w:val="auto"/>
              </w:rPr>
            </w:pPr>
            <w:r>
              <w:rPr>
                <w:rFonts w:ascii="Arial" w:cs="Arial" w:eastAsia="Arial" w:hAnsi="Arial"/>
                <w:sz w:val="18"/>
                <w:szCs w:val="18"/>
                <w:color w:val="auto"/>
              </w:rPr>
              <w:t>(23,794)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4,879,659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4,234,203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3"/>
          </w:tcPr>
          <w:p>
            <w:pPr>
              <w:ind w:left="20"/>
              <w:spacing w:after="0"/>
              <w:rPr>
                <w:sz w:val="20"/>
                <w:szCs w:val="20"/>
                <w:color w:val="auto"/>
              </w:rPr>
            </w:pPr>
            <w:r>
              <w:rPr>
                <w:rFonts w:ascii="Arial" w:cs="Arial" w:eastAsia="Arial" w:hAnsi="Arial"/>
                <w:sz w:val="18"/>
                <w:szCs w:val="18"/>
                <w:color w:val="auto"/>
              </w:rPr>
              <w:t>Less—current portion</w:t>
            </w:r>
          </w:p>
        </w:tc>
        <w:tc>
          <w:tcPr>
            <w:tcW w:w="2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788,448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Pr>
          <w:p>
            <w:pPr>
              <w:jc w:val="right"/>
              <w:ind w:right="111"/>
              <w:spacing w:after="0"/>
              <w:rPr>
                <w:sz w:val="20"/>
                <w:szCs w:val="20"/>
                <w:color w:val="auto"/>
              </w:rPr>
            </w:pPr>
            <w:r>
              <w:rPr>
                <w:rFonts w:ascii="Arial" w:cs="Arial" w:eastAsia="Arial" w:hAnsi="Arial"/>
                <w:sz w:val="18"/>
                <w:szCs w:val="18"/>
                <w:color w:val="auto"/>
              </w:rPr>
              <w:t>703,390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08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4,091,211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3,530,813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78105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35"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2020, we repaid $350,000 of 2.900% Notes due upon their maturity.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second quarter of 2020, we issued $300,000 of 0.900% Notes due in 2025, $350,000 of 1.700% Notes due in 2030 and $350,000 of</w:t>
      </w:r>
    </w:p>
    <w:p>
      <w:pPr>
        <w:spacing w:after="0" w:line="34" w:lineRule="exact"/>
        <w:rPr>
          <w:rFonts w:ascii="Arial" w:cs="Arial" w:eastAsia="Arial" w:hAnsi="Arial"/>
          <w:sz w:val="17"/>
          <w:szCs w:val="17"/>
          <w:color w:val="auto"/>
        </w:rPr>
      </w:pPr>
    </w:p>
    <w:p>
      <w:pPr>
        <w:ind w:left="500" w:right="120"/>
        <w:spacing w:after="0" w:line="255" w:lineRule="auto"/>
        <w:rPr>
          <w:rFonts w:ascii="Arial" w:cs="Arial" w:eastAsia="Arial" w:hAnsi="Arial"/>
          <w:sz w:val="17"/>
          <w:szCs w:val="17"/>
          <w:color w:val="auto"/>
        </w:rPr>
      </w:pPr>
      <w:r>
        <w:rPr>
          <w:rFonts w:ascii="Arial" w:cs="Arial" w:eastAsia="Arial" w:hAnsi="Arial"/>
          <w:sz w:val="18"/>
          <w:szCs w:val="18"/>
          <w:color w:val="auto"/>
        </w:rPr>
        <w:t>2.650% Notes due in 2050 (the "2020 Notes"). Proceeds from the issuance of the 2020 Notes, net of discounts and issuance costs, totaled $989,876. The 2020 Notes were issued under a shelf registration statement on Form S-3 filed in May 2018 that registered an indeterminate amount of debt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consists of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3860" w:type="dxa"/>
            <w:vAlign w:val="bottom"/>
            <w:gridSpan w:val="4"/>
          </w:tcPr>
          <w:p>
            <w:pPr>
              <w:ind w:left="114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2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28, 2020</w:t>
            </w:r>
          </w:p>
        </w:tc>
        <w:tc>
          <w:tcPr>
            <w:tcW w:w="32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32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28, 2020</w:t>
            </w:r>
          </w:p>
        </w:tc>
        <w:tc>
          <w:tcPr>
            <w:tcW w:w="34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2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40,520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39,192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79,776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79,855</w:t>
            </w:r>
          </w:p>
        </w:tc>
      </w:tr>
      <w:tr>
        <w:trPr>
          <w:trHeight w:val="27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(2,648)</w:t>
            </w:r>
          </w:p>
        </w:tc>
      </w:tr>
      <w:tr>
        <w:trPr>
          <w:trHeight w:val="26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38,856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37,801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76,695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77,207</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ind w:left="1080"/>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ind w:left="1080"/>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ind w:left="1080"/>
              <w:spacing w:after="0"/>
              <w:rPr>
                <w:sz w:val="20"/>
                <w:szCs w:val="20"/>
                <w:color w:val="auto"/>
              </w:rPr>
            </w:pPr>
            <w:r>
              <w:rPr>
                <w:rFonts w:ascii="Arial" w:cs="Arial" w:eastAsia="Arial" w:hAnsi="Arial"/>
                <w:sz w:val="18"/>
                <w:szCs w:val="18"/>
                <w:color w:val="auto"/>
              </w:rPr>
              <w:t>(5,973)</w:t>
            </w:r>
          </w:p>
        </w:tc>
      </w:tr>
      <w:tr>
        <w:trPr>
          <w:trHeight w:val="27"/>
        </w:trPr>
        <w:tc>
          <w:tcPr>
            <w:tcW w:w="2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38,079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33,776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74,334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71,234</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$817,521 as of June 28, 2020 and $589,662 as of December 31, 2019.</w:t>
      </w:r>
    </w:p>
    <w:p>
      <w:pPr>
        <w:spacing w:after="0" w:line="95" w:lineRule="exact"/>
        <w:rPr>
          <w:sz w:val="20"/>
          <w:szCs w:val="20"/>
          <w:color w:val="auto"/>
        </w:rPr>
      </w:pPr>
    </w:p>
    <w:p>
      <w:pPr>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hyperlink w:anchor="page26">
        <w:r>
          <w:rPr>
            <w:rFonts w:ascii="Arial" w:cs="Arial" w:eastAsia="Arial" w:hAnsi="Arial"/>
            <w:sz w:val="18"/>
            <w:szCs w:val="18"/>
            <w:u w:val="single" w:color="auto"/>
            <w:color w:val="0000FF"/>
          </w:rPr>
          <w:t>Note 13</w:t>
        </w:r>
      </w:hyperlink>
      <w:r>
        <w:rPr>
          <w:rFonts w:ascii="Arial" w:cs="Arial" w:eastAsia="Arial" w:hAnsi="Arial"/>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and Malaysian ringgit.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$84,383 at June 28, 2020 and $65,826 at December 31, 2019. The effective portion of the changes in fair value on these contracts is recorded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comprehensive income and reclassified into earnings in the same period in which the hedged transactions affect earnings. The net notional amount of foreign exchange contracts that are not designated as accounting hedges was $42,057 at June 28, 2020 and $50,831 at December 31, 2019. The change in fair value on these instruments is recorded directly in cost of sales or selling, marketing and administrative expense, depending on the nature of the underlying exposure.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June 28, 2020 and December 31, 2019.</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June 28, 2020 and December 31, 2019 was $22,995 and $28,187,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June 28,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5"/>
          </w:tcPr>
          <w:p>
            <w:pPr>
              <w:ind w:left="840"/>
              <w:spacing w:after="0"/>
              <w:rPr>
                <w:sz w:val="20"/>
                <w:szCs w:val="20"/>
                <w:color w:val="auto"/>
              </w:rPr>
            </w:pPr>
            <w:r>
              <w:rPr>
                <w:rFonts w:ascii="Arial" w:cs="Arial" w:eastAsia="Arial" w:hAnsi="Arial"/>
                <w:sz w:val="18"/>
                <w:szCs w:val="18"/>
                <w:b w:val="1"/>
                <w:bCs w:val="1"/>
                <w:color w:val="auto"/>
              </w:rPr>
              <w:t>June 28, 2020</w:t>
            </w:r>
          </w:p>
        </w:tc>
        <w:tc>
          <w:tcPr>
            <w:tcW w:w="280" w:type="dxa"/>
            <w:vAlign w:val="bottom"/>
          </w:tcPr>
          <w:p>
            <w:pPr>
              <w:spacing w:after="0"/>
              <w:rPr>
                <w:sz w:val="20"/>
                <w:szCs w:val="20"/>
                <w:color w:val="auto"/>
              </w:rPr>
            </w:pPr>
          </w:p>
        </w:tc>
        <w:tc>
          <w:tcPr>
            <w:tcW w:w="29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4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Derivatives designated as cash flow hedging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4,492</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1,779</w:t>
            </w: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w w:val="93"/>
              </w:rPr>
              <w:t>Derivatives designated as fair value hedging instruments: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2,829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Commodities futures and options (2)</w:t>
            </w:r>
          </w:p>
        </w:tc>
        <w:tc>
          <w:tcPr>
            <w:tcW w:w="26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23,840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626</w:t>
            </w: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4,626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2,111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4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4,626</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25,951</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626</w:t>
            </w:r>
          </w:p>
        </w:tc>
      </w:tr>
      <w:tr>
        <w:trPr>
          <w:trHeight w:val="264"/>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11,947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26,321</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14,923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2,405</w:t>
            </w: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500" w:right="140" w:hanging="330"/>
        <w:spacing w:after="0" w:line="277" w:lineRule="auto"/>
        <w:tabs>
          <w:tab w:leader="none" w:pos="49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Derivatives assets are classified on our Consolidated Balance Sheets within prepaid expenses and other as well as other assets. Derivative liabilities are classified on our Consolidated Balance Sheets within accrued liabilities and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35" w:lineRule="exact"/>
        <w:rPr>
          <w:sz w:val="20"/>
          <w:szCs w:val="20"/>
          <w:color w:val="auto"/>
        </w:rPr>
      </w:pPr>
    </w:p>
    <w:p>
      <w:pPr>
        <w:ind w:left="500" w:right="100" w:hanging="330"/>
        <w:spacing w:after="0" w:line="257" w:lineRule="auto"/>
        <w:tabs>
          <w:tab w:leader="none" w:pos="494"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28, 2020, amounts reflected on a net basis in liabilities were assets of $95,969 and liabilities of $117,217, which are associated with cash transfers receivable or payable on commodities futures contracts reflecting the change in quoted market prices on the last trading day for the period. The comparable amounts reflected on a net basis in assets at December 31, 2019 were assets of $46,075 and liabilities of $37,606. At June 28, 2020 and December 31, 2019, the remaining amount reflected in assets and liabilities related to the fair value of other non-exchange traded derivative instruments,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June 28, 2020 and June 30, 2019 was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9"/>
              </w:rPr>
              <w:t>Non-designated Hedges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Cash Flow Hedges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5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7"/>
              </w:rPr>
              <w:t>Gains (losses) recognized in other</w:t>
            </w:r>
          </w:p>
        </w:tc>
        <w:tc>
          <w:tcPr>
            <w:tcW w:w="140" w:type="dxa"/>
            <w:vAlign w:val="bottom"/>
          </w:tcPr>
          <w:p>
            <w:pPr>
              <w:spacing w:after="0"/>
              <w:rPr>
                <w:sz w:val="18"/>
                <w:szCs w:val="18"/>
                <w:color w:val="auto"/>
              </w:rPr>
            </w:pPr>
          </w:p>
        </w:tc>
        <w:tc>
          <w:tcPr>
            <w:tcW w:w="2340" w:type="dxa"/>
            <w:vAlign w:val="bottom"/>
            <w:gridSpan w:val="3"/>
          </w:tcPr>
          <w:p>
            <w:pPr>
              <w:jc w:val="right"/>
              <w:ind w:right="92"/>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10"/>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left="534"/>
              <w:spacing w:after="0"/>
              <w:rPr>
                <w:sz w:val="20"/>
                <w:szCs w:val="20"/>
                <w:color w:val="auto"/>
              </w:rPr>
            </w:pPr>
            <w:r>
              <w:rPr>
                <w:rFonts w:ascii="Arial" w:cs="Arial" w:eastAsia="Arial" w:hAnsi="Arial"/>
                <w:sz w:val="16"/>
                <w:szCs w:val="16"/>
                <w:b w:val="1"/>
                <w:bCs w:val="1"/>
                <w:color w:val="auto"/>
                <w:w w:val="89"/>
              </w:rPr>
              <w:t>income (a)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comprehensive income (“OCI”)</w:t>
            </w:r>
          </w:p>
        </w:tc>
        <w:tc>
          <w:tcPr>
            <w:tcW w:w="248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accumulated OCI into income (b)</w:t>
            </w:r>
          </w:p>
        </w:tc>
      </w:tr>
      <w:tr>
        <w:trPr>
          <w:trHeight w:val="33"/>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52"/>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24"/>
                <w:szCs w:val="24"/>
                <w:color w:val="auto"/>
              </w:rPr>
            </w:pPr>
          </w:p>
        </w:tc>
        <w:tc>
          <w:tcPr>
            <w:tcW w:w="8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4"/>
                <w:szCs w:val="24"/>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24"/>
                <w:szCs w:val="24"/>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33"/>
        </w:trPr>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2,624</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55,531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1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(554)</w:t>
            </w: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675</w:t>
            </w:r>
          </w:p>
        </w:tc>
        <w:tc>
          <w:tcPr>
            <w:tcW w:w="4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1,138</w:t>
            </w:r>
          </w:p>
        </w:tc>
        <w:tc>
          <w:tcPr>
            <w:tcW w:w="3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975</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(2,343)</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(2,370)</w:t>
            </w: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180" w:type="dxa"/>
            <w:vAlign w:val="bottom"/>
          </w:tcPr>
          <w:p>
            <w:pPr>
              <w:spacing w:after="0"/>
              <w:rPr>
                <w:sz w:val="23"/>
                <w:szCs w:val="23"/>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4,626</w:t>
            </w:r>
          </w:p>
        </w:tc>
        <w:tc>
          <w:tcPr>
            <w:tcW w:w="46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9"/>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6,696</w:t>
            </w:r>
          </w:p>
        </w:tc>
        <w:tc>
          <w:tcPr>
            <w:tcW w:w="4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52,935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675</w:t>
            </w:r>
          </w:p>
        </w:tc>
        <w:tc>
          <w:tcPr>
            <w:tcW w:w="4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(2,547)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(1,205)</w:t>
            </w:r>
          </w:p>
        </w:tc>
        <w:tc>
          <w:tcPr>
            <w:tcW w:w="3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(1,395)</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six months ended June 28, 2020 and June 30, 2019 was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8"/>
              </w:rPr>
              <w:t>Non-designated Hedges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Cash Flow Hedges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7"/>
              </w:rPr>
              <w:t>Gains (losses) recognized in</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3"/>
          </w:tcPr>
          <w:p>
            <w:pPr>
              <w:jc w:val="right"/>
              <w:ind w:right="92"/>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10"/>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left="534"/>
              <w:spacing w:after="0"/>
              <w:rPr>
                <w:sz w:val="20"/>
                <w:szCs w:val="20"/>
                <w:color w:val="auto"/>
              </w:rPr>
            </w:pPr>
            <w:r>
              <w:rPr>
                <w:rFonts w:ascii="Arial" w:cs="Arial" w:eastAsia="Arial" w:hAnsi="Arial"/>
                <w:sz w:val="16"/>
                <w:szCs w:val="16"/>
                <w:b w:val="1"/>
                <w:bCs w:val="1"/>
                <w:color w:val="auto"/>
                <w:w w:val="89"/>
              </w:rPr>
              <w:t>income (a)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89"/>
              </w:rPr>
              <w:t>Gains (losses) recognized in OCI</w:t>
            </w:r>
          </w:p>
        </w:tc>
        <w:tc>
          <w:tcPr>
            <w:tcW w:w="248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accumulated OCI into income (b)</w:t>
            </w:r>
          </w:p>
        </w:tc>
      </w:tr>
      <w:tr>
        <w:trPr>
          <w:trHeight w:val="33"/>
        </w:trPr>
        <w:tc>
          <w:tcPr>
            <w:tcW w:w="3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52"/>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24"/>
                <w:szCs w:val="24"/>
                <w:color w:val="auto"/>
              </w:rPr>
            </w:pPr>
          </w:p>
        </w:tc>
        <w:tc>
          <w:tcPr>
            <w:tcW w:w="8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4"/>
                <w:szCs w:val="24"/>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24"/>
                <w:szCs w:val="24"/>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33"/>
        </w:trPr>
        <w:tc>
          <w:tcPr>
            <w:tcW w:w="3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(74,468)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28,890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(3,876)</w:t>
            </w: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6,056</w:t>
            </w:r>
          </w:p>
        </w:tc>
        <w:tc>
          <w:tcPr>
            <w:tcW w:w="4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(3,336)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1,390</w:t>
            </w:r>
          </w:p>
        </w:tc>
        <w:tc>
          <w:tcPr>
            <w:tcW w:w="3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1,906</w:t>
            </w:r>
          </w:p>
        </w:tc>
      </w:tr>
      <w:tr>
        <w:trPr>
          <w:trHeight w:val="27"/>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(4,687)</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(4,739)</w:t>
            </w:r>
          </w:p>
        </w:tc>
      </w:tr>
      <w:tr>
        <w:trPr>
          <w:trHeight w:val="270"/>
        </w:trPr>
        <w:tc>
          <w:tcPr>
            <w:tcW w:w="360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(1,133)</w:t>
            </w:r>
          </w:p>
        </w:tc>
        <w:tc>
          <w:tcPr>
            <w:tcW w:w="46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(79,477)</w:t>
            </w:r>
          </w:p>
        </w:tc>
        <w:tc>
          <w:tcPr>
            <w:tcW w:w="4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29,552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6,056</w:t>
            </w:r>
          </w:p>
        </w:tc>
        <w:tc>
          <w:tcPr>
            <w:tcW w:w="4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(3,336)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(3,297)</w:t>
            </w:r>
          </w:p>
        </w:tc>
        <w:tc>
          <w:tcPr>
            <w:tcW w:w="3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(2,833)</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340" w:right="40" w:hanging="332"/>
        <w:spacing w:after="0" w:line="263" w:lineRule="auto"/>
        <w:tabs>
          <w:tab w:leader="none" w:pos="337"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1" w:lineRule="exact"/>
        <w:rPr>
          <w:rFonts w:ascii="Arial" w:cs="Arial" w:eastAsia="Arial" w:hAnsi="Arial"/>
          <w:sz w:val="18"/>
          <w:szCs w:val="18"/>
          <w:color w:val="auto"/>
        </w:rPr>
      </w:pPr>
    </w:p>
    <w:p>
      <w:pPr>
        <w:ind w:left="340" w:right="840" w:hanging="332"/>
        <w:spacing w:after="0" w:line="342" w:lineRule="auto"/>
        <w:tabs>
          <w:tab w:leader="none" w:pos="334" w:val="left"/>
        </w:tabs>
        <w:numPr>
          <w:ilvl w:val="0"/>
          <w:numId w:val="7"/>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$5,252 as of June 28, 2020. This amount is primarily associated with interest rate swap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amounts that were recorded on the Consolidated Balance Sheets related to cumulative basis adjustments for interest rate swap derivatives designated as fair value accounting hedges as of June 28,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Line Item in the Consolidated Balance</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Sheets in Which the Hedged Item is</w:t>
            </w:r>
          </w:p>
        </w:tc>
        <w:tc>
          <w:tcPr>
            <w:tcW w:w="320" w:type="dxa"/>
            <w:vAlign w:val="bottom"/>
          </w:tcPr>
          <w:p>
            <w:pPr>
              <w:spacing w:after="0"/>
              <w:rPr>
                <w:sz w:val="17"/>
                <w:szCs w:val="17"/>
                <w:color w:val="auto"/>
              </w:rPr>
            </w:pPr>
          </w:p>
        </w:tc>
        <w:tc>
          <w:tcPr>
            <w:tcW w:w="3800" w:type="dxa"/>
            <w:vAlign w:val="bottom"/>
            <w:gridSpan w:val="4"/>
          </w:tcPr>
          <w:p>
            <w:pPr>
              <w:ind w:left="860"/>
              <w:spacing w:after="0"/>
              <w:rPr>
                <w:sz w:val="20"/>
                <w:szCs w:val="20"/>
                <w:color w:val="auto"/>
              </w:rPr>
            </w:pPr>
            <w:r>
              <w:rPr>
                <w:rFonts w:ascii="Arial" w:cs="Arial" w:eastAsia="Arial" w:hAnsi="Arial"/>
                <w:sz w:val="16"/>
                <w:szCs w:val="16"/>
                <w:b w:val="1"/>
                <w:bCs w:val="1"/>
                <w:color w:val="auto"/>
              </w:rPr>
              <w:t>Carrying Amount of the</w:t>
            </w:r>
          </w:p>
        </w:tc>
        <w:tc>
          <w:tcPr>
            <w:tcW w:w="40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Cumulative Amount of Fair Value Hedging Adjustment</w:t>
            </w:r>
          </w:p>
        </w:tc>
      </w:tr>
      <w:tr>
        <w:trPr>
          <w:trHeight w:val="210"/>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Included</w:t>
            </w:r>
          </w:p>
        </w:tc>
        <w:tc>
          <w:tcPr>
            <w:tcW w:w="320" w:type="dxa"/>
            <w:vAlign w:val="bottom"/>
          </w:tcPr>
          <w:p>
            <w:pPr>
              <w:spacing w:after="0"/>
              <w:rPr>
                <w:sz w:val="18"/>
                <w:szCs w:val="18"/>
                <w:color w:val="auto"/>
              </w:rPr>
            </w:pPr>
          </w:p>
        </w:tc>
        <w:tc>
          <w:tcPr>
            <w:tcW w:w="3800" w:type="dxa"/>
            <w:vAlign w:val="bottom"/>
            <w:gridSpan w:val="4"/>
          </w:tcPr>
          <w:p>
            <w:pPr>
              <w:ind w:left="840"/>
              <w:spacing w:after="0"/>
              <w:rPr>
                <w:sz w:val="20"/>
                <w:szCs w:val="20"/>
                <w:color w:val="auto"/>
              </w:rPr>
            </w:pPr>
            <w:r>
              <w:rPr>
                <w:rFonts w:ascii="Arial" w:cs="Arial" w:eastAsia="Arial" w:hAnsi="Arial"/>
                <w:sz w:val="16"/>
                <w:szCs w:val="16"/>
                <w:b w:val="1"/>
                <w:bCs w:val="1"/>
                <w:color w:val="auto"/>
              </w:rPr>
              <w:t>Hedged Asset/(Liability)</w:t>
            </w:r>
          </w:p>
        </w:tc>
        <w:tc>
          <w:tcPr>
            <w:tcW w:w="160" w:type="dxa"/>
            <w:vAlign w:val="bottom"/>
          </w:tcPr>
          <w:p>
            <w:pPr>
              <w:spacing w:after="0"/>
              <w:rPr>
                <w:sz w:val="18"/>
                <w:szCs w:val="18"/>
                <w:color w:val="auto"/>
              </w:rPr>
            </w:pPr>
          </w:p>
        </w:tc>
        <w:tc>
          <w:tcPr>
            <w:tcW w:w="3860" w:type="dxa"/>
            <w:vAlign w:val="bottom"/>
            <w:gridSpan w:val="3"/>
          </w:tcPr>
          <w:p>
            <w:pPr>
              <w:jc w:val="center"/>
              <w:ind w:right="55"/>
              <w:spacing w:after="0"/>
              <w:rPr>
                <w:sz w:val="20"/>
                <w:szCs w:val="20"/>
                <w:color w:val="auto"/>
              </w:rPr>
            </w:pPr>
            <w:r>
              <w:rPr>
                <w:rFonts w:ascii="Arial" w:cs="Arial" w:eastAsia="Arial" w:hAnsi="Arial"/>
                <w:sz w:val="16"/>
                <w:szCs w:val="16"/>
                <w:b w:val="1"/>
                <w:bCs w:val="1"/>
                <w:color w:val="auto"/>
                <w:w w:val="92"/>
              </w:rPr>
              <w:t>Included in the Carrying Amount Assets/(Liabilities)</w:t>
            </w:r>
          </w:p>
        </w:tc>
      </w:tr>
      <w:tr>
        <w:trPr>
          <w:trHeight w:val="33"/>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ind w:left="180"/>
              <w:spacing w:after="0"/>
              <w:rPr>
                <w:sz w:val="20"/>
                <w:szCs w:val="20"/>
                <w:color w:val="auto"/>
              </w:rPr>
            </w:pPr>
            <w:r>
              <w:rPr>
                <w:rFonts w:ascii="Arial" w:cs="Arial" w:eastAsia="Arial" w:hAnsi="Arial"/>
                <w:sz w:val="16"/>
                <w:szCs w:val="16"/>
                <w:b w:val="1"/>
                <w:bCs w:val="1"/>
                <w:color w:val="auto"/>
              </w:rPr>
              <w:t>June 28, 2020</w:t>
            </w:r>
          </w:p>
        </w:tc>
        <w:tc>
          <w:tcPr>
            <w:tcW w:w="3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18"/>
                <w:szCs w:val="18"/>
                <w:color w:val="auto"/>
              </w:rPr>
            </w:pPr>
          </w:p>
        </w:tc>
        <w:tc>
          <w:tcPr>
            <w:tcW w:w="1780" w:type="dxa"/>
            <w:vAlign w:val="bottom"/>
          </w:tcPr>
          <w:p>
            <w:pPr>
              <w:jc w:val="right"/>
              <w:ind w:right="396"/>
              <w:spacing w:after="0"/>
              <w:rPr>
                <w:sz w:val="20"/>
                <w:szCs w:val="20"/>
                <w:color w:val="auto"/>
              </w:rPr>
            </w:pPr>
            <w:r>
              <w:rPr>
                <w:rFonts w:ascii="Arial" w:cs="Arial" w:eastAsia="Arial" w:hAnsi="Arial"/>
                <w:sz w:val="16"/>
                <w:szCs w:val="16"/>
                <w:b w:val="1"/>
                <w:bCs w:val="1"/>
                <w:color w:val="auto"/>
              </w:rPr>
              <w:t>June 28, 2020</w:t>
            </w:r>
          </w:p>
        </w:tc>
        <w:tc>
          <w:tcPr>
            <w:tcW w:w="340" w:type="dxa"/>
            <w:vAlign w:val="bottom"/>
          </w:tcPr>
          <w:p>
            <w:pPr>
              <w:spacing w:after="0"/>
              <w:rPr>
                <w:sz w:val="18"/>
                <w:szCs w:val="18"/>
                <w:color w:val="auto"/>
              </w:rPr>
            </w:pPr>
          </w:p>
        </w:tc>
        <w:tc>
          <w:tcPr>
            <w:tcW w:w="1740" w:type="dxa"/>
            <w:vAlign w:val="bottom"/>
          </w:tcPr>
          <w:p>
            <w:pPr>
              <w:jc w:val="right"/>
              <w:ind w:right="235"/>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(347,171)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(349,445)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2,829</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555</w:t>
            </w:r>
          </w:p>
        </w:tc>
      </w:tr>
      <w:tr>
        <w:trPr>
          <w:trHeight w:val="27"/>
        </w:trPr>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June 28, 2020 and June 30, 2019, we recognized a net pretax benefit to interest expense of $608 and net incremental interest expense of $584, respectively, relating to our fixed-to-floating interest swap arrangements. For the six months ended June 28, 2020 and June 30, 2019, we recognized a net pretax benefit to interest expense of $759 and net incremental interest expense of $1,214, respectively, relating to our fixed-to-floating interest swap arrangements.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08"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200"/>
        <w:spacing w:after="0" w:line="23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 participant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June 28, 2020 and December 31, 2019:</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37465</wp:posOffset>
            </wp:positionV>
            <wp:extent cx="41148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33"/>
        </w:trPr>
        <w:tc>
          <w:tcPr>
            <w:tcW w:w="4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June 28, 2020:</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gridSpan w:val="2"/>
          </w:tcPr>
          <w:p>
            <w:pPr>
              <w:ind w:left="3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4,492</w:t>
            </w: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2,829</w:t>
            </w:r>
          </w:p>
        </w:tc>
      </w:tr>
      <w:tr>
        <w:trPr>
          <w:trHeight w:val="243"/>
        </w:trPr>
        <w:tc>
          <w:tcPr>
            <w:tcW w:w="4760" w:type="dxa"/>
            <w:vAlign w:val="bottom"/>
            <w:gridSpan w:val="2"/>
          </w:tcPr>
          <w:p>
            <w:pPr>
              <w:ind w:left="34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4,626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4,626</w:t>
            </w: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gridSpan w:val="2"/>
          </w:tcPr>
          <w:p>
            <w:pPr>
              <w:ind w:left="3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2,481</w:t>
            </w: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23,840</w:t>
            </w:r>
          </w:p>
        </w:tc>
      </w:tr>
      <w:tr>
        <w:trPr>
          <w:trHeight w:val="243"/>
        </w:trPr>
        <w:tc>
          <w:tcPr>
            <w:tcW w:w="4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gridSpan w:val="2"/>
          </w:tcPr>
          <w:p>
            <w:pPr>
              <w:ind w:left="3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2,731</w:t>
            </w: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555</w:t>
            </w:r>
          </w:p>
        </w:tc>
      </w:tr>
      <w:tr>
        <w:trPr>
          <w:trHeight w:val="243"/>
        </w:trPr>
        <w:tc>
          <w:tcPr>
            <w:tcW w:w="4760" w:type="dxa"/>
            <w:vAlign w:val="bottom"/>
            <w:gridSpan w:val="2"/>
          </w:tcPr>
          <w:p>
            <w:pPr>
              <w:ind w:left="34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2,557</w:t>
            </w: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9,080</w:t>
            </w:r>
          </w:p>
        </w:tc>
      </w:tr>
      <w:tr>
        <w:trPr>
          <w:trHeight w:val="243"/>
        </w:trPr>
        <w:tc>
          <w:tcPr>
            <w:tcW w:w="4760" w:type="dxa"/>
            <w:vAlign w:val="bottom"/>
            <w:gridSpan w:val="2"/>
          </w:tcPr>
          <w:p>
            <w:pPr>
              <w:ind w:left="12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Foreign exchange contracts (1)</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1,779</w:t>
            </w:r>
          </w:p>
        </w:tc>
      </w:tr>
      <w:tr>
        <w:trPr>
          <w:trHeight w:val="243"/>
        </w:trPr>
        <w:tc>
          <w:tcPr>
            <w:tcW w:w="4760" w:type="dxa"/>
            <w:vAlign w:val="bottom"/>
            <w:gridSpan w:val="2"/>
          </w:tcPr>
          <w:p>
            <w:pPr>
              <w:ind w:left="3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626</w:t>
            </w:r>
          </w:p>
        </w:tc>
      </w:tr>
    </w:tbl>
    <w:p>
      <w:pPr>
        <w:spacing w:after="0" w:line="121" w:lineRule="exact"/>
        <w:rPr>
          <w:sz w:val="20"/>
          <w:szCs w:val="20"/>
          <w:color w:val="auto"/>
        </w:rPr>
      </w:pPr>
    </w:p>
    <w:p>
      <w:pPr>
        <w:ind w:left="660" w:right="20" w:hanging="328"/>
        <w:spacing w:after="0" w:line="277"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foreign currency forward exchange contracts is the difference between the contract and current market foreign currency exchange rates at the end of the period. We estimate the fair value of foreign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Q2 2020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currency forward exchange contracts on a quarterly basis by obtaining market quotes of spot and forward rates for contracts with similar terms, adjusted where necessary for maturity differences.</w:t>
      </w:r>
    </w:p>
    <w:p>
      <w:pPr>
        <w:spacing w:after="0" w:line="103" w:lineRule="exact"/>
        <w:rPr>
          <w:sz w:val="20"/>
          <w:szCs w:val="20"/>
          <w:color w:val="auto"/>
        </w:rPr>
      </w:pPr>
    </w:p>
    <w:p>
      <w:pPr>
        <w:ind w:left="660" w:right="260" w:hanging="328"/>
        <w:spacing w:after="0" w:line="263"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2"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June 28, 2020 and December 31, 2019 because of the relatively short maturity of these instruments.</w:t>
      </w:r>
    </w:p>
    <w:p>
      <w:pPr>
        <w:spacing w:after="0" w:line="103" w:lineRule="exact"/>
        <w:rPr>
          <w:sz w:val="20"/>
          <w:szCs w:val="20"/>
          <w:color w:val="auto"/>
        </w:rPr>
      </w:pPr>
    </w:p>
    <w:p>
      <w:pPr>
        <w:ind w:right="340"/>
        <w:spacing w:after="0" w:line="29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5"/>
          </w:tcPr>
          <w:p>
            <w:pPr>
              <w:ind w:left="126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8"/>
                <w:szCs w:val="18"/>
                <w:color w:val="auto"/>
              </w:rPr>
            </w:pPr>
          </w:p>
        </w:tc>
        <w:tc>
          <w:tcPr>
            <w:tcW w:w="3540" w:type="dxa"/>
            <w:vAlign w:val="bottom"/>
            <w:gridSpan w:val="4"/>
          </w:tcPr>
          <w:p>
            <w:pPr>
              <w:jc w:val="right"/>
              <w:ind w:right="1292"/>
              <w:spacing w:after="0"/>
              <w:rPr>
                <w:sz w:val="20"/>
                <w:szCs w:val="20"/>
                <w:color w:val="auto"/>
              </w:rPr>
            </w:pPr>
            <w:r>
              <w:rPr>
                <w:rFonts w:ascii="Arial" w:cs="Arial" w:eastAsia="Arial" w:hAnsi="Arial"/>
                <w:sz w:val="16"/>
                <w:szCs w:val="16"/>
                <w:b w:val="1"/>
                <w:bCs w:val="1"/>
                <w:color w:val="auto"/>
              </w:rPr>
              <w:t>Carrying Value</w:t>
            </w:r>
          </w:p>
        </w:tc>
      </w:tr>
      <w:tr>
        <w:trPr>
          <w:trHeight w:val="33"/>
        </w:trPr>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18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806,276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712,863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788,448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703,390</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4,402,998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3,656,540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4,091,211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3,530,813</w:t>
            </w:r>
          </w:p>
        </w:tc>
      </w:tr>
      <w:tr>
        <w:trPr>
          <w:trHeight w:val="27"/>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5,209,274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4,369,403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4,879,659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4,234,203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Activity</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first six months ended June 28, 2020, we recorded the following impairment charges, which use significant unobservable inputs, or Level 3 inputs, as defined by the fair value hierarchy: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7"/>
        </w:trPr>
        <w:tc>
          <w:tcPr>
            <w:tcW w:w="9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to disposal group (1)</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6,200</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Other asset write-down (2)</w:t>
            </w:r>
          </w:p>
        </w:tc>
        <w:tc>
          <w:tcPr>
            <w:tcW w:w="5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2,943</w:t>
            </w:r>
          </w:p>
        </w:tc>
      </w:tr>
      <w:tr>
        <w:trPr>
          <w:trHeight w:val="27"/>
        </w:trPr>
        <w:tc>
          <w:tcPr>
            <w:tcW w:w="9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 charges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9,143</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330"/>
        <w:spacing w:after="0" w:line="263" w:lineRule="auto"/>
        <w:tabs>
          <w:tab w:leader="none" w:pos="4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connection with our disposal group classified as held for sale, as discussed in </w:t>
      </w:r>
      <w:hyperlink w:anchor="page21">
        <w:r>
          <w:rPr>
            <w:rFonts w:ascii="Arial" w:cs="Arial" w:eastAsia="Arial" w:hAnsi="Arial"/>
            <w:sz w:val="18"/>
            <w:szCs w:val="18"/>
            <w:u w:val="single" w:color="auto"/>
            <w:color w:val="0000FF"/>
          </w:rPr>
          <w:t>Note 8</w:t>
        </w:r>
      </w:hyperlink>
      <w:r>
        <w:rPr>
          <w:rFonts w:ascii="Arial" w:cs="Arial" w:eastAsia="Arial" w:hAnsi="Arial"/>
          <w:sz w:val="18"/>
          <w:szCs w:val="18"/>
          <w:color w:val="auto"/>
        </w:rPr>
        <w:t>, during 2020, we recorded impairment charges to adjust long-lived asset values. The fair value of the disposal group was supported by potential sales prices with third-party buyers. We expect the sale of the disposal group to be completed during 2020.</w:t>
      </w:r>
    </w:p>
    <w:p>
      <w:pPr>
        <w:spacing w:after="0" w:line="21"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Activity</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second quarter of 2019, we recorded impairment charges totaling $4,741. These charges were predominantly comprised of select long-lived assets that had not yet met the held for sale criteria.</w:t>
      </w:r>
    </w:p>
    <w:p>
      <w:pPr>
        <w:spacing w:after="0" w:line="89" w:lineRule="exact"/>
        <w:rPr>
          <w:sz w:val="20"/>
          <w:szCs w:val="20"/>
          <w:color w:val="auto"/>
        </w:rPr>
      </w:pPr>
    </w:p>
    <w:p>
      <w:pPr>
        <w:jc w:val="both"/>
        <w:ind w:right="22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In connection with the acquisition of ONE Brands in the third quarter of 2019, as discussed in </w:t>
      </w:r>
      <w:hyperlink w:anchor="page11">
        <w:r>
          <w:rPr>
            <w:rFonts w:ascii="Arial" w:cs="Arial" w:eastAsia="Arial" w:hAnsi="Arial"/>
            <w:sz w:val="16"/>
            <w:szCs w:val="16"/>
            <w:u w:val="single" w:color="auto"/>
            <w:color w:val="0000FF"/>
          </w:rPr>
          <w:t>Note 2</w:t>
        </w:r>
      </w:hyperlink>
      <w:r>
        <w:rPr>
          <w:rFonts w:ascii="Arial" w:cs="Arial" w:eastAsia="Arial" w:hAnsi="Arial"/>
          <w:sz w:val="16"/>
          <w:szCs w:val="16"/>
          <w:color w:val="auto"/>
        </w:rPr>
        <w:t>, we used various valuation techniques to determine fair value, with the primary techniques being discounted cash flow analysis, relief-from-royalty, a form of the multi-period excess earnings and the with-and-without valuation approaches, which use significant unobservable inputs, or Level 3 inputs, as defined by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10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1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13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a result of the impact of COVID-19 on our ability to operate certain parts of our business, during the second quarter of 2020, we received immaterial rent concessions primarily on select office space. We will continue to evaluate the nature and extent of potential COVID-19 impacts on our long-lived asset groups, including any required reassessment of lease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June 28, 2020 and June 30, 2019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3340" w:type="dxa"/>
            <w:vAlign w:val="bottom"/>
            <w:gridSpan w:val="2"/>
          </w:tcPr>
          <w:p>
            <w:pPr>
              <w:spacing w:after="0"/>
              <w:rPr>
                <w:sz w:val="2"/>
                <w:szCs w:val="2"/>
                <w:color w:val="auto"/>
              </w:rPr>
            </w:pPr>
          </w:p>
        </w:tc>
        <w:tc>
          <w:tcPr>
            <w:tcW w:w="398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expense</w:t>
            </w:r>
          </w:p>
        </w:tc>
        <w:tc>
          <w:tcPr>
            <w:tcW w:w="398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3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300" w:type="dxa"/>
            <w:vAlign w:val="bottom"/>
          </w:tcPr>
          <w:p>
            <w:pPr>
              <w:spacing w:after="0"/>
              <w:rPr>
                <w:sz w:val="18"/>
                <w:szCs w:val="18"/>
                <w:color w:val="auto"/>
              </w:rPr>
            </w:pPr>
          </w:p>
        </w:tc>
        <w:tc>
          <w:tcPr>
            <w:tcW w:w="1600" w:type="dxa"/>
            <w:vAlign w:val="bottom"/>
          </w:tcPr>
          <w:p>
            <w:pPr>
              <w:jc w:val="right"/>
              <w:ind w:right="392"/>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3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10,673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10,273</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ROU assets</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1,884</w:t>
            </w:r>
          </w:p>
        </w:tc>
      </w:tr>
      <w:tr>
        <w:trPr>
          <w:trHeight w:val="243"/>
        </w:trPr>
        <w:tc>
          <w:tcPr>
            <w:tcW w:w="3340" w:type="dxa"/>
            <w:vAlign w:val="bottom"/>
            <w:gridSpan w:val="2"/>
          </w:tcPr>
          <w:p>
            <w:pPr>
              <w:ind w:left="120"/>
              <w:spacing w:after="0"/>
              <w:rPr>
                <w:sz w:val="20"/>
                <w:szCs w:val="20"/>
                <w:color w:val="auto"/>
              </w:rPr>
            </w:pPr>
            <w:r>
              <w:rPr>
                <w:rFonts w:ascii="Arial" w:cs="Arial" w:eastAsia="Arial" w:hAnsi="Arial"/>
                <w:sz w:val="18"/>
                <w:szCs w:val="18"/>
                <w:color w:val="auto"/>
              </w:rPr>
              <w:t>Interest on lease liabilities</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600" w:type="dxa"/>
            <w:vAlign w:val="bottom"/>
          </w:tcPr>
          <w:p>
            <w:pPr>
              <w:jc w:val="right"/>
              <w:ind w:right="73"/>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1,112</w:t>
            </w: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13,734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13,269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six months ended June 28, 2020 and June 30, 2019 were as follows: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4"/>
          </w:tcPr>
          <w:p>
            <w:pPr>
              <w:jc w:val="right"/>
              <w:ind w:right="121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340" w:type="dxa"/>
            <w:vAlign w:val="bottom"/>
            <w:gridSpan w:val="2"/>
          </w:tcPr>
          <w:p>
            <w:pPr>
              <w:spacing w:after="0"/>
              <w:rPr>
                <w:sz w:val="2"/>
                <w:szCs w:val="2"/>
                <w:color w:val="auto"/>
              </w:rPr>
            </w:pPr>
          </w:p>
        </w:tc>
        <w:tc>
          <w:tcPr>
            <w:tcW w:w="39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expense</w:t>
            </w:r>
          </w:p>
        </w:tc>
        <w:tc>
          <w:tcPr>
            <w:tcW w:w="398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28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28, 2020</w:t>
            </w:r>
          </w:p>
        </w:tc>
        <w:tc>
          <w:tcPr>
            <w:tcW w:w="280" w:type="dxa"/>
            <w:vAlign w:val="bottom"/>
          </w:tcPr>
          <w:p>
            <w:pPr>
              <w:spacing w:after="0"/>
              <w:rPr>
                <w:sz w:val="18"/>
                <w:szCs w:val="18"/>
                <w:color w:val="auto"/>
              </w:rPr>
            </w:pPr>
          </w:p>
        </w:tc>
        <w:tc>
          <w:tcPr>
            <w:tcW w:w="16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3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20,487</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ROU assets</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3,818</w:t>
            </w:r>
          </w:p>
        </w:tc>
      </w:tr>
      <w:tr>
        <w:trPr>
          <w:trHeight w:val="243"/>
        </w:trPr>
        <w:tc>
          <w:tcPr>
            <w:tcW w:w="3340" w:type="dxa"/>
            <w:vAlign w:val="bottom"/>
            <w:gridSpan w:val="2"/>
          </w:tcPr>
          <w:p>
            <w:pPr>
              <w:ind w:left="120"/>
              <w:spacing w:after="0"/>
              <w:rPr>
                <w:sz w:val="20"/>
                <w:szCs w:val="20"/>
                <w:color w:val="auto"/>
              </w:rPr>
            </w:pPr>
            <w:r>
              <w:rPr>
                <w:rFonts w:ascii="Arial" w:cs="Arial" w:eastAsia="Arial" w:hAnsi="Arial"/>
                <w:sz w:val="18"/>
                <w:szCs w:val="18"/>
                <w:color w:val="auto"/>
              </w:rPr>
              <w:t>Interest on lease liabilities</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2,213</w:t>
            </w:r>
          </w:p>
        </w:tc>
      </w:tr>
      <w:tr>
        <w:trPr>
          <w:trHeight w:val="27"/>
        </w:trPr>
        <w:tc>
          <w:tcPr>
            <w:tcW w:w="3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27,430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26,518</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Q2 2020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lease terms and discount rates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740" w:type="dxa"/>
            <w:vAlign w:val="bottom"/>
          </w:tcPr>
          <w:p>
            <w:pPr>
              <w:jc w:val="right"/>
              <w:ind w:right="213"/>
              <w:spacing w:after="0"/>
              <w:rPr>
                <w:sz w:val="20"/>
                <w:szCs w:val="20"/>
                <w:color w:val="auto"/>
              </w:rPr>
            </w:pPr>
            <w:r>
              <w:rPr>
                <w:rFonts w:ascii="Arial" w:cs="Arial" w:eastAsia="Arial" w:hAnsi="Arial"/>
                <w:sz w:val="16"/>
                <w:szCs w:val="16"/>
                <w:b w:val="1"/>
                <w:bCs w:val="1"/>
                <w:color w:val="auto"/>
              </w:rPr>
              <w:t>June 28, 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33"/>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8"/>
                <w:szCs w:val="18"/>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Weighted-average remaining lease term (years)</w:t>
            </w:r>
          </w:p>
        </w:tc>
        <w:tc>
          <w:tcPr>
            <w:tcW w:w="37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3740" w:type="dxa"/>
            <w:vAlign w:val="bottom"/>
          </w:tcPr>
          <w:p>
            <w:pPr>
              <w:spacing w:after="0"/>
              <w:rPr>
                <w:sz w:val="21"/>
                <w:szCs w:val="21"/>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35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37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70"/>
        </w:trPr>
        <w:tc>
          <w:tcPr>
            <w:tcW w:w="350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7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37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5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37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567"/>
        </w:trPr>
        <w:tc>
          <w:tcPr>
            <w:tcW w:w="72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were as follows:</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Leases</w:t>
            </w:r>
          </w:p>
        </w:tc>
        <w:tc>
          <w:tcPr>
            <w:tcW w:w="3740" w:type="dxa"/>
            <w:vAlign w:val="bottom"/>
          </w:tcPr>
          <w:p>
            <w:pPr>
              <w:ind w:left="80"/>
              <w:spacing w:after="0"/>
              <w:rPr>
                <w:sz w:val="20"/>
                <w:szCs w:val="20"/>
                <w:color w:val="auto"/>
              </w:rPr>
            </w:pPr>
            <w:r>
              <w:rPr>
                <w:rFonts w:ascii="Arial" w:cs="Arial" w:eastAsia="Arial" w:hAnsi="Arial"/>
                <w:sz w:val="16"/>
                <w:szCs w:val="16"/>
                <w:b w:val="1"/>
                <w:bCs w:val="1"/>
                <w:color w:val="auto"/>
              </w:rPr>
              <w:t>Classification</w:t>
            </w:r>
          </w:p>
        </w:tc>
        <w:tc>
          <w:tcPr>
            <w:tcW w:w="1740" w:type="dxa"/>
            <w:vAlign w:val="bottom"/>
          </w:tcPr>
          <w:p>
            <w:pPr>
              <w:jc w:val="right"/>
              <w:ind w:right="153"/>
              <w:spacing w:after="0"/>
              <w:rPr>
                <w:sz w:val="20"/>
                <w:szCs w:val="20"/>
                <w:color w:val="auto"/>
              </w:rPr>
            </w:pPr>
            <w:r>
              <w:rPr>
                <w:rFonts w:ascii="Arial" w:cs="Arial" w:eastAsia="Arial" w:hAnsi="Arial"/>
                <w:sz w:val="16"/>
                <w:szCs w:val="16"/>
                <w:b w:val="1"/>
                <w:bCs w:val="1"/>
                <w:color w:val="auto"/>
              </w:rPr>
              <w:t>June 28, 2020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33"/>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ROU assets</w:t>
      </w:r>
    </w:p>
    <w:p>
      <w:pPr>
        <w:spacing w:after="0" w:line="33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Finance lease ROU assets, at cost</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amortization</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Finance lease ROU assets, net</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leased assets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222,854</w:t>
            </w:r>
          </w:p>
        </w:tc>
        <w:tc>
          <w:tcPr>
            <w:tcW w:w="10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220,678</w:t>
            </w:r>
          </w:p>
        </w:tc>
      </w:tr>
      <w:tr>
        <w:trPr>
          <w:trHeight w:val="540"/>
        </w:trPr>
        <w:tc>
          <w:tcPr>
            <w:tcW w:w="374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6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100,841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101,142</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(7,225)</w:t>
            </w:r>
          </w:p>
        </w:tc>
      </w:tr>
      <w:tr>
        <w:trPr>
          <w:trHeight w:val="27"/>
        </w:trPr>
        <w:tc>
          <w:tcPr>
            <w:tcW w:w="37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94,271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93,917</w:t>
            </w:r>
          </w:p>
        </w:tc>
      </w:tr>
      <w:tr>
        <w:trPr>
          <w:trHeight w:val="297"/>
        </w:trPr>
        <w:tc>
          <w:tcPr>
            <w:tcW w:w="37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7"/>
        </w:trPr>
        <w:tc>
          <w:tcPr>
            <w:tcW w:w="374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317,125</w:t>
            </w:r>
          </w:p>
        </w:tc>
        <w:tc>
          <w:tcPr>
            <w:tcW w:w="10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314,595</w:t>
            </w:r>
          </w:p>
        </w:tc>
      </w:tr>
      <w:tr>
        <w:trPr>
          <w:trHeight w:val="27"/>
        </w:trPr>
        <w:tc>
          <w:tcPr>
            <w:tcW w:w="37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-1079500</wp:posOffset>
            </wp:positionV>
            <wp:extent cx="71151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-736600</wp:posOffset>
            </wp:positionV>
            <wp:extent cx="71151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-385445</wp:posOffset>
            </wp:positionV>
            <wp:extent cx="71151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-16510</wp:posOffset>
            </wp:positionV>
            <wp:extent cx="71151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325755</wp:posOffset>
            </wp:positionV>
            <wp:extent cx="71151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Accrued liabilities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31,234</w:t>
            </w:r>
          </w:p>
        </w:tc>
        <w:tc>
          <w:tcPr>
            <w:tcW w:w="10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29,209</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2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4,079</w:t>
            </w:r>
          </w:p>
        </w:tc>
      </w:tr>
      <w:tr>
        <w:trPr>
          <w:trHeight w:val="540"/>
        </w:trPr>
        <w:tc>
          <w:tcPr>
            <w:tcW w:w="37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184,626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184,163</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75,872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75,564</w:t>
            </w:r>
          </w:p>
        </w:tc>
      </w:tr>
      <w:tr>
        <w:trPr>
          <w:trHeight w:val="27"/>
        </w:trPr>
        <w:tc>
          <w:tcPr>
            <w:tcW w:w="37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296,307</w:t>
            </w:r>
          </w:p>
        </w:tc>
        <w:tc>
          <w:tcPr>
            <w:tcW w:w="10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293,015</w:t>
            </w:r>
          </w:p>
        </w:tc>
      </w:tr>
      <w:tr>
        <w:trPr>
          <w:trHeight w:val="27"/>
        </w:trPr>
        <w:tc>
          <w:tcPr>
            <w:tcW w:w="37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-899160</wp:posOffset>
            </wp:positionV>
            <wp:extent cx="71151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-556260</wp:posOffset>
            </wp:positionV>
            <wp:extent cx="71151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-213995</wp:posOffset>
            </wp:positionV>
            <wp:extent cx="7115175"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660"/>
          </w:cols>
          <w:pgMar w:left="320" w:top="121"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June 28, 2020 were as follows: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gridSpan w:val="2"/>
          </w:tcPr>
          <w:p>
            <w:pPr>
              <w:ind w:left="240"/>
              <w:spacing w:after="0"/>
              <w:rPr>
                <w:sz w:val="20"/>
                <w:szCs w:val="20"/>
                <w:color w:val="auto"/>
              </w:rPr>
            </w:pPr>
            <w:r>
              <w:rPr>
                <w:rFonts w:ascii="Arial" w:cs="Arial" w:eastAsia="Arial" w:hAnsi="Arial"/>
                <w:sz w:val="16"/>
                <w:szCs w:val="16"/>
                <w:b w:val="1"/>
                <w:bCs w:val="1"/>
                <w:color w:val="auto"/>
              </w:rPr>
              <w:t>Operating leases</w:t>
            </w:r>
          </w:p>
        </w:tc>
        <w:tc>
          <w:tcPr>
            <w:tcW w:w="380" w:type="dxa"/>
            <w:vAlign w:val="bottom"/>
          </w:tcPr>
          <w:p>
            <w:pPr>
              <w:spacing w:after="0"/>
              <w:rPr>
                <w:sz w:val="18"/>
                <w:szCs w:val="18"/>
                <w:color w:val="auto"/>
              </w:rPr>
            </w:pPr>
          </w:p>
        </w:tc>
        <w:tc>
          <w:tcPr>
            <w:tcW w:w="2080" w:type="dxa"/>
            <w:vAlign w:val="bottom"/>
            <w:gridSpan w:val="2"/>
          </w:tcPr>
          <w:p>
            <w:pPr>
              <w:ind w:left="300"/>
              <w:spacing w:after="0"/>
              <w:rPr>
                <w:sz w:val="20"/>
                <w:szCs w:val="20"/>
                <w:color w:val="auto"/>
              </w:rPr>
            </w:pPr>
            <w:r>
              <w:rPr>
                <w:rFonts w:ascii="Arial" w:cs="Arial" w:eastAsia="Arial" w:hAnsi="Arial"/>
                <w:sz w:val="16"/>
                <w:szCs w:val="16"/>
                <w:b w:val="1"/>
                <w:bCs w:val="1"/>
                <w:color w:val="auto"/>
              </w:rPr>
              <w:t>Finance leases</w:t>
            </w:r>
          </w:p>
        </w:tc>
        <w:tc>
          <w:tcPr>
            <w:tcW w:w="540" w:type="dxa"/>
            <w:vAlign w:val="bottom"/>
          </w:tcPr>
          <w:p>
            <w:pPr>
              <w:spacing w:after="0"/>
              <w:rPr>
                <w:sz w:val="18"/>
                <w:szCs w:val="18"/>
                <w:color w:val="auto"/>
              </w:rPr>
            </w:pPr>
          </w:p>
        </w:tc>
        <w:tc>
          <w:tcPr>
            <w:tcW w:w="1800" w:type="dxa"/>
            <w:vAlign w:val="bottom"/>
          </w:tcPr>
          <w:p>
            <w:pPr>
              <w:jc w:val="right"/>
              <w:ind w:right="911"/>
              <w:spacing w:after="0"/>
              <w:rPr>
                <w:sz w:val="20"/>
                <w:szCs w:val="20"/>
                <w:color w:val="auto"/>
              </w:rPr>
            </w:pPr>
            <w:r>
              <w:rPr>
                <w:rFonts w:ascii="Arial" w:cs="Arial" w:eastAsia="Arial" w:hAnsi="Arial"/>
                <w:sz w:val="16"/>
                <w:szCs w:val="16"/>
                <w:b w:val="1"/>
                <w:bCs w:val="1"/>
                <w:color w:val="auto"/>
              </w:rPr>
              <w:t>Total</w:t>
            </w:r>
          </w:p>
        </w:tc>
      </w:tr>
      <w:tr>
        <w:trPr>
          <w:trHeight w:val="33"/>
        </w:trPr>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(rest of year)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4,260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24,062</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37,074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right"/>
              <w:ind w:right="71"/>
              <w:spacing w:after="0"/>
              <w:rPr>
                <w:sz w:val="20"/>
                <w:szCs w:val="20"/>
                <w:color w:val="auto"/>
              </w:rPr>
            </w:pPr>
            <w:r>
              <w:rPr>
                <w:rFonts w:ascii="Arial" w:cs="Arial" w:eastAsia="Arial" w:hAnsi="Arial"/>
                <w:sz w:val="18"/>
                <w:szCs w:val="18"/>
                <w:color w:val="auto"/>
              </w:rPr>
              <w:t>7,925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44,999</w:t>
            </w:r>
          </w:p>
        </w:tc>
      </w:tr>
      <w:tr>
        <w:trPr>
          <w:trHeight w:val="27"/>
        </w:trPr>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6,307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29,551</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15,446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right"/>
              <w:ind w:right="71"/>
              <w:spacing w:after="0"/>
              <w:rPr>
                <w:sz w:val="20"/>
                <w:szCs w:val="20"/>
                <w:color w:val="auto"/>
              </w:rPr>
            </w:pPr>
            <w:r>
              <w:rPr>
                <w:rFonts w:ascii="Arial" w:cs="Arial" w:eastAsia="Arial" w:hAnsi="Arial"/>
                <w:sz w:val="18"/>
                <w:szCs w:val="18"/>
                <w:color w:val="auto"/>
              </w:rPr>
              <w:t>4,620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20,066</w:t>
            </w:r>
          </w:p>
        </w:tc>
      </w:tr>
      <w:tr>
        <w:trPr>
          <w:trHeight w:val="27"/>
        </w:trPr>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4,579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18,697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172,979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right"/>
              <w:ind w:right="51"/>
              <w:spacing w:after="0"/>
              <w:rPr>
                <w:sz w:val="20"/>
                <w:szCs w:val="20"/>
                <w:color w:val="auto"/>
              </w:rPr>
            </w:pPr>
            <w:r>
              <w:rPr>
                <w:rFonts w:ascii="Arial" w:cs="Arial" w:eastAsia="Arial" w:hAnsi="Arial"/>
                <w:sz w:val="18"/>
                <w:szCs w:val="18"/>
                <w:color w:val="auto"/>
              </w:rPr>
              <w:t>165,115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338,094</w:t>
            </w:r>
          </w:p>
        </w:tc>
      </w:tr>
      <w:tr>
        <w:trPr>
          <w:trHeight w:val="27"/>
        </w:trPr>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282,663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192,806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475,469</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21"/>
                <w:szCs w:val="21"/>
                <w:color w:val="auto"/>
              </w:rPr>
            </w:pP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66,803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right"/>
              <w:ind w:right="51"/>
              <w:spacing w:after="0"/>
              <w:rPr>
                <w:sz w:val="20"/>
                <w:szCs w:val="20"/>
                <w:color w:val="auto"/>
              </w:rPr>
            </w:pPr>
            <w:r>
              <w:rPr>
                <w:rFonts w:ascii="Arial" w:cs="Arial" w:eastAsia="Arial" w:hAnsi="Arial"/>
                <w:sz w:val="18"/>
                <w:szCs w:val="18"/>
                <w:color w:val="auto"/>
              </w:rPr>
              <w:t>112,359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179,162</w:t>
            </w:r>
          </w:p>
        </w:tc>
      </w:tr>
      <w:tr>
        <w:trPr>
          <w:trHeight w:val="27"/>
        </w:trPr>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8"/>
        </w:trPr>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215,860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80,447</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296,307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Q2 2020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June 28, 2020, the Company had entered additional leases as a lessee, primarily for real estate. These leases have not yet commenced and will result in ROU assets and corresponding lease liabilities of approximately $13,000. These leases are expected to commence during the second half of 2020, with lease terms between a year and half and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4000" w:type="dxa"/>
            <w:vAlign w:val="bottom"/>
            <w:gridSpan w:val="3"/>
          </w:tcPr>
          <w:p>
            <w:pPr>
              <w:jc w:val="right"/>
              <w:ind w:right="12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24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724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28, 2020</w:t>
            </w:r>
          </w:p>
        </w:tc>
        <w:tc>
          <w:tcPr>
            <w:tcW w:w="1960" w:type="dxa"/>
            <w:vAlign w:val="bottom"/>
          </w:tcPr>
          <w:p>
            <w:pPr>
              <w:jc w:val="right"/>
              <w:ind w:right="412"/>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72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724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940" w:type="dxa"/>
            <w:vAlign w:val="bottom"/>
          </w:tcPr>
          <w:p>
            <w:pPr>
              <w:jc w:val="right"/>
              <w:ind w:right="73"/>
              <w:spacing w:after="0"/>
              <w:rPr>
                <w:sz w:val="20"/>
                <w:szCs w:val="20"/>
                <w:color w:val="auto"/>
              </w:rPr>
            </w:pPr>
            <w:r>
              <w:rPr>
                <w:rFonts w:ascii="Arial" w:cs="Arial" w:eastAsia="Arial" w:hAnsi="Arial"/>
                <w:sz w:val="18"/>
                <w:szCs w:val="18"/>
                <w:color w:val="auto"/>
              </w:rPr>
              <w:t>21,335</w:t>
            </w:r>
          </w:p>
        </w:tc>
        <w:tc>
          <w:tcPr>
            <w:tcW w:w="100" w:type="dxa"/>
            <w:vAlign w:val="bottom"/>
          </w:tcPr>
          <w:p>
            <w:pPr>
              <w:spacing w:after="0"/>
              <w:rPr>
                <w:sz w:val="21"/>
                <w:szCs w:val="21"/>
                <w:color w:val="auto"/>
              </w:rPr>
            </w:pPr>
          </w:p>
        </w:tc>
        <w:tc>
          <w:tcPr>
            <w:tcW w:w="1960" w:type="dxa"/>
            <w:vAlign w:val="bottom"/>
          </w:tcPr>
          <w:p>
            <w:pPr>
              <w:jc w:val="right"/>
              <w:ind w:right="72"/>
              <w:spacing w:after="0"/>
              <w:rPr>
                <w:sz w:val="20"/>
                <w:szCs w:val="20"/>
                <w:color w:val="auto"/>
              </w:rPr>
            </w:pPr>
            <w:r>
              <w:rPr>
                <w:rFonts w:ascii="Arial" w:cs="Arial" w:eastAsia="Arial" w:hAnsi="Arial"/>
                <w:sz w:val="18"/>
                <w:szCs w:val="18"/>
                <w:color w:val="auto"/>
              </w:rPr>
              <w:t>19,142</w:t>
            </w:r>
          </w:p>
        </w:tc>
      </w:tr>
      <w:tr>
        <w:trPr>
          <w:trHeight w:val="27"/>
        </w:trPr>
        <w:tc>
          <w:tcPr>
            <w:tcW w:w="7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2,213</w:t>
            </w:r>
          </w:p>
        </w:tc>
      </w:tr>
      <w:tr>
        <w:trPr>
          <w:trHeight w:val="243"/>
        </w:trPr>
        <w:tc>
          <w:tcPr>
            <w:tcW w:w="724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940" w:type="dxa"/>
            <w:vAlign w:val="bottom"/>
          </w:tcPr>
          <w:p>
            <w:pPr>
              <w:jc w:val="right"/>
              <w:ind w:right="73"/>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1960" w:type="dxa"/>
            <w:vAlign w:val="bottom"/>
          </w:tcPr>
          <w:p>
            <w:pPr>
              <w:jc w:val="right"/>
              <w:ind w:right="72"/>
              <w:spacing w:after="0"/>
              <w:rPr>
                <w:sz w:val="20"/>
                <w:szCs w:val="20"/>
                <w:color w:val="auto"/>
              </w:rPr>
            </w:pPr>
            <w:r>
              <w:rPr>
                <w:rFonts w:ascii="Arial" w:cs="Arial" w:eastAsia="Arial" w:hAnsi="Arial"/>
                <w:sz w:val="18"/>
                <w:szCs w:val="18"/>
                <w:color w:val="auto"/>
              </w:rPr>
              <w:t>1,920</w:t>
            </w:r>
          </w:p>
        </w:tc>
      </w:tr>
      <w:tr>
        <w:trPr>
          <w:trHeight w:val="27"/>
        </w:trPr>
        <w:tc>
          <w:tcPr>
            <w:tcW w:w="7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72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20,814</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21,838</w:t>
            </w:r>
          </w:p>
        </w:tc>
      </w:tr>
      <w:tr>
        <w:trPr>
          <w:trHeight w:val="243"/>
        </w:trPr>
        <w:tc>
          <w:tcPr>
            <w:tcW w:w="724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940" w:type="dxa"/>
            <w:vAlign w:val="bottom"/>
          </w:tcPr>
          <w:p>
            <w:pPr>
              <w:jc w:val="right"/>
              <w:ind w:right="73"/>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1960" w:type="dxa"/>
            <w:vAlign w:val="bottom"/>
          </w:tcPr>
          <w:p>
            <w:pPr>
              <w:jc w:val="right"/>
              <w:ind w:right="72"/>
              <w:spacing w:after="0"/>
              <w:rPr>
                <w:sz w:val="20"/>
                <w:szCs w:val="20"/>
                <w:color w:val="auto"/>
              </w:rPr>
            </w:pPr>
            <w:r>
              <w:rPr>
                <w:rFonts w:ascii="Arial" w:cs="Arial" w:eastAsia="Arial" w:hAnsi="Arial"/>
                <w:sz w:val="18"/>
                <w:szCs w:val="18"/>
                <w:color w:val="auto"/>
              </w:rPr>
              <w:t>3,498</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ASSETS AND LIABILITIES HELD FOR SALE</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June 28, 2020, the following disposal group has been classified as held for sale and stated at the lower of net book value or estimated sales value less costs to sell:</w:t>
      </w:r>
    </w:p>
    <w:p>
      <w:pPr>
        <w:spacing w:after="0" w:line="116" w:lineRule="exact"/>
        <w:rPr>
          <w:sz w:val="20"/>
          <w:szCs w:val="20"/>
          <w:color w:val="auto"/>
        </w:rPr>
      </w:pPr>
    </w:p>
    <w:p>
      <w:pPr>
        <w:ind w:left="660" w:right="2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Lotte Shanghai Foods Co., Ltd. ("LSFC") joint venture, which was taken out of operation and classified as held for sale during the second quarter of 2018. We sold a portion of the joint venture's equipment in the third and fourth quarters of 2018, and expect the sale of the remaining business to be completed during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amounts classified as assets and liabilities held for sale at June 28, 2020 are not 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periodically undertake business realignment activities designed to increase our efficiency and focus our business in support of our key growth strategies. Severance and other program costs associated with business realignment activities are classified in our Consolidated Statements of Income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72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28, 2020</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28, 2020</w:t>
            </w:r>
          </w:p>
        </w:tc>
        <w:tc>
          <w:tcPr>
            <w:tcW w:w="1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June 30, 2019</w:t>
            </w:r>
          </w:p>
        </w:tc>
      </w:tr>
      <w:tr>
        <w:trPr>
          <w:trHeight w:val="33"/>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marketing and administrative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center"/>
              <w:ind w:left="434"/>
              <w:spacing w:after="0"/>
              <w:rPr>
                <w:sz w:val="20"/>
                <w:szCs w:val="20"/>
                <w:color w:val="auto"/>
              </w:rPr>
            </w:pPr>
            <w:r>
              <w:rPr>
                <w:rFonts w:ascii="Arial" w:cs="Arial" w:eastAsia="Arial" w:hAnsi="Arial"/>
                <w:sz w:val="18"/>
                <w:szCs w:val="18"/>
                <w:color w:val="auto"/>
                <w:w w:val="88"/>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660</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Business realignment (benefits) costs</w:t>
            </w:r>
          </w:p>
        </w:tc>
        <w:tc>
          <w:tcPr>
            <w:tcW w:w="160" w:type="dxa"/>
            <w:vAlign w:val="bottom"/>
          </w:tcPr>
          <w:p>
            <w:pPr>
              <w:spacing w:after="0"/>
              <w:rPr>
                <w:sz w:val="21"/>
                <w:szCs w:val="21"/>
                <w:color w:val="auto"/>
              </w:rPr>
            </w:pPr>
          </w:p>
        </w:tc>
        <w:tc>
          <w:tcPr>
            <w:tcW w:w="1240" w:type="dxa"/>
            <w:vAlign w:val="bottom"/>
          </w:tcPr>
          <w:p>
            <w:pPr>
              <w:jc w:val="center"/>
              <w:ind w:left="394"/>
              <w:spacing w:after="0"/>
              <w:rPr>
                <w:sz w:val="20"/>
                <w:szCs w:val="20"/>
                <w:color w:val="auto"/>
              </w:rPr>
            </w:pPr>
            <w:r>
              <w:rPr>
                <w:rFonts w:ascii="Arial" w:cs="Arial" w:eastAsia="Arial" w:hAnsi="Arial"/>
                <w:sz w:val="18"/>
                <w:szCs w:val="18"/>
                <w:color w:val="auto"/>
                <w:w w:val="91"/>
              </w:rPr>
              <w:t>(1,370)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6,140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6,202</w:t>
            </w: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434"/>
              <w:spacing w:after="0"/>
              <w:rPr>
                <w:sz w:val="20"/>
                <w:szCs w:val="20"/>
                <w:color w:val="auto"/>
              </w:rPr>
            </w:pPr>
            <w:r>
              <w:rPr>
                <w:rFonts w:ascii="Arial" w:cs="Arial" w:eastAsia="Arial" w:hAnsi="Arial"/>
                <w:sz w:val="18"/>
                <w:szCs w:val="18"/>
                <w:color w:val="auto"/>
                <w:w w:val="88"/>
              </w:rPr>
              <w:t>1,275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6,378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2,170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6,862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Costs recorded by program during the three and six months ended June 28, 2020 and June 30, 2019 related to these activities were as follows: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72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28, 2020</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28, 2020</w:t>
            </w:r>
          </w:p>
        </w:tc>
        <w:tc>
          <w:tcPr>
            <w:tcW w:w="1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June 30, 2019</w:t>
            </w:r>
          </w:p>
        </w:tc>
      </w:tr>
      <w:tr>
        <w:trPr>
          <w:trHeight w:val="33"/>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Margin for Growth Program:</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320" w:type="dxa"/>
            <w:vAlign w:val="bottom"/>
          </w:tcPr>
          <w:p>
            <w:pPr>
              <w:ind w:left="200"/>
              <w:spacing w:after="0"/>
              <w:rPr>
                <w:sz w:val="20"/>
                <w:szCs w:val="20"/>
                <w:color w:val="auto"/>
              </w:rPr>
            </w:pPr>
            <w:r>
              <w:rPr>
                <w:rFonts w:ascii="Arial" w:cs="Arial" w:eastAsia="Arial" w:hAnsi="Arial"/>
                <w:sz w:val="18"/>
                <w:szCs w:val="18"/>
                <w:color w:val="auto"/>
              </w:rPr>
              <w:t>Severance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center"/>
              <w:ind w:left="394"/>
              <w:spacing w:after="0"/>
              <w:rPr>
                <w:sz w:val="20"/>
                <w:szCs w:val="20"/>
                <w:color w:val="auto"/>
              </w:rPr>
            </w:pPr>
            <w:r>
              <w:rPr>
                <w:rFonts w:ascii="Arial" w:cs="Arial" w:eastAsia="Arial" w:hAnsi="Arial"/>
                <w:sz w:val="18"/>
                <w:szCs w:val="18"/>
                <w:color w:val="auto"/>
                <w:w w:val="91"/>
              </w:rPr>
              <w:t>(1,410)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5,823</w:t>
            </w: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program costs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ind w:left="434"/>
              <w:spacing w:after="0"/>
              <w:rPr>
                <w:sz w:val="20"/>
                <w:szCs w:val="20"/>
                <w:color w:val="auto"/>
              </w:rPr>
            </w:pPr>
            <w:r>
              <w:rPr>
                <w:rFonts w:ascii="Arial" w:cs="Arial" w:eastAsia="Arial" w:hAnsi="Arial"/>
                <w:sz w:val="18"/>
                <w:szCs w:val="18"/>
                <w:color w:val="auto"/>
                <w:w w:val="88"/>
              </w:rPr>
              <w:t>2,685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1,039</w:t>
            </w: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center"/>
              <w:ind w:left="434"/>
              <w:spacing w:after="0"/>
              <w:rPr>
                <w:sz w:val="20"/>
                <w:szCs w:val="20"/>
                <w:color w:val="auto"/>
              </w:rPr>
            </w:pPr>
            <w:r>
              <w:rPr>
                <w:rFonts w:ascii="Arial" w:cs="Arial" w:eastAsia="Arial" w:hAnsi="Arial"/>
                <w:sz w:val="18"/>
                <w:szCs w:val="18"/>
                <w:color w:val="auto"/>
                <w:w w:val="88"/>
              </w:rPr>
              <w:t>1,275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6,378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6,862</w:t>
            </w:r>
          </w:p>
        </w:tc>
      </w:tr>
      <w:tr>
        <w:trPr>
          <w:trHeight w:val="21"/>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Q2 2020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six months ended June 28,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6"/>
                <w:szCs w:val="16"/>
                <w:b w:val="1"/>
                <w:bCs w:val="1"/>
                <w:color w:val="auto"/>
              </w:rPr>
              <w:t>Total</w:t>
            </w:r>
          </w:p>
        </w:tc>
      </w:tr>
      <w:tr>
        <w:trPr>
          <w:trHeight w:val="33"/>
        </w:trPr>
        <w:tc>
          <w:tcPr>
            <w:tcW w:w="9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at December 31, 2019</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ind w:left="652"/>
              <w:spacing w:after="0"/>
              <w:rPr>
                <w:sz w:val="20"/>
                <w:szCs w:val="20"/>
                <w:color w:val="auto"/>
              </w:rPr>
            </w:pPr>
            <w:r>
              <w:rPr>
                <w:rFonts w:ascii="Arial" w:cs="Arial" w:eastAsia="Arial" w:hAnsi="Arial"/>
                <w:sz w:val="18"/>
                <w:szCs w:val="18"/>
                <w:color w:val="auto"/>
                <w:w w:val="88"/>
              </w:rPr>
              <w:t>9,118</w:t>
            </w:r>
          </w:p>
        </w:tc>
      </w:tr>
      <w:tr>
        <w:trPr>
          <w:trHeight w:val="270"/>
        </w:trPr>
        <w:tc>
          <w:tcPr>
            <w:tcW w:w="9340" w:type="dxa"/>
            <w:vAlign w:val="bottom"/>
          </w:tcPr>
          <w:p>
            <w:pPr>
              <w:ind w:left="20"/>
              <w:spacing w:after="0"/>
              <w:rPr>
                <w:sz w:val="20"/>
                <w:szCs w:val="20"/>
                <w:color w:val="auto"/>
              </w:rPr>
            </w:pPr>
            <w:r>
              <w:rPr>
                <w:rFonts w:ascii="Arial" w:cs="Arial" w:eastAsia="Arial" w:hAnsi="Arial"/>
                <w:sz w:val="18"/>
                <w:szCs w:val="18"/>
                <w:color w:val="auto"/>
              </w:rPr>
              <w:t>2020 business realignment charges (1)</w:t>
            </w:r>
          </w:p>
        </w:tc>
        <w:tc>
          <w:tcPr>
            <w:tcW w:w="440" w:type="dxa"/>
            <w:vAlign w:val="bottom"/>
          </w:tcPr>
          <w:p>
            <w:pPr>
              <w:spacing w:after="0"/>
              <w:rPr>
                <w:sz w:val="23"/>
                <w:szCs w:val="23"/>
                <w:color w:val="auto"/>
              </w:rPr>
            </w:pPr>
          </w:p>
        </w:tc>
        <w:tc>
          <w:tcPr>
            <w:tcW w:w="1460" w:type="dxa"/>
            <w:vAlign w:val="bottom"/>
          </w:tcPr>
          <w:p>
            <w:pPr>
              <w:jc w:val="center"/>
              <w:ind w:left="652"/>
              <w:spacing w:after="0"/>
              <w:rPr>
                <w:sz w:val="20"/>
                <w:szCs w:val="20"/>
                <w:color w:val="auto"/>
              </w:rPr>
            </w:pPr>
            <w:r>
              <w:rPr>
                <w:rFonts w:ascii="Arial" w:cs="Arial" w:eastAsia="Arial" w:hAnsi="Arial"/>
                <w:sz w:val="18"/>
                <w:szCs w:val="18"/>
                <w:color w:val="auto"/>
                <w:w w:val="88"/>
              </w:rPr>
              <w:t>2,170</w:t>
            </w:r>
          </w:p>
        </w:tc>
      </w:tr>
      <w:tr>
        <w:trPr>
          <w:trHeight w:val="27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center"/>
              <w:ind w:left="632"/>
              <w:spacing w:after="0"/>
              <w:rPr>
                <w:sz w:val="20"/>
                <w:szCs w:val="20"/>
                <w:color w:val="auto"/>
              </w:rPr>
            </w:pPr>
            <w:r>
              <w:rPr>
                <w:rFonts w:ascii="Arial" w:cs="Arial" w:eastAsia="Arial" w:hAnsi="Arial"/>
                <w:sz w:val="18"/>
                <w:szCs w:val="18"/>
                <w:color w:val="auto"/>
                <w:w w:val="94"/>
              </w:rPr>
              <w:t>(8,192)</w:t>
            </w:r>
          </w:p>
        </w:tc>
      </w:tr>
      <w:tr>
        <w:trPr>
          <w:trHeight w:val="263"/>
        </w:trPr>
        <w:tc>
          <w:tcPr>
            <w:tcW w:w="9340" w:type="dxa"/>
            <w:vAlign w:val="bottom"/>
          </w:tcPr>
          <w:p>
            <w:pPr>
              <w:ind w:left="20"/>
              <w:spacing w:after="0"/>
              <w:rPr>
                <w:sz w:val="20"/>
                <w:szCs w:val="20"/>
                <w:color w:val="auto"/>
              </w:rPr>
            </w:pPr>
            <w:r>
              <w:rPr>
                <w:rFonts w:ascii="Arial" w:cs="Arial" w:eastAsia="Arial" w:hAnsi="Arial"/>
                <w:sz w:val="18"/>
                <w:szCs w:val="18"/>
                <w:color w:val="auto"/>
              </w:rPr>
              <w:t>Liability balance at June 28, 2020 (reported within accrued liabilities)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652"/>
              <w:spacing w:after="0"/>
              <w:rPr>
                <w:sz w:val="20"/>
                <w:szCs w:val="20"/>
                <w:color w:val="auto"/>
              </w:rPr>
            </w:pPr>
            <w:r>
              <w:rPr>
                <w:rFonts w:ascii="Arial" w:cs="Arial" w:eastAsia="Arial" w:hAnsi="Arial"/>
                <w:sz w:val="18"/>
                <w:szCs w:val="18"/>
                <w:color w:val="auto"/>
                <w:w w:val="88"/>
              </w:rPr>
              <w:t>3,096</w:t>
            </w:r>
          </w:p>
        </w:tc>
      </w:tr>
      <w:tr>
        <w:trPr>
          <w:trHeight w:val="21"/>
        </w:trPr>
        <w:tc>
          <w:tcPr>
            <w:tcW w:w="9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The costs reflected in the liability roll-forward represent employee-related and certain third-party service provider charges.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costs and related benefits of the Margin for Growth Program relate approximately 63% to the North America segment and 37% to the International and Other segment. However, segment operating results do not include these business realignment expenses because we evaluate segment performance excluding such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first quarter 2017, the Company's Board of Directors ("Board") unanimously approved several initiatives under a single program designed to drive continued net sales, operating income and earnings per-share diluted growth over the next several years. This program focused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Total pre-tax charges to execute this Margin for Growth Program were $347,704. This includes long-lived asset impairment charges of $208,712 related to the operations supporting our China business in 2017, as well as a $16,300 incremental impairment charge resulting from the sale of our Shanghai Golden Monkey business. In addition to the impairment charges, we incurred employee separation costs of $52,457 and other business realignment costs of $70,235. The program was completed during the second quarter of 2020 and the cash portion of the total program charges was $105,130. The Company reduced its global workforce by approximately 15% as a result of this program, with a majority of the reductions coming from hourly headcount positions outside of the United States.</w:t>
      </w:r>
    </w:p>
    <w:p>
      <w:pPr>
        <w:spacing w:after="0" w:line="1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three and six months ended June 28, 2020, we recognized total costs associated with the Margin for Growth Program of $1,275 and $2,170, respectively. For the three and six months ended June 30, 2019, we recognized total costs associated with the Margin for Growth Program of $6,378 and $6,862, respectively. These charges included employee severance, largely relating to initiatives to improve the cost structure of our corporate operating model as part of optimizing our global supply chain. In addition, we incurred other program costs, which related primarily to third-party charges in support of our initiative to improve global efficiency and effectiveness.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majority of our taxable income is generated in the United States and taxed at the U.S. statutory rate of 21%. The effective tax rates for the six months ended June 28, 2020 and June 30, 2019 were 19.8% and 18.7%, respectively. Relative to the statutory rate, the 2020 effective tax rate was impacted by investment tax credits and the benefit of employee share-based payments, partially offset by state taxes.</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Hershey and its subsidiaries file tax returns in the United States, including various state and local returns, and in other foreign jurisdictions. We are routinely audited by taxing authorities in our filing jurisdictions, and a number of these audits are currently underway, including multi-year audits at various stages of review in Malaysia, Mexico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$3,353 within the next 12 months because of the expiration of statutes of limitations and settlements of tax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Coronavirus Aid, Relief, and Economic Security Act</w:t>
      </w:r>
    </w:p>
    <w:p>
      <w:pPr>
        <w:spacing w:after="0" w:line="17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three and six months ended June 28,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June 28, 2020 and June 30, 2019 were as follows:</w:t>
      </w:r>
    </w:p>
    <w:p>
      <w:pPr>
        <w:spacing w:after="0" w:line="64" w:lineRule="exact"/>
        <w:rPr>
          <w:sz w:val="20"/>
          <w:szCs w:val="20"/>
          <w:color w:val="auto"/>
        </w:rPr>
      </w:pPr>
    </w:p>
    <w:p>
      <w:pPr>
        <w:ind w:left="5260"/>
        <w:spacing w:after="0"/>
        <w:tabs>
          <w:tab w:leader="none" w:pos="884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37465</wp:posOffset>
            </wp:positionV>
            <wp:extent cx="44316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p>
      <w:pPr>
        <w:spacing w:after="0" w:line="86" w:lineRule="exact"/>
        <w:rPr>
          <w:sz w:val="20"/>
          <w:szCs w:val="20"/>
          <w:color w:val="auto"/>
        </w:rPr>
      </w:pPr>
    </w:p>
    <w:p>
      <w:pPr>
        <w:jc w:val="center"/>
        <w:ind w:left="43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37465</wp:posOffset>
            </wp:positionV>
            <wp:extent cx="21856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66" w:lineRule="exact"/>
        <w:rPr>
          <w:sz w:val="20"/>
          <w:szCs w:val="20"/>
          <w:color w:val="auto"/>
        </w:rPr>
      </w:pPr>
    </w:p>
    <w:p>
      <w:pPr>
        <w:ind w:left="4460"/>
        <w:spacing w:after="0"/>
        <w:tabs>
          <w:tab w:leader="none" w:pos="6220" w:val="left"/>
        </w:tabs>
        <w:rPr>
          <w:sz w:val="20"/>
          <w:szCs w:val="20"/>
          <w:color w:val="auto"/>
        </w:rPr>
      </w:pPr>
      <w:r>
        <w:rPr>
          <w:rFonts w:ascii="Arial" w:cs="Arial" w:eastAsia="Arial" w:hAnsi="Arial"/>
          <w:sz w:val="16"/>
          <w:szCs w:val="16"/>
          <w:b w:val="1"/>
          <w:bCs w:val="1"/>
          <w:color w:val="auto"/>
        </w:rPr>
        <w:t>June 28, 2020</w:t>
      </w:r>
      <w:r>
        <w:rPr>
          <w:sz w:val="20"/>
          <w:szCs w:val="20"/>
          <w:color w:val="auto"/>
        </w:rPr>
        <w:tab/>
      </w: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37465</wp:posOffset>
            </wp:positionV>
            <wp:extent cx="2168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66"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auto"/>
        </w:rPr>
        <w:t>June 28, 2020</w:t>
      </w:r>
      <w:r>
        <w:rPr>
          <w:sz w:val="20"/>
          <w:szCs w:val="20"/>
          <w:color w:val="auto"/>
        </w:rPr>
        <w:tab/>
      </w:r>
      <w:r>
        <w:rPr>
          <w:rFonts w:ascii="Arial" w:cs="Arial" w:eastAsia="Arial" w:hAnsi="Arial"/>
          <w:sz w:val="14"/>
          <w:szCs w:val="14"/>
          <w:b w:val="1"/>
          <w:bCs w:val="1"/>
          <w:color w:val="auto"/>
        </w:rPr>
        <w:t>June 30, 2019</w:t>
      </w:r>
    </w:p>
    <w:p>
      <w:pPr>
        <w:spacing w:after="0" w:line="39" w:lineRule="exact"/>
        <w:rPr>
          <w:sz w:val="20"/>
          <w:szCs w:val="20"/>
          <w:color w:val="auto"/>
        </w:rPr>
      </w:pPr>
    </w:p>
    <w:p>
      <w:pPr>
        <w:sectPr>
          <w:pgSz w:w="11900" w:h="16838" w:orient="portrait"/>
          <w:cols w:equalWidth="0" w:num="2">
            <w:col w:w="7300" w:space="720"/>
            <w:col w:w="3100"/>
          </w:cols>
          <w:pgMar w:left="320" w:top="121" w:right="4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5,210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6,966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9,150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1,959</w:t>
            </w:r>
          </w:p>
        </w:tc>
      </w:tr>
      <w:tr>
        <w:trPr>
          <w:trHeight w:val="27"/>
        </w:trPr>
        <w:tc>
          <w:tcPr>
            <w:tcW w:w="4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(13,493)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50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203</w:t>
            </w: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net loss (gain)</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8,421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7,646</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7,480</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1,611</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2,103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made contributions of $248 and $3,976 to the pension plans and other benefits plans, respectively, during the second quarter of 2020. In the second quarter of 2019, we made contributions of $272 and $3,986 to our pension plans and other benefit plans, respectively. The contributions in 2020 and 2019 also included benefit payments from our non-qualified pension plans and post-retirement benefit plans.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six months ended June 28, 2020 and June 30, 2019 were as follows:</w:t>
      </w:r>
    </w:p>
    <w:p>
      <w:pPr>
        <w:spacing w:after="0" w:line="64" w:lineRule="exact"/>
        <w:rPr>
          <w:sz w:val="20"/>
          <w:szCs w:val="20"/>
          <w:color w:val="auto"/>
        </w:rPr>
      </w:pPr>
    </w:p>
    <w:p>
      <w:pPr>
        <w:ind w:left="5260"/>
        <w:spacing w:after="0"/>
        <w:tabs>
          <w:tab w:leader="none" w:pos="884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37465</wp:posOffset>
            </wp:positionV>
            <wp:extent cx="4423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p>
      <w:pPr>
        <w:spacing w:after="0" w:line="86" w:lineRule="exact"/>
        <w:rPr>
          <w:sz w:val="20"/>
          <w:szCs w:val="20"/>
          <w:color w:val="auto"/>
        </w:rPr>
      </w:pPr>
    </w:p>
    <w:p>
      <w:pPr>
        <w:jc w:val="center"/>
        <w:ind w:left="43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37465</wp:posOffset>
            </wp:positionV>
            <wp:extent cx="21774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66" w:lineRule="exact"/>
        <w:rPr>
          <w:sz w:val="20"/>
          <w:szCs w:val="20"/>
          <w:color w:val="auto"/>
        </w:rPr>
      </w:pPr>
    </w:p>
    <w:p>
      <w:pPr>
        <w:ind w:left="4480"/>
        <w:spacing w:after="0"/>
        <w:tabs>
          <w:tab w:leader="none" w:pos="6220" w:val="left"/>
        </w:tabs>
        <w:rPr>
          <w:sz w:val="20"/>
          <w:szCs w:val="20"/>
          <w:color w:val="auto"/>
        </w:rPr>
      </w:pPr>
      <w:r>
        <w:rPr>
          <w:rFonts w:ascii="Arial" w:cs="Arial" w:eastAsia="Arial" w:hAnsi="Arial"/>
          <w:sz w:val="16"/>
          <w:szCs w:val="16"/>
          <w:b w:val="1"/>
          <w:bCs w:val="1"/>
          <w:color w:val="auto"/>
        </w:rPr>
        <w:t>June 28, 2020</w:t>
      </w:r>
      <w:r>
        <w:rPr>
          <w:sz w:val="20"/>
          <w:szCs w:val="20"/>
          <w:color w:val="auto"/>
        </w:rPr>
        <w:tab/>
      </w: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37465</wp:posOffset>
            </wp:positionV>
            <wp:extent cx="21774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66"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June 28, 2020</w:t>
      </w:r>
      <w:r>
        <w:rPr>
          <w:sz w:val="20"/>
          <w:szCs w:val="20"/>
          <w:color w:val="auto"/>
        </w:rPr>
        <w:tab/>
      </w:r>
      <w:r>
        <w:rPr>
          <w:rFonts w:ascii="Arial" w:cs="Arial" w:eastAsia="Arial" w:hAnsi="Arial"/>
          <w:sz w:val="14"/>
          <w:szCs w:val="14"/>
          <w:b w:val="1"/>
          <w:bCs w:val="1"/>
          <w:color w:val="auto"/>
        </w:rPr>
        <w:t>June 30, 2019</w:t>
      </w:r>
    </w:p>
    <w:p>
      <w:pPr>
        <w:spacing w:after="0" w:line="39" w:lineRule="exact"/>
        <w:rPr>
          <w:sz w:val="20"/>
          <w:szCs w:val="20"/>
          <w:color w:val="auto"/>
        </w:rPr>
      </w:pPr>
    </w:p>
    <w:p>
      <w:pPr>
        <w:sectPr>
          <w:pgSz w:w="11900" w:h="16838" w:orient="portrait"/>
          <w:cols w:equalWidth="0" w:num="2">
            <w:col w:w="7280" w:space="720"/>
            <w:col w:w="3120"/>
          </w:cols>
          <w:pgMar w:left="320" w:top="121" w:right="4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13,956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18,306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3,918</w:t>
            </w: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(26,310)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(26,989)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5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406</w:t>
            </w: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net loss (gain)</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16,841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(192)</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500" w:type="dxa"/>
            <w:vAlign w:val="bottom"/>
          </w:tcPr>
          <w:p>
            <w:pPr>
              <w:spacing w:after="0"/>
              <w:rPr>
                <w:sz w:val="23"/>
                <w:szCs w:val="23"/>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8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11,655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14,958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3,223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4,207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made contributions of $1,005 and $7,328 to the pension plans and other benefits plans, respectively, during the first six months of 2020. In the first six months of 2019, we made contributions of $1,170 and $7,749 to our pension plans and other benefit plans, respectively. The contributions in 2020 and 2019 also included benefit payments from our non-qualified pension plans and post-retirement benefit plans.</w:t>
      </w:r>
    </w:p>
    <w:p>
      <w:pPr>
        <w:spacing w:after="0" w:line="192" w:lineRule="exact"/>
        <w:rPr>
          <w:sz w:val="20"/>
          <w:szCs w:val="20"/>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hyperlink w:anchor="page32">
        <w:r>
          <w:rPr>
            <w:rFonts w:ascii="Arial" w:cs="Arial" w:eastAsia="Arial" w:hAnsi="Arial"/>
            <w:sz w:val="18"/>
            <w:szCs w:val="18"/>
            <w:u w:val="single" w:color="auto"/>
            <w:color w:val="0000FF"/>
          </w:rPr>
          <w:t>Note 18</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Hershey Company | Q2 2020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During the second quarter of 2020, we recognized pension settlement charges in our hourly retirement plan due to lump sum withdrawals by employees retiring or leaving the Company as a result of the Margin for Growth Program.</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second quarter 2020 settlements, the related plan assets and liabilities were remeasured using a discount rate as of the remeasurement date that was 69 basis points lower than the rate as of December 31, 2019 and an expected rate of return on plan assets of 5.3%.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3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Non-qualified stock options ("stock options");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Performance stock units ("PSUs") and performance stock;</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Stock appreciation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Restricted stock units ("RSUs") and restricted stock;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Other stock-based awards.</w:t>
      </w:r>
    </w:p>
    <w:p>
      <w:pPr>
        <w:spacing w:after="0" w:line="14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EICP also provides for the deferral of stock-based compensation awards by participants if approved by the Compensation and Executive Organization Committee of our Board and if in accordance with an applicable deferred compensation plan of the Company. Currently, the Compensation and Executive Organization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2"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3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3540" w:type="dxa"/>
            <w:vAlign w:val="bottom"/>
            <w:gridSpan w:val="4"/>
          </w:tcPr>
          <w:p>
            <w:pPr>
              <w:jc w:val="right"/>
              <w:ind w:right="11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28, 2020</w:t>
            </w:r>
          </w:p>
        </w:tc>
        <w:tc>
          <w:tcPr>
            <w:tcW w:w="280" w:type="dxa"/>
            <w:vAlign w:val="bottom"/>
          </w:tcPr>
          <w:p>
            <w:pPr>
              <w:spacing w:after="0"/>
              <w:rPr>
                <w:sz w:val="18"/>
                <w:szCs w:val="18"/>
                <w:color w:val="auto"/>
              </w:rPr>
            </w:pPr>
          </w:p>
        </w:tc>
        <w:tc>
          <w:tcPr>
            <w:tcW w:w="158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3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compensation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12,915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13,156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25,490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23,712</w:t>
            </w:r>
          </w:p>
        </w:tc>
      </w:tr>
      <w:tr>
        <w:trPr>
          <w:trHeight w:val="270"/>
        </w:trPr>
        <w:tc>
          <w:tcPr>
            <w:tcW w:w="3420" w:type="dxa"/>
            <w:vAlign w:val="bottom"/>
          </w:tcPr>
          <w:p>
            <w:pPr>
              <w:ind w:left="60"/>
              <w:spacing w:after="0"/>
              <w:rPr>
                <w:sz w:val="20"/>
                <w:szCs w:val="20"/>
                <w:color w:val="auto"/>
              </w:rPr>
            </w:pPr>
            <w:r>
              <w:rPr>
                <w:rFonts w:ascii="Arial" w:cs="Arial" w:eastAsia="Arial" w:hAnsi="Arial"/>
                <w:sz w:val="18"/>
                <w:szCs w:val="18"/>
                <w:color w:val="auto"/>
              </w:rPr>
              <w:t>Related income tax benefit</w:t>
            </w:r>
          </w:p>
        </w:tc>
        <w:tc>
          <w:tcPr>
            <w:tcW w:w="280" w:type="dxa"/>
            <w:vAlign w:val="bottom"/>
          </w:tcPr>
          <w:p>
            <w:pPr>
              <w:spacing w:after="0"/>
              <w:rPr>
                <w:sz w:val="23"/>
                <w:szCs w:val="23"/>
                <w:color w:val="auto"/>
              </w:rPr>
            </w:pPr>
          </w:p>
        </w:tc>
        <w:tc>
          <w:tcPr>
            <w:tcW w:w="1580" w:type="dxa"/>
            <w:vAlign w:val="bottom"/>
          </w:tcPr>
          <w:p>
            <w:pPr>
              <w:jc w:val="right"/>
              <w:ind w:right="55"/>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tcPr>
          <w:p>
            <w:pPr>
              <w:jc w:val="right"/>
              <w:ind w:right="55"/>
              <w:spacing w:after="0"/>
              <w:rPr>
                <w:sz w:val="20"/>
                <w:szCs w:val="20"/>
                <w:color w:val="auto"/>
              </w:rPr>
            </w:pPr>
            <w:r>
              <w:rPr>
                <w:rFonts w:ascii="Arial" w:cs="Arial" w:eastAsia="Arial" w:hAnsi="Arial"/>
                <w:sz w:val="18"/>
                <w:szCs w:val="18"/>
                <w:color w:val="auto"/>
              </w:rPr>
              <w:t>4,894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4,482</w:t>
            </w:r>
          </w:p>
        </w:tc>
      </w:tr>
    </w:tbl>
    <w:p>
      <w:pPr>
        <w:spacing w:after="0" w:line="14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Compensation expenses for stock compensation plans are primarily included in selling, marketing and administrative expense. As of June 28, 2020, total stock-based compensation expense related to non-vested awards not yet recognized was $71,898 and the weighted-average period over which this amount is expected to be recognized was approximately 2.1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exercise price of each stock option awarded under the EICP equals the closing price of our Common Stock on the New York Stock Exchange on the date of grant. Each stock option has a maximum term of 10 years. Grants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options provide for pro-rated vesting, typically over a four-year period. Expense for stock options is based on grant date fair value and recognized on a straight-line method over the vesting period, net of estimated forfeitures.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June 28, 2020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Weighted-Average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b w:val="1"/>
                <w:bCs w:val="1"/>
                <w:color w:val="auto"/>
                <w:w w:val="98"/>
              </w:rPr>
              <w:t>Exercise Price (per</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Aggregate Intrinsic</w:t>
            </w:r>
          </w:p>
        </w:tc>
      </w:tr>
      <w:tr>
        <w:trPr>
          <w:trHeight w:val="234"/>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Stock Options</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share)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4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the period</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2,420,461</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$97.80</w:t>
            </w:r>
          </w:p>
        </w:tc>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5.7 years</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15,260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$157.32</w:t>
            </w:r>
          </w:p>
        </w:tc>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(406,121)</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$93.17</w:t>
            </w:r>
          </w:p>
        </w:tc>
        <w:tc>
          <w:tcPr>
            <w:tcW w:w="16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(39,181)</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$102.36</w:t>
            </w:r>
          </w:p>
        </w:tc>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28, 2020</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1,990,419</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$99.11</w:t>
            </w:r>
          </w:p>
        </w:tc>
        <w:tc>
          <w:tcPr>
            <w:tcW w:w="1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5.3 years</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53,705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44"/>
        </w:trPr>
        <w:tc>
          <w:tcPr>
            <w:tcW w:w="4700" w:type="dxa"/>
            <w:vAlign w:val="bottom"/>
          </w:tcPr>
          <w:p>
            <w:pPr>
              <w:ind w:left="20"/>
              <w:spacing w:after="0"/>
              <w:rPr>
                <w:sz w:val="20"/>
                <w:szCs w:val="20"/>
                <w:color w:val="auto"/>
              </w:rPr>
            </w:pPr>
            <w:r>
              <w:rPr>
                <w:rFonts w:ascii="Arial" w:cs="Arial" w:eastAsia="Arial" w:hAnsi="Arial"/>
                <w:sz w:val="18"/>
                <w:szCs w:val="18"/>
                <w:color w:val="auto"/>
              </w:rPr>
              <w:t>Options exercisable as of June 28, 2020</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1,533,325</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$97.56</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4.6 years</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43,378</w:t>
            </w:r>
          </w:p>
        </w:tc>
      </w:tr>
      <w:tr>
        <w:trPr>
          <w:trHeight w:val="21"/>
        </w:trPr>
        <w:tc>
          <w:tcPr>
            <w:tcW w:w="4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fair value of options granted was $21.31 and $15.25 per share for the periods ended June 28, 2020 and June 30,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was estimated on the date of grant using a Black-Scholes option-pricing model and the following weighted-average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16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8"/>
                <w:szCs w:val="18"/>
                <w:color w:val="auto"/>
              </w:rPr>
            </w:pPr>
          </w:p>
        </w:tc>
      </w:tr>
      <w:tr>
        <w:trPr>
          <w:trHeight w:val="33"/>
        </w:trPr>
        <w:tc>
          <w:tcPr>
            <w:tcW w:w="78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786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6"/>
                <w:szCs w:val="16"/>
                <w:b w:val="1"/>
                <w:bCs w:val="1"/>
                <w:color w:val="auto"/>
              </w:rPr>
              <w:t>June 28, 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18"/>
                <w:szCs w:val="18"/>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$23,597 and $67,117 for the periods ended June 28, 2020 and June 30, 2019,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six months ended June 28, 2020 and June 30, 2019 can range from 0% to 250% of the targeted amounts.</w:t>
      </w:r>
    </w:p>
    <w:p>
      <w:pPr>
        <w:spacing w:after="0" w:line="1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recognize the compensation expenses associated with PSUs ratably over the 3-year term. Compensation expenses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28, 2020 and June 30, 2019, we awarded RSUs to certain executive officers and other key employees under the EICP.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awarded RSUs to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recognize the compensation expenses associated with employee RSUs over a specified award vesting period based on the grant date fair value of our Common Stock. We recognize expense for employee RSUs based on the straight-line method. The compensation expenses associated with non-employee director RSUs is recognized ratably over the vesting period, net of estimated forfeitures.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June 28, 2020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jc w:val="right"/>
              <w:ind w:right="179"/>
              <w:spacing w:after="0"/>
              <w:rPr>
                <w:sz w:val="20"/>
                <w:szCs w:val="20"/>
                <w:color w:val="auto"/>
              </w:rPr>
            </w:pPr>
            <w:r>
              <w:rPr>
                <w:rFonts w:ascii="Arial" w:cs="Arial" w:eastAsia="Arial" w:hAnsi="Arial"/>
                <w:sz w:val="16"/>
                <w:szCs w:val="16"/>
                <w:b w:val="1"/>
                <w:bCs w:val="1"/>
                <w:color w:val="auto"/>
              </w:rPr>
              <w:t>Weighted-average grant date fair value for</w:t>
            </w:r>
          </w:p>
        </w:tc>
      </w:tr>
      <w:tr>
        <w:trPr>
          <w:trHeight w:val="24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Performance Stock Units and Restricted Stock Units</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Number of units</w:t>
            </w:r>
          </w:p>
        </w:tc>
        <w:tc>
          <w:tcPr>
            <w:tcW w:w="100" w:type="dxa"/>
            <w:vAlign w:val="bottom"/>
            <w:tcBorders>
              <w:bottom w:val="single" w:sz="8" w:color="CCEEFF"/>
            </w:tcBorders>
          </w:tcPr>
          <w:p>
            <w:pPr>
              <w:spacing w:after="0"/>
              <w:rPr>
                <w:sz w:val="20"/>
                <w:szCs w:val="20"/>
                <w:color w:val="auto"/>
              </w:rPr>
            </w:pPr>
          </w:p>
        </w:tc>
        <w:tc>
          <w:tcPr>
            <w:tcW w:w="35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equity awards (per unit)</w:t>
            </w:r>
          </w:p>
        </w:tc>
      </w:tr>
      <w:tr>
        <w:trPr>
          <w:trHeight w:val="26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1,089,916</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$112.52</w:t>
            </w:r>
          </w:p>
        </w:tc>
      </w:tr>
      <w:tr>
        <w:trPr>
          <w:trHeight w:val="27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326,283</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$163.30</w:t>
            </w:r>
          </w:p>
        </w:tc>
      </w:tr>
      <w:tr>
        <w:trPr>
          <w:trHeight w:val="27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assumption change (1)</w:t>
            </w: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(13,443)</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$110.27</w:t>
            </w:r>
          </w:p>
        </w:tc>
      </w:tr>
      <w:tr>
        <w:trPr>
          <w:trHeight w:val="27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(276,924)</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$109.32</w:t>
            </w:r>
          </w:p>
        </w:tc>
      </w:tr>
      <w:tr>
        <w:trPr>
          <w:trHeight w:val="27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(106,304)</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$119.00</w:t>
            </w:r>
          </w:p>
        </w:tc>
      </w:tr>
      <w:tr>
        <w:trPr>
          <w:trHeight w:val="26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Outstanding as of June 28, 2020</w:t>
            </w:r>
          </w:p>
        </w:tc>
        <w:tc>
          <w:tcPr>
            <w:tcW w:w="1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1,019,528</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$131.88</w:t>
            </w:r>
          </w:p>
        </w:tc>
      </w:tr>
      <w:tr>
        <w:trPr>
          <w:trHeight w:val="21"/>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jc w:val="right"/>
              <w:ind w:right="772"/>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6"/>
                <w:szCs w:val="16"/>
                <w:b w:val="1"/>
                <w:bCs w:val="1"/>
                <w:color w:val="auto"/>
              </w:rPr>
              <w:t>June 28, 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granted</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326,283</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442,672</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Weighted-average fair value at date of grant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163.30</w:t>
            </w:r>
          </w:p>
        </w:tc>
        <w:tc>
          <w:tcPr>
            <w:tcW w:w="5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113.71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76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Monte Carlo simulation assumptions: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40"/>
              <w:spacing w:after="0"/>
              <w:rPr>
                <w:sz w:val="20"/>
                <w:szCs w:val="20"/>
                <w:color w:val="auto"/>
              </w:rPr>
            </w:pPr>
            <w:r>
              <w:rPr>
                <w:rFonts w:ascii="Arial" w:cs="Arial" w:eastAsia="Arial" w:hAnsi="Arial"/>
                <w:sz w:val="18"/>
                <w:szCs w:val="18"/>
                <w:color w:val="auto"/>
              </w:rPr>
              <w:t>Estimated values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80.08</w:t>
            </w: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48.40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Dividend yields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40" w:type="dxa"/>
            <w:vAlign w:val="bottom"/>
          </w:tcPr>
          <w:p>
            <w:pPr>
              <w:ind w:left="34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$41,874 and $40,163 for the periods ended June 28, 2020 and June 30, 2019, respectively.</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280,980 units as of June 28, 2020. Each unit is equivalent to one share of the Company’s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primarily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92%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20" w:hanging="328"/>
        <w:spacing w:after="0" w:line="266"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1" w:lineRule="exact"/>
        <w:rPr>
          <w:rFonts w:ascii="Arial" w:cs="Arial" w:eastAsia="Arial" w:hAnsi="Arial"/>
          <w:sz w:val="18"/>
          <w:szCs w:val="18"/>
          <w:b w:val="1"/>
          <w:bCs w:val="1"/>
          <w:i w:val="1"/>
          <w:iCs w:val="1"/>
          <w:color w:val="auto"/>
        </w:rPr>
      </w:pPr>
    </w:p>
    <w:p>
      <w:pPr>
        <w:ind w:left="660" w:right="260" w:hanging="328"/>
        <w:spacing w:after="0" w:line="282"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International and Other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and Other is a combination of all other operating segments that are not individually material,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geographic regions where we operate outside of North America.</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Hershey Company | Q2 2020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3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22" w:lineRule="exact"/>
        <w:rPr>
          <w:sz w:val="20"/>
          <w:szCs w:val="20"/>
          <w:color w:val="auto"/>
        </w:rPr>
      </w:pPr>
    </w:p>
    <w:p>
      <w:pPr>
        <w:ind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14">
        <w:r>
          <w:rPr>
            <w:rFonts w:ascii="Arial" w:cs="Arial" w:eastAsia="Arial" w:hAnsi="Arial"/>
            <w:sz w:val="18"/>
            <w:szCs w:val="18"/>
            <w:u w:val="single" w:color="auto"/>
            <w:color w:val="0000FF"/>
          </w:rPr>
          <w:t>Note 5</w:t>
        </w:r>
      </w:hyperlink>
      <w:r>
        <w:rPr>
          <w:rFonts w:ascii="Arial" w:cs="Arial" w:eastAsia="Arial" w:hAnsi="Arial"/>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200" w:type="dxa"/>
            <w:vAlign w:val="bottom"/>
            <w:gridSpan w:val="4"/>
          </w:tcPr>
          <w:p>
            <w:pPr>
              <w:jc w:val="right"/>
              <w:ind w:right="9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28, 2020</w:t>
            </w:r>
          </w:p>
        </w:tc>
        <w:tc>
          <w:tcPr>
            <w:tcW w:w="22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28, 2020</w:t>
            </w:r>
          </w:p>
        </w:tc>
        <w:tc>
          <w:tcPr>
            <w:tcW w:w="220" w:type="dxa"/>
            <w:vAlign w:val="bottom"/>
          </w:tcPr>
          <w:p>
            <w:pPr>
              <w:spacing w:after="0"/>
              <w:rPr>
                <w:sz w:val="18"/>
                <w:szCs w:val="18"/>
                <w:color w:val="auto"/>
              </w:rPr>
            </w:pPr>
          </w:p>
        </w:tc>
        <w:tc>
          <w:tcPr>
            <w:tcW w:w="1440" w:type="dxa"/>
            <w:vAlign w:val="bottom"/>
          </w:tcPr>
          <w:p>
            <w:pPr>
              <w:jc w:val="right"/>
              <w:ind w:right="271"/>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33"/>
        </w:trPr>
        <w:tc>
          <w:tcPr>
            <w:tcW w:w="4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1,583,787</w:t>
            </w: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1,568,040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3,428,608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3,374,998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123,542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199,177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316,038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408,707</w:t>
            </w:r>
          </w:p>
        </w:tc>
        <w:tc>
          <w:tcPr>
            <w:tcW w:w="0" w:type="dxa"/>
            <w:vAlign w:val="bottom"/>
          </w:tcPr>
          <w:p>
            <w:pPr>
              <w:spacing w:after="0"/>
              <w:rPr>
                <w:sz w:val="1"/>
                <w:szCs w:val="1"/>
                <w:color w:val="auto"/>
              </w:rPr>
            </w:pP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1,707,329</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1,767,217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3,744,646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3,783,705</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Segment income (loss):</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497,587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470,898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1,079,142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1,035,659</w:t>
            </w:r>
          </w:p>
        </w:tc>
        <w:tc>
          <w:tcPr>
            <w:tcW w:w="0" w:type="dxa"/>
            <w:vAlign w:val="bottom"/>
          </w:tcPr>
          <w:p>
            <w:pPr>
              <w:spacing w:after="0"/>
              <w:rPr>
                <w:sz w:val="1"/>
                <w:szCs w:val="1"/>
                <w:color w:val="auto"/>
              </w:rPr>
            </w:pP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(3,969)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21,944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12,035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42,187</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493,618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492,842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1,091,177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1,077,846</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Unallocated corporate expense (1)</w:t>
            </w:r>
          </w:p>
        </w:tc>
        <w:tc>
          <w:tcPr>
            <w:tcW w:w="2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106,883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125,205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231,450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242,889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mark-to-market losses (gains) 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82,241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(25,585)</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Long-lived asset impairment charges (see </w:t>
            </w:r>
            <w:hyperlink w:anchor="page17">
              <w:r>
                <w:rPr>
                  <w:rFonts w:ascii="Arial" w:cs="Arial" w:eastAsia="Arial" w:hAnsi="Arial"/>
                  <w:sz w:val="18"/>
                  <w:szCs w:val="18"/>
                  <w:u w:val="single" w:color="auto"/>
                  <w:color w:val="0000FF"/>
                </w:rPr>
                <w:t>Note 6</w:t>
              </w:r>
            </w:hyperlink>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9,143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4,741</w:t>
            </w: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Costs associated with business realignment activities</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1,275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6,378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2,170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1">
              <w:r>
                <w:rPr>
                  <w:rFonts w:ascii="Arial" w:cs="Arial" w:eastAsia="Arial" w:hAnsi="Arial"/>
                  <w:sz w:val="18"/>
                  <w:szCs w:val="18"/>
                  <w:u w:val="single" w:color="auto"/>
                  <w:color w:val="0000FF"/>
                </w:rPr>
                <w:t>Note 9</w:t>
              </w:r>
            </w:hyperlink>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20"/>
                <w:szCs w:val="20"/>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383,373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410,070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766,173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848,939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Interest expense, net (see </w:t>
            </w:r>
            <w:hyperlink w:anchor="page12">
              <w:r>
                <w:rPr>
                  <w:rFonts w:ascii="Arial" w:cs="Arial" w:eastAsia="Arial" w:hAnsi="Arial"/>
                  <w:sz w:val="18"/>
                  <w:szCs w:val="18"/>
                  <w:u w:val="single" w:color="auto"/>
                  <w:color w:val="0000FF"/>
                </w:rPr>
                <w:t>Note 4</w:t>
              </w:r>
            </w:hyperlink>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38,079</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33,776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74,334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71,234</w:t>
            </w:r>
          </w:p>
        </w:tc>
        <w:tc>
          <w:tcPr>
            <w:tcW w:w="0" w:type="dxa"/>
            <w:vAlign w:val="bottom"/>
          </w:tcPr>
          <w:p>
            <w:pPr>
              <w:spacing w:after="0"/>
              <w:rPr>
                <w:sz w:val="1"/>
                <w:szCs w:val="1"/>
                <w:color w:val="auto"/>
              </w:rPr>
            </w:pPr>
          </w:p>
        </w:tc>
      </w:tr>
      <w:tr>
        <w:trPr>
          <w:trHeight w:val="270"/>
        </w:trPr>
        <w:tc>
          <w:tcPr>
            <w:tcW w:w="4140" w:type="dxa"/>
            <w:vAlign w:val="bottom"/>
            <w:tcBorders>
              <w:bottom w:val="single" w:sz="8" w:color="CCEEFF"/>
            </w:tcBorders>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Other (income) expense, net (see </w:t>
            </w:r>
            <w:hyperlink w:anchor="page32">
              <w:r>
                <w:rPr>
                  <w:rFonts w:ascii="Arial" w:cs="Arial" w:eastAsia="Arial" w:hAnsi="Arial"/>
                  <w:sz w:val="18"/>
                  <w:szCs w:val="18"/>
                  <w:u w:val="single" w:color="auto"/>
                  <w:color w:val="0000FF"/>
                </w:rPr>
                <w:t>Note 18</w:t>
              </w:r>
            </w:hyperlink>
            <w:r>
              <w:rPr>
                <w:rFonts w:ascii="Arial" w:cs="Arial" w:eastAsia="Arial" w:hAnsi="Arial"/>
                <w:sz w:val="18"/>
                <w:szCs w:val="18"/>
                <w:color w:val="auto"/>
              </w:rPr>
              <w:t>)</w:t>
            </w:r>
          </w:p>
        </w:tc>
        <w:tc>
          <w:tcPr>
            <w:tcW w:w="2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11,217</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22,750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18,602</w:t>
            </w:r>
          </w:p>
        </w:tc>
        <w:tc>
          <w:tcPr>
            <w:tcW w:w="0" w:type="dxa"/>
            <w:vAlign w:val="bottom"/>
          </w:tcPr>
          <w:p>
            <w:pPr>
              <w:spacing w:after="0"/>
              <w:rPr>
                <w:sz w:val="1"/>
                <w:szCs w:val="1"/>
                <w:color w:val="auto"/>
              </w:rPr>
            </w:pPr>
          </w:p>
        </w:tc>
      </w:tr>
      <w:tr>
        <w:trPr>
          <w:trHeight w:val="28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334,077</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363,169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669,089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759,103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ind w:left="340" w:right="160" w:hanging="332"/>
        <w:spacing w:after="0" w:line="259"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adjustment for commodity derivatives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28, 2020</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28, 2020</w:t>
            </w:r>
          </w:p>
        </w:tc>
        <w:tc>
          <w:tcPr>
            <w:tcW w:w="18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Arial" w:cs="Arial" w:eastAsia="Arial" w:hAnsi="Arial"/>
                <w:sz w:val="16"/>
                <w:szCs w:val="16"/>
                <w:b w:val="1"/>
                <w:bCs w:val="1"/>
                <w:color w:val="auto"/>
                <w:w w:val="96"/>
              </w:rPr>
              <w:t>June 30, 2019</w:t>
            </w:r>
          </w:p>
        </w:tc>
        <w:tc>
          <w:tcPr>
            <w:tcW w:w="0" w:type="dxa"/>
            <w:vAlign w:val="bottom"/>
          </w:tcPr>
          <w:p>
            <w:pPr>
              <w:spacing w:after="0"/>
              <w:rPr>
                <w:sz w:val="1"/>
                <w:szCs w:val="1"/>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on mark-to-market valuation of commodity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positions recognized in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74,468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(28,890)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Net gains on commodity derivative positions reclassified from</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unallocated to segment income</w:t>
            </w:r>
          </w:p>
        </w:tc>
        <w:tc>
          <w:tcPr>
            <w:tcW w:w="180" w:type="dxa"/>
            <w:vAlign w:val="bottom"/>
          </w:tcPr>
          <w:p>
            <w:pPr>
              <w:spacing w:after="0"/>
              <w:rPr>
                <w:sz w:val="20"/>
                <w:szCs w:val="20"/>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1,979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losses (gains) on mark-to-market valuation of commodity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positions recognized in unallocated derivative losses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(53,552)</w:t>
            </w:r>
          </w:p>
        </w:tc>
        <w:tc>
          <w:tcPr>
            <w:tcW w:w="8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82,241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(25,585)</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June 28, 2020, the cumulative amount of mark-to-market losses on commodity derivatives that have been recognized in our consolidated cost of sales and not yet allocated to reportable segments was $13,274. Based on our forecasts of the timing of the recognition of the underlying hedged items, we expect to reclassify net pretax losses on commodity derivatives of $165 to segment operating results in the next twelve months.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8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560" w:type="dxa"/>
            <w:vAlign w:val="bottom"/>
            <w:gridSpan w:val="4"/>
          </w:tcPr>
          <w:p>
            <w:pPr>
              <w:jc w:val="right"/>
              <w:ind w:right="119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300" w:type="dxa"/>
            <w:vAlign w:val="bottom"/>
          </w:tcPr>
          <w:p>
            <w:pPr>
              <w:spacing w:after="0"/>
              <w:rPr>
                <w:sz w:val="18"/>
                <w:szCs w:val="18"/>
                <w:color w:val="auto"/>
              </w:rPr>
            </w:pPr>
          </w:p>
        </w:tc>
        <w:tc>
          <w:tcPr>
            <w:tcW w:w="158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55,137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109,082</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600" w:type="dxa"/>
            <w:vAlign w:val="bottom"/>
          </w:tcPr>
          <w:p>
            <w:pPr>
              <w:jc w:val="right"/>
              <w:ind w:right="73"/>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7,314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14,246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14,664</w:t>
            </w: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10,484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20,197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20,600</w:t>
            </w:r>
          </w:p>
        </w:tc>
      </w:tr>
      <w:tr>
        <w:trPr>
          <w:trHeight w:val="263"/>
        </w:trPr>
        <w:tc>
          <w:tcPr>
            <w:tcW w:w="34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71,900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72,017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142,524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144,346</w:t>
            </w:r>
          </w:p>
        </w:tc>
      </w:tr>
      <w:tr>
        <w:trPr>
          <w:trHeight w:val="20"/>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net sales disaggregated by geographical region is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580" w:type="dxa"/>
            <w:vAlign w:val="bottom"/>
            <w:gridSpan w:val="4"/>
          </w:tcPr>
          <w:p>
            <w:pPr>
              <w:jc w:val="right"/>
              <w:ind w:right="121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300" w:type="dxa"/>
            <w:vAlign w:val="bottom"/>
          </w:tcPr>
          <w:p>
            <w:pPr>
              <w:spacing w:after="0"/>
              <w:rPr>
                <w:sz w:val="18"/>
                <w:szCs w:val="18"/>
                <w:color w:val="auto"/>
              </w:rPr>
            </w:pPr>
          </w:p>
        </w:tc>
        <w:tc>
          <w:tcPr>
            <w:tcW w:w="1600" w:type="dxa"/>
            <w:vAlign w:val="bottom"/>
          </w:tcPr>
          <w:p>
            <w:pPr>
              <w:jc w:val="right"/>
              <w:ind w:right="392"/>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1,504,266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1,493,283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3,271,542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3,221,543</w:t>
            </w: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All other countries</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203,063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273,934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473,104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562,162</w:t>
            </w:r>
          </w:p>
        </w:tc>
      </w:tr>
      <w:tr>
        <w:trPr>
          <w:trHeight w:val="264"/>
        </w:trPr>
        <w:tc>
          <w:tcPr>
            <w:tcW w:w="34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1,707,329</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1,767,217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3,744,646</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3,783,705</w:t>
            </w:r>
          </w:p>
        </w:tc>
      </w:tr>
      <w:tr>
        <w:trPr>
          <w:trHeight w:val="20"/>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majority of our products are confectionery or confectionery-based and include chocolate and non-chocolate confectionery products, gum and mint refreshment products, spreads, snack bites and mixes, as well as pantry items such as baking ingredients, toppings and sundae syrups. Our snacks portfolio includes ready-to-eat popcorn, baked and trans fat free snacks, protein bars and other better-for-you snacks. Additional information regarding our net sales disaggregated by product line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580" w:type="dxa"/>
            <w:vAlign w:val="bottom"/>
            <w:gridSpan w:val="4"/>
          </w:tcPr>
          <w:p>
            <w:pPr>
              <w:jc w:val="right"/>
              <w:ind w:right="121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300" w:type="dxa"/>
            <w:vAlign w:val="bottom"/>
          </w:tcPr>
          <w:p>
            <w:pPr>
              <w:spacing w:after="0"/>
              <w:rPr>
                <w:sz w:val="18"/>
                <w:szCs w:val="18"/>
                <w:color w:val="auto"/>
              </w:rPr>
            </w:pPr>
          </w:p>
        </w:tc>
        <w:tc>
          <w:tcPr>
            <w:tcW w:w="1600" w:type="dxa"/>
            <w:vAlign w:val="bottom"/>
          </w:tcPr>
          <w:p>
            <w:pPr>
              <w:jc w:val="right"/>
              <w:ind w:right="392"/>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29"/>
        </w:trPr>
        <w:tc>
          <w:tcPr>
            <w:tcW w:w="3440" w:type="dxa"/>
            <w:vAlign w:val="bottom"/>
          </w:tcPr>
          <w:p>
            <w:pPr>
              <w:ind w:left="220"/>
              <w:spacing w:after="0"/>
              <w:rPr>
                <w:sz w:val="20"/>
                <w:szCs w:val="20"/>
                <w:color w:val="auto"/>
              </w:rPr>
            </w:pPr>
            <w:r>
              <w:rPr>
                <w:rFonts w:ascii="Arial" w:cs="Arial" w:eastAsia="Arial" w:hAnsi="Arial"/>
                <w:sz w:val="18"/>
                <w:szCs w:val="18"/>
                <w:color w:val="auto"/>
              </w:rPr>
              <w:t>Confectionery and confectionery-based</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440" w:type="dxa"/>
            <w:vAlign w:val="bottom"/>
          </w:tcPr>
          <w:p>
            <w:pPr>
              <w:ind w:left="220"/>
              <w:spacing w:after="0"/>
              <w:rPr>
                <w:sz w:val="20"/>
                <w:szCs w:val="20"/>
                <w:color w:val="auto"/>
              </w:rPr>
            </w:pPr>
            <w:r>
              <w:rPr>
                <w:rFonts w:ascii="Arial" w:cs="Arial" w:eastAsia="Arial" w:hAnsi="Arial"/>
                <w:sz w:val="18"/>
                <w:szCs w:val="18"/>
                <w:color w:val="auto"/>
              </w:rPr>
              <w:t>portfolio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1,592,181</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1,663,225</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3,500,415</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3,587,155</w:t>
            </w: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Snacks portfolio</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115,148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103,992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244,231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196,550</w:t>
            </w:r>
          </w:p>
        </w:tc>
      </w:tr>
      <w:tr>
        <w:trPr>
          <w:trHeight w:val="263"/>
        </w:trPr>
        <w:tc>
          <w:tcPr>
            <w:tcW w:w="34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1,707,329</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1,767,217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3,744,646</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3,783,705</w:t>
            </w:r>
          </w:p>
        </w:tc>
      </w:tr>
      <w:tr>
        <w:trPr>
          <w:trHeight w:val="21"/>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226"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Six Months Ended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37465</wp:posOffset>
            </wp:positionV>
            <wp:extent cx="27514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66" w:lineRule="exact"/>
        <w:rPr>
          <w:sz w:val="20"/>
          <w:szCs w:val="20"/>
          <w:color w:val="auto"/>
        </w:rPr>
      </w:pPr>
    </w:p>
    <w:p>
      <w:pPr>
        <w:ind w:left="7540"/>
        <w:spacing w:after="0"/>
        <w:tabs>
          <w:tab w:leader="none" w:pos="972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37465</wp:posOffset>
            </wp:positionV>
            <wp:extent cx="27514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66"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1230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Shares repurchased in the open market under pre-approved share repurchase programs</w:t>
      </w:r>
    </w:p>
    <w:p>
      <w:pPr>
        <w:spacing w:after="0" w:line="98" w:lineRule="exact"/>
        <w:rPr>
          <w:sz w:val="20"/>
          <w:szCs w:val="20"/>
          <w:color w:val="auto"/>
        </w:rPr>
      </w:pPr>
    </w:p>
    <w:p>
      <w:pPr>
        <w:ind w:left="20" w:right="1180"/>
        <w:spacing w:after="0" w:line="277" w:lineRule="auto"/>
        <w:rPr>
          <w:sz w:val="20"/>
          <w:szCs w:val="20"/>
          <w:color w:val="auto"/>
        </w:rPr>
      </w:pPr>
      <w:r>
        <w:rPr>
          <w:rFonts w:ascii="Arial" w:cs="Arial" w:eastAsia="Arial" w:hAnsi="Arial"/>
          <w:sz w:val="18"/>
          <w:szCs w:val="18"/>
          <w:color w:val="auto"/>
        </w:rPr>
        <w:t>Shares repurchased to replace Treasury Stock issued for stock options and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1230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2305" cy="18034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share repurchases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issued for stock options and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12305" cy="19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2305" cy="19685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change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20"/>
        <w:spacing w:after="0"/>
        <w:tabs>
          <w:tab w:leader="none" w:pos="960" w:val="left"/>
          <w:tab w:leader="none" w:pos="2340" w:val="left"/>
        </w:tabs>
        <w:rPr>
          <w:sz w:val="20"/>
          <w:szCs w:val="20"/>
          <w:color w:val="auto"/>
        </w:rPr>
      </w:pPr>
      <w:r>
        <w:rPr>
          <w:rFonts w:ascii="Arial" w:cs="Arial" w:eastAsia="Arial" w:hAnsi="Arial"/>
          <w:sz w:val="18"/>
          <w:szCs w:val="18"/>
          <w:color w:val="auto"/>
        </w:rPr>
        <w:t>951,138</w:t>
        <w:tab/>
        <w:t>$</w:t>
      </w:r>
      <w:r>
        <w:rPr>
          <w:sz w:val="20"/>
          <w:szCs w:val="20"/>
          <w:color w:val="auto"/>
        </w:rPr>
        <w:tab/>
      </w:r>
      <w:r>
        <w:rPr>
          <w:rFonts w:ascii="Arial" w:cs="Arial" w:eastAsia="Arial" w:hAnsi="Arial"/>
          <w:sz w:val="16"/>
          <w:szCs w:val="16"/>
          <w:color w:val="auto"/>
        </w:rPr>
        <w:t>150,000</w:t>
      </w:r>
    </w:p>
    <w:p>
      <w:pPr>
        <w:spacing w:after="0" w:line="279"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7"/>
          <w:szCs w:val="17"/>
          <w:color w:val="auto"/>
        </w:rPr>
        <w:t>450,000</w:t>
      </w:r>
      <w:r>
        <w:rPr>
          <w:sz w:val="20"/>
          <w:szCs w:val="20"/>
          <w:color w:val="auto"/>
        </w:rPr>
        <w:tab/>
      </w:r>
      <w:r>
        <w:rPr>
          <w:rFonts w:ascii="Arial" w:cs="Arial" w:eastAsia="Arial" w:hAnsi="Arial"/>
          <w:sz w:val="17"/>
          <w:szCs w:val="17"/>
          <w:color w:val="auto"/>
        </w:rPr>
        <w:t>61,196</w:t>
      </w:r>
    </w:p>
    <w:p>
      <w:pPr>
        <w:spacing w:after="0" w:line="88" w:lineRule="exact"/>
        <w:rPr>
          <w:sz w:val="20"/>
          <w:szCs w:val="20"/>
          <w:color w:val="auto"/>
        </w:rPr>
      </w:pPr>
    </w:p>
    <w:p>
      <w:pPr>
        <w:spacing w:after="0"/>
        <w:tabs>
          <w:tab w:leader="none" w:pos="2340" w:val="left"/>
        </w:tabs>
        <w:rPr>
          <w:sz w:val="20"/>
          <w:szCs w:val="20"/>
          <w:color w:val="auto"/>
        </w:rPr>
      </w:pPr>
      <w:r>
        <w:rPr>
          <w:rFonts w:ascii="Arial" w:cs="Arial" w:eastAsia="Arial" w:hAnsi="Arial"/>
          <w:sz w:val="17"/>
          <w:szCs w:val="17"/>
          <w:color w:val="auto"/>
        </w:rPr>
        <w:t>1,401,138</w:t>
      </w:r>
      <w:r>
        <w:rPr>
          <w:sz w:val="20"/>
          <w:szCs w:val="20"/>
          <w:color w:val="auto"/>
        </w:rPr>
        <w:tab/>
      </w:r>
      <w:r>
        <w:rPr>
          <w:rFonts w:ascii="Arial" w:cs="Arial" w:eastAsia="Arial" w:hAnsi="Arial"/>
          <w:sz w:val="17"/>
          <w:szCs w:val="17"/>
          <w:color w:val="auto"/>
        </w:rPr>
        <w:t>211,196</w:t>
      </w:r>
    </w:p>
    <w:p>
      <w:pPr>
        <w:spacing w:after="0" w:line="75" w:lineRule="exact"/>
        <w:rPr>
          <w:sz w:val="20"/>
          <w:szCs w:val="20"/>
          <w:color w:val="auto"/>
        </w:rPr>
      </w:pPr>
    </w:p>
    <w:p>
      <w:pPr>
        <w:ind w:left="60"/>
        <w:spacing w:after="0"/>
        <w:tabs>
          <w:tab w:leader="none" w:pos="2340" w:val="left"/>
        </w:tabs>
        <w:rPr>
          <w:sz w:val="20"/>
          <w:szCs w:val="20"/>
          <w:color w:val="auto"/>
        </w:rPr>
      </w:pPr>
      <w:r>
        <w:rPr>
          <w:rFonts w:ascii="Arial" w:cs="Arial" w:eastAsia="Arial" w:hAnsi="Arial"/>
          <w:sz w:val="16"/>
          <w:szCs w:val="16"/>
          <w:color w:val="auto"/>
        </w:rPr>
        <w:t>(554,074)</w:t>
      </w:r>
      <w:r>
        <w:rPr>
          <w:sz w:val="20"/>
          <w:szCs w:val="20"/>
          <w:color w:val="auto"/>
        </w:rPr>
        <w:tab/>
      </w:r>
      <w:r>
        <w:rPr>
          <w:rFonts w:ascii="Arial" w:cs="Arial" w:eastAsia="Arial" w:hAnsi="Arial"/>
          <w:sz w:val="16"/>
          <w:szCs w:val="16"/>
          <w:color w:val="auto"/>
        </w:rPr>
        <w:t>(23,056)</w:t>
      </w:r>
    </w:p>
    <w:p>
      <w:pPr>
        <w:spacing w:after="0" w:line="100" w:lineRule="exact"/>
        <w:rPr>
          <w:sz w:val="20"/>
          <w:szCs w:val="20"/>
          <w:color w:val="auto"/>
        </w:rPr>
      </w:pPr>
    </w:p>
    <w:p>
      <w:pPr>
        <w:ind w:left="120"/>
        <w:spacing w:after="0"/>
        <w:tabs>
          <w:tab w:leader="none" w:pos="960" w:val="left"/>
          <w:tab w:leader="none" w:pos="2340" w:val="left"/>
        </w:tabs>
        <w:rPr>
          <w:sz w:val="20"/>
          <w:szCs w:val="20"/>
          <w:color w:val="auto"/>
        </w:rPr>
      </w:pPr>
      <w:r>
        <w:rPr>
          <w:rFonts w:ascii="Arial" w:cs="Arial" w:eastAsia="Arial" w:hAnsi="Arial"/>
          <w:sz w:val="18"/>
          <w:szCs w:val="18"/>
          <w:color w:val="auto"/>
        </w:rPr>
        <w:t>847,064</w:t>
        <w:tab/>
        <w:t>$</w:t>
      </w:r>
      <w:r>
        <w:rPr>
          <w:sz w:val="20"/>
          <w:szCs w:val="20"/>
          <w:color w:val="auto"/>
        </w:rPr>
        <w:tab/>
      </w:r>
      <w:r>
        <w:rPr>
          <w:rFonts w:ascii="Arial" w:cs="Arial" w:eastAsia="Arial" w:hAnsi="Arial"/>
          <w:sz w:val="16"/>
          <w:szCs w:val="16"/>
          <w:color w:val="auto"/>
        </w:rPr>
        <w:t>188,140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57785</wp:posOffset>
            </wp:positionV>
            <wp:extent cx="27514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240" w:space="720"/>
            <w:col w:w="3280"/>
          </w:cols>
          <w:pgMar w:left="320" w:top="121" w:right="339" w:bottom="1440" w:gutter="0" w:footer="0" w:header="0"/>
          <w:type w:val="continuous"/>
        </w:sectPr>
      </w:pPr>
    </w:p>
    <w:p>
      <w:pPr>
        <w:spacing w:after="0" w:line="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July 2018, our Board of Directors approved a $500,000 share repurchase authorization to repurchase shares of our Common Stock. As of June 28, 2020, $260,000 remained available for repurchases of our Common Stock under this program.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ind w:right="-3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NONCONTROLLING INTEREST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currently own a 50% controlling interest in LSFC, a joint venture established in 2007 in China for the purpose of manufacturing and selling product to the joint venture partners.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A roll-forward showing the 2020 activity relating to the noncontrolling interest follows: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934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Noncontrolling Interest</w:t>
            </w:r>
          </w:p>
        </w:tc>
      </w:tr>
      <w:tr>
        <w:trPr>
          <w:trHeight w:val="27"/>
        </w:trPr>
        <w:tc>
          <w:tcPr>
            <w:tcW w:w="93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5,772</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7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(3,213)</w:t>
            </w:r>
          </w:p>
        </w:tc>
      </w:tr>
      <w:tr>
        <w:trPr>
          <w:trHeight w:val="27"/>
        </w:trPr>
        <w:tc>
          <w:tcPr>
            <w:tcW w:w="9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 foreign currency translation adjustments</w:t>
            </w: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63"/>
        </w:trPr>
        <w:tc>
          <w:tcPr>
            <w:tcW w:w="9340" w:type="dxa"/>
            <w:vAlign w:val="bottom"/>
          </w:tcPr>
          <w:p>
            <w:pPr>
              <w:ind w:left="20"/>
              <w:spacing w:after="0"/>
              <w:rPr>
                <w:sz w:val="20"/>
                <w:szCs w:val="20"/>
                <w:color w:val="auto"/>
              </w:rPr>
            </w:pPr>
            <w:r>
              <w:rPr>
                <w:rFonts w:ascii="Arial" w:cs="Arial" w:eastAsia="Arial" w:hAnsi="Arial"/>
                <w:sz w:val="18"/>
                <w:szCs w:val="18"/>
                <w:color w:val="auto"/>
              </w:rPr>
              <w:t>Balance, June 28, 2020</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2,484</w:t>
            </w:r>
          </w:p>
        </w:tc>
      </w:tr>
      <w:tr>
        <w:trPr>
          <w:trHeight w:val="20"/>
        </w:trPr>
        <w:tc>
          <w:tcPr>
            <w:tcW w:w="9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277" w:lineRule="auto"/>
        <w:rPr>
          <w:rFonts w:ascii="Arial" w:cs="Arial" w:eastAsia="Arial" w:hAnsi="Arial"/>
          <w:sz w:val="18"/>
          <w:szCs w:val="18"/>
          <w:color w:val="0000FF"/>
        </w:rPr>
      </w:pPr>
      <w:r>
        <w:rPr>
          <w:rFonts w:ascii="Arial" w:cs="Arial" w:eastAsia="Arial" w:hAnsi="Arial"/>
          <w:sz w:val="18"/>
          <w:szCs w:val="18"/>
          <w:color w:val="auto"/>
        </w:rPr>
        <w:t xml:space="preserve">The 2020 net loss attributable to the noncontrolling interest reflects the 50% allocation of LSFC-related business realignment and impairment costs (see </w:t>
      </w:r>
      <w:hyperlink w:anchor="page21">
        <w:r>
          <w:rPr>
            <w:rFonts w:ascii="Arial" w:cs="Arial" w:eastAsia="Arial" w:hAnsi="Arial"/>
            <w:sz w:val="18"/>
            <w:szCs w:val="18"/>
            <w:u w:val="single" w:color="auto"/>
            <w:color w:val="0000FF"/>
          </w:rPr>
          <w:t>Note 9</w:t>
        </w:r>
      </w:hyperlink>
      <w:r>
        <w:rPr>
          <w:rFonts w:ascii="Arial" w:cs="Arial" w:eastAsia="Arial" w:hAnsi="Arial"/>
          <w:sz w:val="18"/>
          <w:szCs w:val="18"/>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ind w:left="520"/>
              <w:spacing w:after="0"/>
              <w:rPr>
                <w:sz w:val="20"/>
                <w:szCs w:val="20"/>
                <w:color w:val="auto"/>
              </w:rPr>
            </w:pPr>
            <w:r>
              <w:rPr>
                <w:rFonts w:ascii="Arial" w:cs="Arial" w:eastAsia="Arial" w:hAnsi="Arial"/>
                <w:sz w:val="16"/>
                <w:szCs w:val="16"/>
                <w:b w:val="1"/>
                <w:bCs w:val="1"/>
                <w:color w:val="auto"/>
              </w:rPr>
              <w:t>June 28, 2020</w:t>
            </w:r>
          </w:p>
        </w:tc>
        <w:tc>
          <w:tcPr>
            <w:tcW w:w="140" w:type="dxa"/>
            <w:vAlign w:val="bottom"/>
          </w:tcPr>
          <w:p>
            <w:pPr>
              <w:spacing w:after="0"/>
              <w:rPr>
                <w:sz w:val="18"/>
                <w:szCs w:val="18"/>
                <w:color w:val="auto"/>
              </w:rPr>
            </w:pPr>
          </w:p>
        </w:tc>
        <w:tc>
          <w:tcPr>
            <w:tcW w:w="21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6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Class B</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Class B</w:t>
            </w:r>
          </w:p>
        </w:tc>
      </w:tr>
      <w:tr>
        <w:trPr>
          <w:trHeight w:val="203"/>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Common</w:t>
            </w:r>
          </w:p>
        </w:tc>
      </w:tr>
      <w:tr>
        <w:trPr>
          <w:trHeight w:val="210"/>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Stock</w:t>
            </w:r>
          </w:p>
        </w:tc>
      </w:tr>
      <w:tr>
        <w:trPr>
          <w:trHeight w:val="33"/>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24"/>
        </w:trPr>
        <w:tc>
          <w:tcPr>
            <w:tcW w:w="6400" w:type="dxa"/>
            <w:vAlign w:val="bottom"/>
          </w:tcPr>
          <w:p>
            <w:pPr>
              <w:ind w:left="120"/>
              <w:spacing w:after="0"/>
              <w:rPr>
                <w:sz w:val="20"/>
                <w:szCs w:val="20"/>
                <w:color w:val="auto"/>
              </w:rPr>
            </w:pPr>
            <w:r>
              <w:rPr>
                <w:rFonts w:ascii="Arial" w:cs="Arial" w:eastAsia="Arial" w:hAnsi="Arial"/>
                <w:sz w:val="16"/>
                <w:szCs w:val="16"/>
                <w:color w:val="auto"/>
              </w:rPr>
              <w:t>Numerator: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113,925</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42,551</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109,258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39,762</w:t>
            </w:r>
          </w:p>
        </w:tc>
      </w:tr>
      <w:tr>
        <w:trPr>
          <w:trHeight w:val="223"/>
        </w:trPr>
        <w:tc>
          <w:tcPr>
            <w:tcW w:w="6400" w:type="dxa"/>
            <w:vAlign w:val="bottom"/>
          </w:tcPr>
          <w:p>
            <w:pPr>
              <w:ind w:left="220"/>
              <w:spacing w:after="0"/>
              <w:rPr>
                <w:sz w:val="20"/>
                <w:szCs w:val="20"/>
                <w:color w:val="auto"/>
              </w:rPr>
            </w:pPr>
            <w:r>
              <w:rPr>
                <w:rFonts w:ascii="Arial" w:cs="Arial" w:eastAsia="Arial" w:hAnsi="Arial"/>
                <w:sz w:val="16"/>
                <w:szCs w:val="16"/>
                <w:color w:val="auto"/>
              </w:rPr>
              <w:t>Allocation of undistributed earnings</w:t>
            </w: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81,891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30,534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119,616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44,204</w:t>
            </w:r>
          </w:p>
        </w:tc>
      </w:tr>
      <w:tr>
        <w:trPr>
          <w:trHeight w:val="33"/>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195,816</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73,085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228,874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83,966</w:t>
            </w:r>
          </w:p>
        </w:tc>
      </w:tr>
      <w:tr>
        <w:trPr>
          <w:trHeight w:val="148"/>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7"/>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3"/>
        </w:trPr>
        <w:tc>
          <w:tcPr>
            <w:tcW w:w="6400" w:type="dxa"/>
            <w:vAlign w:val="bottom"/>
          </w:tcPr>
          <w:p>
            <w:pPr>
              <w:ind w:left="220"/>
              <w:spacing w:after="0"/>
              <w:rPr>
                <w:sz w:val="20"/>
                <w:szCs w:val="20"/>
                <w:color w:val="auto"/>
              </w:rPr>
            </w:pPr>
            <w:r>
              <w:rPr>
                <w:rFonts w:ascii="Arial" w:cs="Arial" w:eastAsia="Arial" w:hAnsi="Arial"/>
                <w:sz w:val="16"/>
                <w:szCs w:val="16"/>
                <w:color w:val="auto"/>
              </w:rPr>
              <w:t>Total weighted-average shares—basic</w:t>
            </w: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147,635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60,614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149,025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60,614</w:t>
            </w:r>
          </w:p>
        </w:tc>
      </w:tr>
      <w:tr>
        <w:trPr>
          <w:trHeight w:val="33"/>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29"/>
        </w:trPr>
        <w:tc>
          <w:tcPr>
            <w:tcW w:w="6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53"/>
        </w:trPr>
        <w:tc>
          <w:tcPr>
            <w:tcW w:w="640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1.54</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1.39</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8"/>
        </w:trPr>
        <w:tc>
          <w:tcPr>
            <w:tcW w:w="6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Numerator:</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4"/>
        </w:trPr>
        <w:tc>
          <w:tcPr>
            <w:tcW w:w="640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195,816</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73,085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228,874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83,966</w:t>
            </w: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Reallocation of total earnings as a result of conversion of Class B common stock to Common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stock</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73,085</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83,966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6400" w:type="dxa"/>
            <w:vAlign w:val="bottom"/>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(254)</w:t>
            </w:r>
          </w:p>
        </w:tc>
      </w:tr>
      <w:tr>
        <w:trPr>
          <w:trHeight w:val="33"/>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268,901</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72,962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312,840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83,712</w:t>
            </w:r>
          </w:p>
        </w:tc>
      </w:tr>
      <w:tr>
        <w:trPr>
          <w:trHeight w:val="148"/>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6"/>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4"/>
        </w:trPr>
        <w:tc>
          <w:tcPr>
            <w:tcW w:w="640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147,635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60,614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149,025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60,614</w:t>
            </w: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3"/>
        </w:trPr>
        <w:tc>
          <w:tcPr>
            <w:tcW w:w="6400" w:type="dxa"/>
            <w:vAlign w:val="bottom"/>
          </w:tcPr>
          <w:p>
            <w:pPr>
              <w:ind w:left="340"/>
              <w:spacing w:after="0"/>
              <w:rPr>
                <w:sz w:val="20"/>
                <w:szCs w:val="20"/>
                <w:color w:val="auto"/>
              </w:rPr>
            </w:pPr>
            <w:r>
              <w:rPr>
                <w:rFonts w:ascii="Arial" w:cs="Arial" w:eastAsia="Arial" w:hAnsi="Arial"/>
                <w:sz w:val="16"/>
                <w:szCs w:val="16"/>
                <w:color w:val="auto"/>
              </w:rPr>
              <w:t>Conversion of Class B common stock to Common shares outstanding</w:t>
            </w: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60,614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60,614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Employee stock options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6400" w:type="dxa"/>
            <w:vAlign w:val="bottom"/>
          </w:tcPr>
          <w:p>
            <w:pPr>
              <w:ind w:left="340"/>
              <w:spacing w:after="0"/>
              <w:rPr>
                <w:sz w:val="20"/>
                <w:szCs w:val="20"/>
                <w:color w:val="auto"/>
              </w:rPr>
            </w:pPr>
            <w:r>
              <w:rPr>
                <w:rFonts w:ascii="Arial" w:cs="Arial" w:eastAsia="Arial" w:hAnsi="Arial"/>
                <w:sz w:val="16"/>
                <w:szCs w:val="16"/>
                <w:color w:val="auto"/>
              </w:rPr>
              <w:t>Performance and restricted stock units</w:t>
            </w: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weighted-average shares—diluted</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209,070</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60,614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210,817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60,614</w:t>
            </w:r>
          </w:p>
        </w:tc>
      </w:tr>
      <w:tr>
        <w:trPr>
          <w:trHeight w:val="149"/>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7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1.29</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1.20</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1.48</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earnings per share calculations for the three months ended June 28, 2020 and June 30, 2019 excluded 15 and 47 stock options (in thousands), respectively,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Hershey Company | Q2 2020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ind w:left="36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5"/>
          </w:tcPr>
          <w:p>
            <w:pPr>
              <w:ind w:left="440"/>
              <w:spacing w:after="0"/>
              <w:rPr>
                <w:sz w:val="20"/>
                <w:szCs w:val="20"/>
                <w:color w:val="auto"/>
              </w:rPr>
            </w:pPr>
            <w:r>
              <w:rPr>
                <w:rFonts w:ascii="Arial" w:cs="Arial" w:eastAsia="Arial" w:hAnsi="Arial"/>
                <w:sz w:val="16"/>
                <w:szCs w:val="16"/>
                <w:b w:val="1"/>
                <w:bCs w:val="1"/>
                <w:color w:val="auto"/>
              </w:rPr>
              <w:t>June 28, 2020</w:t>
            </w:r>
          </w:p>
        </w:tc>
        <w:tc>
          <w:tcPr>
            <w:tcW w:w="260" w:type="dxa"/>
            <w:vAlign w:val="bottom"/>
          </w:tcPr>
          <w:p>
            <w:pPr>
              <w:spacing w:after="0"/>
              <w:rPr>
                <w:sz w:val="18"/>
                <w:szCs w:val="18"/>
                <w:color w:val="auto"/>
              </w:rPr>
            </w:pPr>
          </w:p>
        </w:tc>
        <w:tc>
          <w:tcPr>
            <w:tcW w:w="21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Class B</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Class B</w:t>
            </w:r>
          </w:p>
        </w:tc>
      </w:tr>
      <w:tr>
        <w:trPr>
          <w:trHeight w:val="210"/>
        </w:trPr>
        <w:tc>
          <w:tcPr>
            <w:tcW w:w="64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Common Stock</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Common Stock</w:t>
            </w: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Common Stock</w:t>
            </w:r>
          </w:p>
        </w:tc>
      </w:tr>
      <w:tr>
        <w:trPr>
          <w:trHeight w:val="33"/>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4"/>
        </w:trPr>
        <w:tc>
          <w:tcPr>
            <w:tcW w:w="6400" w:type="dxa"/>
            <w:vAlign w:val="bottom"/>
          </w:tcPr>
          <w:p>
            <w:pPr>
              <w:ind w:left="12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229,177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85,102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215,958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79,525</w:t>
            </w:r>
          </w:p>
        </w:tc>
      </w:tr>
      <w:tr>
        <w:trPr>
          <w:trHeight w:val="223"/>
        </w:trPr>
        <w:tc>
          <w:tcPr>
            <w:tcW w:w="6400" w:type="dxa"/>
            <w:vAlign w:val="bottom"/>
          </w:tcPr>
          <w:p>
            <w:pPr>
              <w:ind w:left="220"/>
              <w:spacing w:after="0"/>
              <w:rPr>
                <w:sz w:val="20"/>
                <w:szCs w:val="20"/>
                <w:color w:val="auto"/>
              </w:rPr>
            </w:pPr>
            <w:r>
              <w:rPr>
                <w:rFonts w:ascii="Arial" w:cs="Arial" w:eastAsia="Arial" w:hAnsi="Arial"/>
                <w:sz w:val="16"/>
                <w:szCs w:val="16"/>
                <w:color w:val="auto"/>
              </w:rPr>
              <w:t>Allocation of undistributed earnings</w:t>
            </w: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164,541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61,218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234,836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86,879</w:t>
            </w:r>
          </w:p>
        </w:tc>
      </w:tr>
      <w:tr>
        <w:trPr>
          <w:trHeight w:val="33"/>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393,718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146,320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450,794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166,404</w:t>
            </w:r>
          </w:p>
        </w:tc>
      </w:tr>
      <w:tr>
        <w:trPr>
          <w:trHeight w:val="149"/>
        </w:trPr>
        <w:tc>
          <w:tcPr>
            <w:tcW w:w="6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36"/>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Denominator (shares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6400" w:type="dxa"/>
            <w:vAlign w:val="bottom"/>
          </w:tcPr>
          <w:p>
            <w:pPr>
              <w:ind w:left="220"/>
              <w:spacing w:after="0"/>
              <w:rPr>
                <w:sz w:val="20"/>
                <w:szCs w:val="20"/>
                <w:color w:val="auto"/>
              </w:rPr>
            </w:pPr>
            <w:r>
              <w:rPr>
                <w:rFonts w:ascii="Arial" w:cs="Arial" w:eastAsia="Arial" w:hAnsi="Arial"/>
                <w:sz w:val="16"/>
                <w:szCs w:val="16"/>
                <w:color w:val="auto"/>
              </w:rPr>
              <w:t>Total weighted-average shares—basic</w:t>
            </w: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147,954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148,864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60,614</w:t>
            </w:r>
          </w:p>
        </w:tc>
      </w:tr>
      <w:tr>
        <w:trPr>
          <w:trHeight w:val="33"/>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28"/>
        </w:trPr>
        <w:tc>
          <w:tcPr>
            <w:tcW w:w="6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253"/>
        </w:trPr>
        <w:tc>
          <w:tcPr>
            <w:tcW w:w="640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9"/>
        </w:trPr>
        <w:tc>
          <w:tcPr>
            <w:tcW w:w="6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Numerator:</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640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393,718</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146,320</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450,794</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166,404</w:t>
            </w:r>
          </w:p>
        </w:tc>
      </w:tr>
      <w:tr>
        <w:trPr>
          <w:trHeight w:val="33"/>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Reallocation of total earnings as a result of conversion of Class B common stock to Common</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stock</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146,320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166,404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6400" w:type="dxa"/>
            <w:vAlign w:val="bottom"/>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2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(462)</w:t>
            </w:r>
          </w:p>
        </w:tc>
      </w:tr>
      <w:tr>
        <w:trPr>
          <w:trHeight w:val="33"/>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540,038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146,011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617,198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165,942</w:t>
            </w:r>
          </w:p>
        </w:tc>
      </w:tr>
      <w:tr>
        <w:trPr>
          <w:trHeight w:val="148"/>
        </w:trPr>
        <w:tc>
          <w:tcPr>
            <w:tcW w:w="6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37"/>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Denominator (shares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3"/>
        </w:trPr>
        <w:tc>
          <w:tcPr>
            <w:tcW w:w="640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147,954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148,864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60,614</w:t>
            </w:r>
          </w:p>
        </w:tc>
      </w:tr>
      <w:tr>
        <w:trPr>
          <w:trHeight w:val="33"/>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3"/>
        </w:trPr>
        <w:tc>
          <w:tcPr>
            <w:tcW w:w="6400" w:type="dxa"/>
            <w:vAlign w:val="bottom"/>
          </w:tcPr>
          <w:p>
            <w:pPr>
              <w:ind w:left="340"/>
              <w:spacing w:after="0"/>
              <w:rPr>
                <w:sz w:val="20"/>
                <w:szCs w:val="20"/>
                <w:color w:val="auto"/>
              </w:rPr>
            </w:pPr>
            <w:r>
              <w:rPr>
                <w:rFonts w:ascii="Arial" w:cs="Arial" w:eastAsia="Arial" w:hAnsi="Arial"/>
                <w:sz w:val="16"/>
                <w:szCs w:val="16"/>
                <w:color w:val="auto"/>
              </w:rPr>
              <w:t>Conversion of Class B common stock to Common shares outstanding</w:t>
            </w: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Employee stock options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6400" w:type="dxa"/>
            <w:vAlign w:val="bottom"/>
          </w:tcPr>
          <w:p>
            <w:pPr>
              <w:ind w:left="340"/>
              <w:spacing w:after="0"/>
              <w:rPr>
                <w:sz w:val="20"/>
                <w:szCs w:val="20"/>
                <w:color w:val="auto"/>
              </w:rPr>
            </w:pPr>
            <w:r>
              <w:rPr>
                <w:rFonts w:ascii="Arial" w:cs="Arial" w:eastAsia="Arial" w:hAnsi="Arial"/>
                <w:sz w:val="16"/>
                <w:szCs w:val="16"/>
                <w:color w:val="auto"/>
              </w:rPr>
              <w:t>Performance and restricted stock units</w:t>
            </w:r>
          </w:p>
        </w:tc>
        <w:tc>
          <w:tcPr>
            <w:tcW w:w="28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weighted-average shares—diluted</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209,596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60,614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210,568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60,614</w:t>
            </w:r>
          </w:p>
        </w:tc>
      </w:tr>
      <w:tr>
        <w:trPr>
          <w:trHeight w:val="148"/>
        </w:trPr>
        <w:tc>
          <w:tcPr>
            <w:tcW w:w="6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7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earnings per share calculations for the six months ended June 28, 2020 and June 30, 2019 excluded 15 and 1,476 stock options (in thousands), respectively,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EXPENSE, NET</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9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8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June 30, 2019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Write-down of equity investments in partnership qualifying for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7,447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8,633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18,550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9,785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historic tax credits (see </w:t>
            </w:r>
            <w:hyperlink w:anchor="page22">
              <w:r>
                <w:rPr>
                  <w:rFonts w:ascii="Arial" w:cs="Arial" w:eastAsia="Arial" w:hAnsi="Arial"/>
                  <w:sz w:val="18"/>
                  <w:szCs w:val="18"/>
                  <w:u w:val="single" w:color="auto"/>
                  <w:color w:val="0000FF"/>
                </w:rPr>
                <w:t>Note 10</w:t>
              </w:r>
            </w:hyperlink>
            <w:r>
              <w:rPr>
                <w:rFonts w:ascii="Arial" w:cs="Arial" w:eastAsia="Arial" w:hAnsi="Arial"/>
                <w:sz w:val="18"/>
                <w:szCs w:val="18"/>
                <w:color w:val="auto"/>
              </w:rPr>
              <w:t>)</w:t>
            </w: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line="176" w:lineRule="exact"/>
              <w:rPr>
                <w:sz w:val="20"/>
                <w:szCs w:val="20"/>
                <w:color w:val="auto"/>
              </w:rPr>
            </w:pPr>
            <w:r>
              <w:rPr>
                <w:rFonts w:ascii="Arial" w:cs="Arial" w:eastAsia="Arial" w:hAnsi="Arial"/>
                <w:sz w:val="18"/>
                <w:szCs w:val="18"/>
                <w:color w:val="auto"/>
                <w:w w:val="92"/>
              </w:rPr>
              <w:t>Non-service cost components of net periodic benefit cost relating</w:t>
            </w:r>
          </w:p>
        </w:tc>
        <w:tc>
          <w:tcPr>
            <w:tcW w:w="180" w:type="dxa"/>
            <w:vAlign w:val="bottom"/>
          </w:tcPr>
          <w:p>
            <w:pPr>
              <w:spacing w:after="0"/>
              <w:rPr>
                <w:sz w:val="15"/>
                <w:szCs w:val="15"/>
                <w:color w:val="auto"/>
              </w:rPr>
            </w:pP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rFonts w:ascii="Arial" w:cs="Arial" w:eastAsia="Arial" w:hAnsi="Arial"/>
                <w:sz w:val="18"/>
                <w:szCs w:val="18"/>
                <w:color w:val="auto"/>
                <w:w w:val="93"/>
              </w:rPr>
            </w:pPr>
            <w:r>
              <w:rPr>
                <w:rFonts w:ascii="Arial" w:cs="Arial" w:eastAsia="Arial" w:hAnsi="Arial"/>
                <w:sz w:val="18"/>
                <w:szCs w:val="18"/>
                <w:color w:val="auto"/>
                <w:w w:val="93"/>
              </w:rPr>
              <w:t xml:space="preserve">to pension and other post-retirement benefit plans (see </w:t>
            </w:r>
            <w:hyperlink w:anchor="page23">
              <w:r>
                <w:rPr>
                  <w:rFonts w:ascii="Arial" w:cs="Arial" w:eastAsia="Arial" w:hAnsi="Arial"/>
                  <w:sz w:val="18"/>
                  <w:szCs w:val="18"/>
                  <w:u w:val="single" w:color="auto"/>
                  <w:color w:val="0000FF"/>
                  <w:w w:val="93"/>
                </w:rPr>
                <w:t>Note 11</w:t>
              </w:r>
            </w:hyperlink>
            <w:r>
              <w:rPr>
                <w:rFonts w:ascii="Arial" w:cs="Arial" w:eastAsia="Arial" w:hAnsi="Arial"/>
                <w:sz w:val="18"/>
                <w:szCs w:val="18"/>
                <w:color w:val="auto"/>
                <w:w w:val="93"/>
              </w:rPr>
              <w:t>)</w:t>
            </w: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6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13,125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22,750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18,602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Q2 2020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jc w:val="center"/>
        <w:ind w:right="-9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BALANCE SHEET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 2020</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3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Raw materials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347,999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271,125</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Goods in process</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132,235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98,842</w:t>
            </w:r>
          </w:p>
        </w:tc>
        <w:tc>
          <w:tcPr>
            <w:tcW w:w="0" w:type="dxa"/>
            <w:vAlign w:val="bottom"/>
          </w:tcPr>
          <w:p>
            <w:pPr>
              <w:spacing w:after="0"/>
              <w:rPr>
                <w:sz w:val="1"/>
                <w:szCs w:val="1"/>
                <w:color w:val="auto"/>
              </w:rPr>
            </w:pPr>
          </w:p>
        </w:tc>
      </w:tr>
      <w:tr>
        <w:trPr>
          <w:trHeight w:val="224"/>
        </w:trPr>
        <w:tc>
          <w:tcPr>
            <w:tcW w:w="7220" w:type="dxa"/>
            <w:vAlign w:val="bottom"/>
          </w:tcPr>
          <w:p>
            <w:pPr>
              <w:ind w:left="120"/>
              <w:spacing w:after="0"/>
              <w:rPr>
                <w:sz w:val="20"/>
                <w:szCs w:val="20"/>
                <w:color w:val="auto"/>
              </w:rPr>
            </w:pPr>
            <w:r>
              <w:rPr>
                <w:rFonts w:ascii="Arial" w:cs="Arial" w:eastAsia="Arial" w:hAnsi="Arial"/>
                <w:sz w:val="16"/>
                <w:szCs w:val="16"/>
                <w:color w:val="auto"/>
              </w:rPr>
              <w:t>Finished goods</w:t>
            </w:r>
          </w:p>
        </w:tc>
        <w:tc>
          <w:tcPr>
            <w:tcW w:w="300" w:type="dxa"/>
            <w:vAlign w:val="bottom"/>
          </w:tcPr>
          <w:p>
            <w:pPr>
              <w:spacing w:after="0"/>
              <w:rPr>
                <w:sz w:val="19"/>
                <w:szCs w:val="19"/>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694,351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614,698</w:t>
            </w:r>
          </w:p>
        </w:tc>
        <w:tc>
          <w:tcPr>
            <w:tcW w:w="0" w:type="dxa"/>
            <w:vAlign w:val="bottom"/>
          </w:tcPr>
          <w:p>
            <w:pPr>
              <w:spacing w:after="0"/>
              <w:rPr>
                <w:sz w:val="1"/>
                <w:szCs w:val="1"/>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 at FIFO</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1,174,585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984,665</w:t>
            </w:r>
          </w:p>
        </w:tc>
        <w:tc>
          <w:tcPr>
            <w:tcW w:w="0" w:type="dxa"/>
            <w:vAlign w:val="bottom"/>
          </w:tcPr>
          <w:p>
            <w:pPr>
              <w:spacing w:after="0"/>
              <w:rPr>
                <w:sz w:val="1"/>
                <w:szCs w:val="1"/>
                <w:color w:val="auto"/>
              </w:rPr>
            </w:pPr>
          </w:p>
        </w:tc>
      </w:tr>
      <w:tr>
        <w:trPr>
          <w:trHeight w:val="224"/>
        </w:trPr>
        <w:tc>
          <w:tcPr>
            <w:tcW w:w="7220" w:type="dxa"/>
            <w:vAlign w:val="bottom"/>
          </w:tcPr>
          <w:p>
            <w:pPr>
              <w:ind w:left="120"/>
              <w:spacing w:after="0"/>
              <w:rPr>
                <w:sz w:val="20"/>
                <w:szCs w:val="20"/>
                <w:color w:val="auto"/>
              </w:rPr>
            </w:pPr>
            <w:r>
              <w:rPr>
                <w:rFonts w:ascii="Arial" w:cs="Arial" w:eastAsia="Arial" w:hAnsi="Arial"/>
                <w:sz w:val="16"/>
                <w:szCs w:val="16"/>
                <w:color w:val="auto"/>
              </w:rPr>
              <w:t>Adjustment to LIFO</w:t>
            </w:r>
          </w:p>
        </w:tc>
        <w:tc>
          <w:tcPr>
            <w:tcW w:w="30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(175,205)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(169,414)</w:t>
            </w:r>
          </w:p>
        </w:tc>
        <w:tc>
          <w:tcPr>
            <w:tcW w:w="0" w:type="dxa"/>
            <w:vAlign w:val="bottom"/>
          </w:tcPr>
          <w:p>
            <w:pPr>
              <w:spacing w:after="0"/>
              <w:rPr>
                <w:sz w:val="1"/>
                <w:szCs w:val="1"/>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999,380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815,251</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7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Prepaid expenses and other:</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22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40,816</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84,058</w:t>
            </w:r>
          </w:p>
        </w:tc>
        <w:tc>
          <w:tcPr>
            <w:tcW w:w="0" w:type="dxa"/>
            <w:vAlign w:val="bottom"/>
          </w:tcPr>
          <w:p>
            <w:pPr>
              <w:spacing w:after="0"/>
              <w:rPr>
                <w:sz w:val="1"/>
                <w:szCs w:val="1"/>
                <w:color w:val="auto"/>
              </w:rPr>
            </w:pPr>
          </w:p>
        </w:tc>
      </w:tr>
      <w:tr>
        <w:trPr>
          <w:trHeight w:val="259"/>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157,019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156,022</w:t>
            </w:r>
          </w:p>
        </w:tc>
        <w:tc>
          <w:tcPr>
            <w:tcW w:w="0" w:type="dxa"/>
            <w:vAlign w:val="bottom"/>
          </w:tcPr>
          <w:p>
            <w:pPr>
              <w:spacing w:after="0"/>
              <w:rPr>
                <w:sz w:val="1"/>
                <w:szCs w:val="1"/>
                <w:color w:val="auto"/>
              </w:rPr>
            </w:pPr>
          </w:p>
        </w:tc>
      </w:tr>
      <w:tr>
        <w:trPr>
          <w:trHeight w:val="217"/>
        </w:trPr>
        <w:tc>
          <w:tcPr>
            <w:tcW w:w="7220" w:type="dxa"/>
            <w:vAlign w:val="bottom"/>
            <w:vMerge w:val="restart"/>
          </w:tcPr>
          <w:p>
            <w:pPr>
              <w:ind w:left="20"/>
              <w:spacing w:after="0"/>
              <w:rPr>
                <w:sz w:val="20"/>
                <w:szCs w:val="20"/>
                <w:color w:val="auto"/>
              </w:rPr>
            </w:pPr>
            <w:r>
              <w:rPr>
                <w:rFonts w:ascii="Arial" w:cs="Arial" w:eastAsia="Arial" w:hAnsi="Arial"/>
                <w:sz w:val="16"/>
                <w:szCs w:val="16"/>
                <w:color w:val="auto"/>
              </w:rPr>
              <w:t>Total prepaid expenses and other</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197,835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240,080</w:t>
            </w:r>
          </w:p>
        </w:tc>
        <w:tc>
          <w:tcPr>
            <w:tcW w:w="0" w:type="dxa"/>
            <w:vAlign w:val="bottom"/>
          </w:tcPr>
          <w:p>
            <w:pPr>
              <w:spacing w:after="0"/>
              <w:rPr>
                <w:sz w:val="1"/>
                <w:szCs w:val="1"/>
                <w:color w:val="auto"/>
              </w:rPr>
            </w:pPr>
          </w:p>
        </w:tc>
      </w:tr>
      <w:tr>
        <w:trPr>
          <w:trHeight w:val="33"/>
        </w:trPr>
        <w:tc>
          <w:tcPr>
            <w:tcW w:w="722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Land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106,745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105,627</w:t>
            </w: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Buildings</w:t>
            </w:r>
          </w:p>
        </w:tc>
        <w:tc>
          <w:tcPr>
            <w:tcW w:w="300" w:type="dxa"/>
            <w:vAlign w:val="bottom"/>
          </w:tcPr>
          <w:p>
            <w:pPr>
              <w:spacing w:after="0"/>
              <w:rPr>
                <w:sz w:val="19"/>
                <w:szCs w:val="19"/>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1,300,667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1,298,985</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Machinery and equipment</w:t>
            </w:r>
          </w:p>
        </w:tc>
        <w:tc>
          <w:tcPr>
            <w:tcW w:w="3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3,143,217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3,120,003</w:t>
            </w:r>
          </w:p>
        </w:tc>
        <w:tc>
          <w:tcPr>
            <w:tcW w:w="0" w:type="dxa"/>
            <w:vAlign w:val="bottom"/>
          </w:tcPr>
          <w:p>
            <w:pPr>
              <w:spacing w:after="0"/>
              <w:rPr>
                <w:sz w:val="1"/>
                <w:szCs w:val="1"/>
                <w:color w:val="auto"/>
              </w:rPr>
            </w:pPr>
          </w:p>
        </w:tc>
      </w:tr>
      <w:tr>
        <w:trPr>
          <w:trHeight w:val="224"/>
        </w:trPr>
        <w:tc>
          <w:tcPr>
            <w:tcW w:w="7220" w:type="dxa"/>
            <w:vAlign w:val="bottom"/>
          </w:tcPr>
          <w:p>
            <w:pPr>
              <w:ind w:left="120"/>
              <w:spacing w:after="0"/>
              <w:rPr>
                <w:sz w:val="20"/>
                <w:szCs w:val="20"/>
                <w:color w:val="auto"/>
              </w:rPr>
            </w:pPr>
            <w:r>
              <w:rPr>
                <w:rFonts w:ascii="Arial" w:cs="Arial" w:eastAsia="Arial" w:hAnsi="Arial"/>
                <w:sz w:val="16"/>
                <w:szCs w:val="16"/>
                <w:color w:val="auto"/>
              </w:rPr>
              <w:t>Construction in progress</w:t>
            </w:r>
          </w:p>
        </w:tc>
        <w:tc>
          <w:tcPr>
            <w:tcW w:w="300" w:type="dxa"/>
            <w:vAlign w:val="bottom"/>
          </w:tcPr>
          <w:p>
            <w:pPr>
              <w:spacing w:after="0"/>
              <w:rPr>
                <w:sz w:val="19"/>
                <w:szCs w:val="19"/>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254,041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209,788</w:t>
            </w:r>
          </w:p>
        </w:tc>
        <w:tc>
          <w:tcPr>
            <w:tcW w:w="0" w:type="dxa"/>
            <w:vAlign w:val="bottom"/>
          </w:tcPr>
          <w:p>
            <w:pPr>
              <w:spacing w:after="0"/>
              <w:rPr>
                <w:sz w:val="1"/>
                <w:szCs w:val="1"/>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4,804,670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4,734,403</w:t>
            </w: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Accumulated depreciation</w:t>
            </w:r>
          </w:p>
        </w:tc>
        <w:tc>
          <w:tcPr>
            <w:tcW w:w="30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(2,639,324)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(2,581,264)</w:t>
            </w:r>
          </w:p>
        </w:tc>
        <w:tc>
          <w:tcPr>
            <w:tcW w:w="0" w:type="dxa"/>
            <w:vAlign w:val="bottom"/>
          </w:tcPr>
          <w:p>
            <w:pPr>
              <w:spacing w:after="0"/>
              <w:rPr>
                <w:sz w:val="1"/>
                <w:szCs w:val="1"/>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2,165,346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2,153,139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220" w:type="dxa"/>
            <w:vAlign w:val="bottom"/>
          </w:tcPr>
          <w:p>
            <w:pPr>
              <w:ind w:left="140"/>
              <w:spacing w:after="0"/>
              <w:rPr>
                <w:sz w:val="20"/>
                <w:szCs w:val="20"/>
                <w:color w:val="auto"/>
              </w:rPr>
            </w:pPr>
            <w:r>
              <w:rPr>
                <w:rFonts w:ascii="Arial" w:cs="Arial" w:eastAsia="Arial" w:hAnsi="Arial"/>
                <w:sz w:val="16"/>
                <w:szCs w:val="16"/>
                <w:color w:val="auto"/>
              </w:rPr>
              <w:t>Capitalized software, net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168,187</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153,842</w:t>
            </w:r>
          </w:p>
        </w:tc>
        <w:tc>
          <w:tcPr>
            <w:tcW w:w="0" w:type="dxa"/>
            <w:vAlign w:val="bottom"/>
          </w:tcPr>
          <w:p>
            <w:pPr>
              <w:spacing w:after="0"/>
              <w:rPr>
                <w:sz w:val="1"/>
                <w:szCs w:val="1"/>
                <w:color w:val="auto"/>
              </w:rPr>
            </w:pPr>
          </w:p>
        </w:tc>
      </w:tr>
      <w:tr>
        <w:trPr>
          <w:trHeight w:val="25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ROU assets</w:t>
            </w:r>
          </w:p>
        </w:tc>
        <w:tc>
          <w:tcPr>
            <w:tcW w:w="3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222,854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220,678</w:t>
            </w:r>
          </w:p>
        </w:tc>
        <w:tc>
          <w:tcPr>
            <w:tcW w:w="0" w:type="dxa"/>
            <w:vAlign w:val="bottom"/>
          </w:tcPr>
          <w:p>
            <w:pPr>
              <w:spacing w:after="0"/>
              <w:rPr>
                <w:sz w:val="1"/>
                <w:szCs w:val="1"/>
                <w:color w:val="auto"/>
              </w:rPr>
            </w:pPr>
          </w:p>
        </w:tc>
      </w:tr>
      <w:tr>
        <w:trPr>
          <w:trHeight w:val="253"/>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133,646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137,480</w:t>
            </w:r>
          </w:p>
        </w:tc>
        <w:tc>
          <w:tcPr>
            <w:tcW w:w="0" w:type="dxa"/>
            <w:vAlign w:val="bottom"/>
          </w:tcPr>
          <w:p>
            <w:pPr>
              <w:spacing w:after="0"/>
              <w:rPr>
                <w:sz w:val="1"/>
                <w:szCs w:val="1"/>
                <w:color w:val="auto"/>
              </w:rPr>
            </w:pPr>
          </w:p>
        </w:tc>
      </w:tr>
      <w:tr>
        <w:trPr>
          <w:trHeight w:val="27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524,687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512,000</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7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Accrued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220" w:type="dxa"/>
            <w:vAlign w:val="bottom"/>
          </w:tcPr>
          <w:p>
            <w:pPr>
              <w:ind w:left="140"/>
              <w:spacing w:after="0"/>
              <w:rPr>
                <w:sz w:val="20"/>
                <w:szCs w:val="20"/>
                <w:color w:val="auto"/>
              </w:rPr>
            </w:pPr>
            <w:r>
              <w:rPr>
                <w:rFonts w:ascii="Arial" w:cs="Arial" w:eastAsia="Arial" w:hAnsi="Arial"/>
                <w:sz w:val="16"/>
                <w:szCs w:val="16"/>
                <w:color w:val="auto"/>
              </w:rPr>
              <w:t>Payroll, compensation and benefits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160,864</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230,518</w:t>
            </w:r>
          </w:p>
        </w:tc>
        <w:tc>
          <w:tcPr>
            <w:tcW w:w="0" w:type="dxa"/>
            <w:vAlign w:val="bottom"/>
          </w:tcPr>
          <w:p>
            <w:pPr>
              <w:spacing w:after="0"/>
              <w:rPr>
                <w:sz w:val="1"/>
                <w:szCs w:val="1"/>
                <w:color w:val="auto"/>
              </w:rPr>
            </w:pPr>
          </w:p>
        </w:tc>
      </w:tr>
      <w:tr>
        <w:trPr>
          <w:trHeight w:val="240"/>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Advertising, promotion and product allowances</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272,984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279,440</w:t>
            </w: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9"/>
                <w:szCs w:val="19"/>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31,234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29,209</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178,856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163,205</w:t>
            </w:r>
          </w:p>
        </w:tc>
        <w:tc>
          <w:tcPr>
            <w:tcW w:w="0" w:type="dxa"/>
            <w:vAlign w:val="bottom"/>
          </w:tcPr>
          <w:p>
            <w:pPr>
              <w:spacing w:after="0"/>
              <w:rPr>
                <w:sz w:val="1"/>
                <w:szCs w:val="1"/>
                <w:color w:val="auto"/>
              </w:rPr>
            </w:pPr>
          </w:p>
        </w:tc>
      </w:tr>
      <w:tr>
        <w:trPr>
          <w:trHeight w:val="217"/>
        </w:trPr>
        <w:tc>
          <w:tcPr>
            <w:tcW w:w="7220" w:type="dxa"/>
            <w:vAlign w:val="bottom"/>
            <w:vMerge w:val="restart"/>
          </w:tcPr>
          <w:p>
            <w:pPr>
              <w:ind w:left="20"/>
              <w:spacing w:after="0"/>
              <w:rPr>
                <w:sz w:val="20"/>
                <w:szCs w:val="20"/>
                <w:color w:val="auto"/>
              </w:rPr>
            </w:pPr>
            <w:r>
              <w:rPr>
                <w:rFonts w:ascii="Arial" w:cs="Arial" w:eastAsia="Arial" w:hAnsi="Arial"/>
                <w:sz w:val="16"/>
                <w:szCs w:val="16"/>
                <w:color w:val="auto"/>
              </w:rPr>
              <w:t>Total accrued liabilities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643,938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702,372</w:t>
            </w:r>
          </w:p>
        </w:tc>
        <w:tc>
          <w:tcPr>
            <w:tcW w:w="0" w:type="dxa"/>
            <w:vAlign w:val="bottom"/>
          </w:tcPr>
          <w:p>
            <w:pPr>
              <w:spacing w:after="0"/>
              <w:rPr>
                <w:sz w:val="1"/>
                <w:szCs w:val="1"/>
                <w:color w:val="auto"/>
              </w:rPr>
            </w:pPr>
          </w:p>
        </w:tc>
      </w:tr>
      <w:tr>
        <w:trPr>
          <w:trHeight w:val="33"/>
        </w:trPr>
        <w:tc>
          <w:tcPr>
            <w:tcW w:w="722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Post-retirement benefits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206,382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211,206</w:t>
            </w:r>
          </w:p>
        </w:tc>
        <w:tc>
          <w:tcPr>
            <w:tcW w:w="0" w:type="dxa"/>
            <w:vAlign w:val="bottom"/>
          </w:tcPr>
          <w:p>
            <w:pPr>
              <w:spacing w:after="0"/>
              <w:rPr>
                <w:sz w:val="1"/>
                <w:szCs w:val="1"/>
                <w:color w:val="auto"/>
              </w:rPr>
            </w:pPr>
          </w:p>
        </w:tc>
      </w:tr>
      <w:tr>
        <w:trPr>
          <w:trHeight w:val="253"/>
        </w:trPr>
        <w:tc>
          <w:tcPr>
            <w:tcW w:w="7220" w:type="dxa"/>
            <w:vAlign w:val="bottom"/>
          </w:tcPr>
          <w:p>
            <w:pPr>
              <w:ind w:left="140"/>
              <w:spacing w:after="0"/>
              <w:rPr>
                <w:sz w:val="20"/>
                <w:szCs w:val="20"/>
                <w:color w:val="auto"/>
              </w:rPr>
            </w:pPr>
            <w:r>
              <w:rPr>
                <w:rFonts w:ascii="Arial" w:cs="Arial" w:eastAsia="Arial" w:hAnsi="Arial"/>
                <w:sz w:val="16"/>
                <w:szCs w:val="16"/>
                <w:color w:val="auto"/>
              </w:rPr>
              <w:t>Pension benefits liabilities</w:t>
            </w:r>
          </w:p>
        </w:tc>
        <w:tc>
          <w:tcPr>
            <w:tcW w:w="300" w:type="dxa"/>
            <w:vAlign w:val="bottom"/>
          </w:tcPr>
          <w:p>
            <w:pPr>
              <w:spacing w:after="0"/>
              <w:rPr>
                <w:sz w:val="22"/>
                <w:szCs w:val="22"/>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60,579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58,773</w:t>
            </w:r>
          </w:p>
        </w:tc>
        <w:tc>
          <w:tcPr>
            <w:tcW w:w="0" w:type="dxa"/>
            <w:vAlign w:val="bottom"/>
          </w:tcPr>
          <w:p>
            <w:pPr>
              <w:spacing w:after="0"/>
              <w:rPr>
                <w:sz w:val="1"/>
                <w:szCs w:val="1"/>
                <w:color w:val="auto"/>
              </w:rPr>
            </w:pPr>
          </w:p>
        </w:tc>
      </w:tr>
      <w:tr>
        <w:trPr>
          <w:trHeight w:val="240"/>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184,626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184,163</w:t>
            </w: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9"/>
                <w:szCs w:val="19"/>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192,260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201,635</w:t>
            </w:r>
          </w:p>
        </w:tc>
        <w:tc>
          <w:tcPr>
            <w:tcW w:w="0" w:type="dxa"/>
            <w:vAlign w:val="bottom"/>
          </w:tcPr>
          <w:p>
            <w:pPr>
              <w:spacing w:after="0"/>
              <w:rPr>
                <w:sz w:val="1"/>
                <w:szCs w:val="1"/>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long-term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643,847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655,777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(131,922)</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(83,704)</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benefit plans, net of tax</w:t>
            </w:r>
          </w:p>
        </w:tc>
        <w:tc>
          <w:tcPr>
            <w:tcW w:w="3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(191,352)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(189,187)</w:t>
            </w: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Cash flow hedges, net of tax</w:t>
            </w:r>
          </w:p>
        </w:tc>
        <w:tc>
          <w:tcPr>
            <w:tcW w:w="30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(43,919)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(51,075)</w:t>
            </w:r>
          </w:p>
        </w:tc>
        <w:tc>
          <w:tcPr>
            <w:tcW w:w="0" w:type="dxa"/>
            <w:vAlign w:val="bottom"/>
          </w:tcPr>
          <w:p>
            <w:pPr>
              <w:spacing w:after="0"/>
              <w:rPr>
                <w:sz w:val="1"/>
                <w:szCs w:val="1"/>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(367,193)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(323,966)</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21" w:right="439" w:bottom="9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The Hershey Company | Q2 2020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903" w:gutter="0" w:footer="0" w:header="0"/>
          <w:type w:val="continuous"/>
        </w:sectPr>
      </w:pPr>
    </w:p>
    <w:bookmarkStart w:id="34" w:name="page35"/>
    <w:bookmarkEnd w:id="34"/>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2019 Annual Report on Form 10-K, our Quarterly Report on Form 10-Q for the quarterly period ended March 29, 2020, and our Current Report on Form 8-K filed May 27,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concerning the key risks to achieving future performance goals.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Overview</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Trends Affecting Our Business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Consolidated Results of Operations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Segment Results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Liquidity and Capital Resources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Safe Harbor Statement</w:t>
        </w:r>
      </w:hyperlink>
    </w:p>
    <w:p>
      <w:pPr>
        <w:spacing w:after="0" w:line="24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rFonts w:ascii="Arial" w:cs="Arial" w:eastAsia="Arial" w:hAnsi="Arial"/>
          <w:sz w:val="18"/>
          <w:szCs w:val="18"/>
          <w:color w:val="auto"/>
        </w:rPr>
      </w:pPr>
    </w:p>
    <w:p>
      <w:pPr>
        <w:jc w:val="both"/>
        <w:ind w:right="180"/>
        <w:spacing w:after="0" w:line="311"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and a global leader in chocolate and non-chocolate confectionery. We market, sell and distribute our products under more than 80 brand names in approximately 85 countries worldwide.</w:t>
      </w:r>
    </w:p>
    <w:p>
      <w:pPr>
        <w:spacing w:after="0" w:line="95" w:lineRule="exact"/>
        <w:rPr>
          <w:rFonts w:ascii="Arial" w:cs="Arial" w:eastAsia="Arial" w:hAnsi="Arial"/>
          <w:sz w:val="18"/>
          <w:szCs w:val="18"/>
          <w:color w:val="auto"/>
        </w:rPr>
      </w:pPr>
    </w:p>
    <w:p>
      <w:pPr>
        <w:ind w:right="40"/>
        <w:spacing w:after="0" w:line="293" w:lineRule="auto"/>
        <w:rPr>
          <w:sz w:val="20"/>
          <w:szCs w:val="20"/>
          <w:color w:val="auto"/>
        </w:rPr>
      </w:pPr>
      <w:r>
        <w:rPr>
          <w:rFonts w:ascii="Arial" w:cs="Arial" w:eastAsia="Arial" w:hAnsi="Arial"/>
          <w:sz w:val="16"/>
          <w:szCs w:val="16"/>
          <w:color w:val="auto"/>
        </w:rPr>
        <w:t xml:space="preserve">We report our operations through two segments: North America and International and Other. The majority of our products are confectionery or confectionery-based and include chocolate and non-chocolate confectionery products, gum and mint refreshment products, spreads, snack bites and mixes, as well as pantry items such as baking ingredients, toppings and sundae syrups. The confectionery and confectionery-based portfolio is predominantly sold under the renowned brands of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w:t>
      </w:r>
      <w:r>
        <w:rPr>
          <w:rFonts w:ascii="Arial" w:cs="Arial" w:eastAsia="Arial" w:hAnsi="Arial"/>
          <w:sz w:val="16"/>
          <w:szCs w:val="16"/>
          <w:i w:val="1"/>
          <w:iCs w:val="1"/>
          <w:color w:val="auto"/>
        </w:rPr>
        <w:t>Reese's</w:t>
      </w:r>
      <w:r>
        <w:rPr>
          <w:rFonts w:ascii="Arial" w:cs="Arial" w:eastAsia="Arial" w:hAnsi="Arial"/>
          <w:sz w:val="16"/>
          <w:szCs w:val="16"/>
          <w:color w:val="auto"/>
        </w:rPr>
        <w:t xml:space="preserve"> and </w:t>
      </w:r>
      <w:r>
        <w:rPr>
          <w:rFonts w:ascii="Arial" w:cs="Arial" w:eastAsia="Arial" w:hAnsi="Arial"/>
          <w:sz w:val="16"/>
          <w:szCs w:val="16"/>
          <w:i w:val="1"/>
          <w:iCs w:val="1"/>
          <w:color w:val="auto"/>
        </w:rPr>
        <w:t>Kisses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Kit Kat®, Jolly Rancher, Ice Breakers, Twizzlers, Heath, Payday, Cadbury</w:t>
      </w:r>
      <w:r>
        <w:rPr>
          <w:rFonts w:ascii="Arial" w:cs="Arial" w:eastAsia="Arial" w:hAnsi="Arial"/>
          <w:sz w:val="16"/>
          <w:szCs w:val="16"/>
          <w:color w:val="auto"/>
        </w:rPr>
        <w:t xml:space="preserve"> and a variety of other popular brands. Our snacks portfolio includes ready-to-eat popcorn, baked and trans fat free snacks, protein bars and other better-for-you snacks. The snacks portfolio is predominantly sold under the brands of </w:t>
      </w:r>
      <w:r>
        <w:rPr>
          <w:rFonts w:ascii="Arial" w:cs="Arial" w:eastAsia="Arial" w:hAnsi="Arial"/>
          <w:sz w:val="16"/>
          <w:szCs w:val="16"/>
          <w:i w:val="1"/>
          <w:iCs w:val="1"/>
          <w:color w:val="auto"/>
        </w:rPr>
        <w:t>SkinnyPop</w:t>
      </w:r>
      <w:r>
        <w:rPr>
          <w:rFonts w:ascii="Arial" w:cs="Arial" w:eastAsia="Arial" w:hAnsi="Arial"/>
          <w:sz w:val="16"/>
          <w:szCs w:val="16"/>
          <w:color w:val="auto"/>
        </w:rPr>
        <w:t xml:space="preserv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ONE Bar</w:t>
      </w:r>
      <w:r>
        <w:rPr>
          <w:rFonts w:ascii="Arial" w:cs="Arial" w:eastAsia="Arial" w:hAnsi="Arial"/>
          <w:sz w:val="16"/>
          <w:szCs w:val="16"/>
          <w:color w:val="auto"/>
        </w:rPr>
        <w:t xml:space="preserve">, </w:t>
      </w:r>
      <w:r>
        <w:rPr>
          <w:rFonts w:ascii="Arial" w:cs="Arial" w:eastAsia="Arial" w:hAnsi="Arial"/>
          <w:sz w:val="16"/>
          <w:szCs w:val="16"/>
          <w:i w:val="1"/>
          <w:iCs w:val="1"/>
          <w:color w:val="auto"/>
        </w:rPr>
        <w:t>Paqui</w:t>
      </w:r>
      <w:r>
        <w:rPr>
          <w:rFonts w:ascii="Arial" w:cs="Arial" w:eastAsia="Arial" w:hAnsi="Arial"/>
          <w:sz w:val="16"/>
          <w:szCs w:val="16"/>
          <w:color w:val="auto"/>
        </w:rPr>
        <w:t xml:space="preserve"> and </w:t>
      </w:r>
      <w:r>
        <w:rPr>
          <w:rFonts w:ascii="Arial" w:cs="Arial" w:eastAsia="Arial" w:hAnsi="Arial"/>
          <w:sz w:val="16"/>
          <w:szCs w:val="16"/>
          <w:i w:val="1"/>
          <w:iCs w:val="1"/>
          <w:color w:val="auto"/>
        </w:rPr>
        <w:t>Oatmega</w:t>
      </w:r>
      <w:r>
        <w:rPr>
          <w:rFonts w:ascii="Arial" w:cs="Arial" w:eastAsia="Arial" w:hAnsi="Arial"/>
          <w:sz w:val="16"/>
          <w:szCs w:val="16"/>
          <w:color w:val="auto"/>
        </w:rPr>
        <w:t>.</w:t>
      </w:r>
    </w:p>
    <w:p>
      <w:pPr>
        <w:spacing w:after="0" w:line="11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71" w:lineRule="exact"/>
        <w:rPr>
          <w:rFonts w:ascii="Arial" w:cs="Arial" w:eastAsia="Arial" w:hAnsi="Arial"/>
          <w:sz w:val="18"/>
          <w:szCs w:val="18"/>
          <w:color w:val="auto"/>
        </w:rPr>
      </w:pPr>
    </w:p>
    <w:p>
      <w:pPr>
        <w:ind w:right="340"/>
        <w:spacing w:after="0" w:line="263" w:lineRule="auto"/>
        <w:rPr>
          <w:sz w:val="20"/>
          <w:szCs w:val="20"/>
          <w:color w:val="auto"/>
        </w:rPr>
      </w:pPr>
      <w:r>
        <w:rPr>
          <w:rFonts w:ascii="Arial" w:cs="Arial" w:eastAsia="Arial" w:hAnsi="Arial"/>
          <w:sz w:val="18"/>
          <w:szCs w:val="18"/>
          <w:color w:val="auto"/>
        </w:rPr>
        <w:t xml:space="preserve">During the second quarter of 2020, we completed the divestitures of KRAVE Pure Foods, Inc. ("Krave")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 Total proceeds from the divestitures and the impact on our Consolidated Statements of Income, both individually and on an aggregate basis, were immaterial.</w:t>
      </w:r>
    </w:p>
    <w:p>
      <w:pPr>
        <w:spacing w:after="0" w:line="22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175" w:lineRule="exact"/>
        <w:rPr>
          <w:rFonts w:ascii="Arial" w:cs="Arial" w:eastAsia="Arial" w:hAnsi="Arial"/>
          <w:sz w:val="18"/>
          <w:szCs w:val="18"/>
          <w:color w:val="auto"/>
        </w:rPr>
      </w:pPr>
    </w:p>
    <w:p>
      <w:pPr>
        <w:ind w:right="220"/>
        <w:spacing w:after="0" w:line="263" w:lineRule="auto"/>
        <w:rPr>
          <w:sz w:val="20"/>
          <w:szCs w:val="20"/>
          <w:color w:val="auto"/>
        </w:rPr>
      </w:pPr>
      <w:r>
        <w:rPr>
          <w:rFonts w:ascii="Arial" w:cs="Arial" w:eastAsia="Arial" w:hAnsi="Arial"/>
          <w:sz w:val="18"/>
          <w:szCs w:val="18"/>
          <w:color w:val="auto"/>
        </w:rPr>
        <w:t>On March 11, 2020, the World Health Organization designated the recent novel coronavirus ("COVID-19") as a global pandemic. COVID-19 was first detected in Wuhan City, Hubei Province, China and continued to spread, significantly impacting various markets around the world, including the United States. Various policies and initiatives have been implemented to reduce the global transmission of COVID-19.</w:t>
      </w:r>
    </w:p>
    <w:p>
      <w:pPr>
        <w:spacing w:after="0" w:line="211" w:lineRule="exact"/>
        <w:rPr>
          <w:rFonts w:ascii="Arial" w:cs="Arial" w:eastAsia="Arial" w:hAnsi="Arial"/>
          <w:sz w:val="18"/>
          <w:szCs w:val="18"/>
          <w:color w:val="auto"/>
        </w:rPr>
      </w:pPr>
    </w:p>
    <w:p>
      <w:pPr>
        <w:ind w:right="100"/>
        <w:spacing w:after="0" w:line="301" w:lineRule="auto"/>
        <w:rPr>
          <w:sz w:val="20"/>
          <w:szCs w:val="20"/>
          <w:color w:val="auto"/>
        </w:rPr>
      </w:pPr>
      <w:r>
        <w:rPr>
          <w:rFonts w:ascii="Arial" w:cs="Arial" w:eastAsia="Arial" w:hAnsi="Arial"/>
          <w:sz w:val="16"/>
          <w:szCs w:val="16"/>
          <w:color w:val="auto"/>
        </w:rPr>
        <w:t>Local, state and national governments continue to emphasize the importance of food supply during this pandemic and asked that food manufacturers and retailers remain open to meet the needs of our communities. Employee safety is our first priority, and as a result, we put preparedness plans in place at our manufacturing facilities. Our manufacturing facilities are currently open, however, we have adjusted shift schedules, enforced social distancing, increased sanitation and adjusted time and attendance policies for worker absenteeism. Our sales teams continue to support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6"/>
          <w:szCs w:val="16"/>
          <w:color w:val="auto"/>
        </w:rPr>
        <w:t>The Hershey Company | Q2 2020 Form 10-Q | Page 34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community food supplies, while adhering to social distancing guidelines, implementing flexible hours, reducing person-to-person interaction and increasing safety measures. Additionally, in June, the Company re-opened Hershey’s Chocolate World stores in the United States (3 locations) and Niagara Falls (Ontario) on a limited capacity basis with increased safety measures and enforced social distancing. The Company's Chocolate World store in Singapore remains temporarily closed.</w:t>
      </w:r>
    </w:p>
    <w:p>
      <w:pPr>
        <w:spacing w:after="0" w:line="21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Also in June, we commenced a phased in approach to reopen our corporate headquarters in Hershey, Pennsylvania and other select offices with increased safety protocols. We have successfully onboarded several teams, however, occupancy levels remain low as we continue to monitor the latest COVID-19 related public health and government guidance. As a result, a majority of our office-based employees continue to work remotely where possible. We have crisis management teams in place to monitor the continually evolving situation and recommending risk mitigation actions as deemed necessary. To date, there has been minimal disruption to our supply chain network, including the supply of our ingredients, packaging or other sourced materials, though it is possible that more significant disruptions could occur if the COVID-19 pandemic continues to impact markets around the world. We are also working closely with our business units, contract manufacturers, distributors, contractors and other external business partners to minimize the potential impact on our business.</w:t>
      </w:r>
    </w:p>
    <w:p>
      <w:pPr>
        <w:spacing w:after="0" w:line="20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Our most recent liquidity measures include an increase in our short-term commercial paper balances and the $1 billion Notes issuance in May 2020 with varying rates ranging from 0.900% to 2.650% and maturity dates ranging from 2025 to 2050. Additionally, we continue to limit discretionary spending across the organization and re-prioritizing our capital projects amid the COVID-19 pandemic. We plan to move forward with our new global enterprise resource planning (“ERP”) system implementation and supply chain capacity projects, as these investments are of strategic importance to our long-term growth. However, as previously announced, we did selectively pause certain aspects of the ERP system implementation due to resource constraints and challenges associated with the critical design phase during these uncertain times. We expect this to delay our overall ERP implementation by approximately one year.</w:t>
      </w:r>
    </w:p>
    <w:p>
      <w:pPr>
        <w:spacing w:after="0" w:line="192" w:lineRule="exact"/>
        <w:rPr>
          <w:sz w:val="20"/>
          <w:szCs w:val="20"/>
          <w:color w:val="auto"/>
        </w:rPr>
      </w:pPr>
    </w:p>
    <w:p>
      <w:pPr>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a result of shelter-in-place restrictions that were implemented in late March and early April, as well as decreases in retail foot traffic and volatility in consumer shopping and consumption behavior across several areas of our portfolio, we experienced a reduction in our net sales and income during the three and six months ended June 28, 2020. The unfavorable impacts predominantly related to our International and Other segment (see </w:t>
      </w:r>
      <w:hyperlink w:anchor="page40">
        <w:r>
          <w:rPr>
            <w:rFonts w:ascii="Arial" w:cs="Arial" w:eastAsia="Arial" w:hAnsi="Arial"/>
            <w:sz w:val="18"/>
            <w:szCs w:val="18"/>
            <w:u w:val="single" w:color="auto"/>
            <w:color w:val="0000FF"/>
          </w:rPr>
          <w:t>Segment Results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this MD&amp;A). We believe the financial impacts from COVID-19 are temporary in nature and do not significantly affect our business model and growth strategy.</w:t>
      </w:r>
    </w:p>
    <w:p>
      <w:pPr>
        <w:spacing w:after="0" w:line="21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late May and early June, many state governments began a phased reopening of their economies. These phased approaches promote limited food service offerings, outdoor dining, increased travel and the reopening of retailing establishments while adhering to new guidelines and enhanced safety measures, including social distancing and face mask protocols. However, certain states have paused or reversed plans to reopen their economies as new cases of COVID-19 have been on the rise in recent weeks. Based on the length and severity of COVID-19, we may experience continued volatility in retail foot traffic, consumer shopping and consumption behavior. We will continue to evaluate the nature and extent of these potential impacts to our business, consolidated results of operations, segment results,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b w:val="1"/>
          <w:bCs w:val="1"/>
          <w:color w:val="auto"/>
        </w:rPr>
        <w:t>CONSOLIDATED RESULTS OF OPERATIONS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Percent</w:t>
            </w: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June 28, 2020</w:t>
            </w:r>
          </w:p>
        </w:tc>
        <w:tc>
          <w:tcPr>
            <w:tcW w:w="100" w:type="dxa"/>
            <w:vAlign w:val="bottom"/>
          </w:tcPr>
          <w:p>
            <w:pPr>
              <w:spacing w:after="0"/>
              <w:rPr>
                <w:sz w:val="18"/>
                <w:szCs w:val="18"/>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0"/>
              </w:rPr>
              <w:t>June 30, 2019</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June 28, 2020</w:t>
            </w:r>
          </w:p>
        </w:tc>
        <w:tc>
          <w:tcPr>
            <w:tcW w:w="120" w:type="dxa"/>
            <w:vAlign w:val="bottom"/>
          </w:tcPr>
          <w:p>
            <w:pPr>
              <w:spacing w:after="0"/>
              <w:rPr>
                <w:sz w:val="18"/>
                <w:szCs w:val="18"/>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0"/>
              </w:rPr>
              <w:t>June 30, 2019</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1,707.3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3,744.6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3,783.7</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54"/>
        </w:trPr>
        <w:tc>
          <w:tcPr>
            <w:tcW w:w="40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Cost of Sales</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914.8</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892.5</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2,085.5</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2,016.5</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5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874.7</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1,659.1</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47"/>
        </w:trPr>
        <w:tc>
          <w:tcPr>
            <w:tcW w:w="4000" w:type="dxa"/>
            <w:vAlign w:val="bottom"/>
          </w:tcPr>
          <w:p>
            <w:pPr>
              <w:ind w:left="180"/>
              <w:spacing w:after="0"/>
              <w:rPr>
                <w:sz w:val="20"/>
                <w:szCs w:val="20"/>
                <w:color w:val="auto"/>
              </w:rPr>
            </w:pPr>
            <w:r>
              <w:rPr>
                <w:rFonts w:ascii="Arial" w:cs="Arial" w:eastAsia="Arial" w:hAnsi="Arial"/>
                <w:sz w:val="16"/>
                <w:szCs w:val="16"/>
                <w:i w:val="1"/>
                <w:iCs w:val="1"/>
                <w:color w:val="auto"/>
              </w:rPr>
              <w:t>Gross Margin</w:t>
            </w:r>
          </w:p>
        </w:tc>
        <w:tc>
          <w:tcPr>
            <w:tcW w:w="1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46.4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49.5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i w:val="1"/>
                <w:iCs w:val="1"/>
                <w:color w:val="auto"/>
              </w:rPr>
              <w:t>44.3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46.7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SM&amp;A Expense</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453.8</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884.3</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907.4</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47"/>
        </w:trPr>
        <w:tc>
          <w:tcPr>
            <w:tcW w:w="4000" w:type="dxa"/>
            <w:vAlign w:val="bottom"/>
          </w:tcPr>
          <w:p>
            <w:pPr>
              <w:ind w:left="180"/>
              <w:spacing w:after="0"/>
              <w:rPr>
                <w:sz w:val="20"/>
                <w:szCs w:val="20"/>
                <w:color w:val="auto"/>
              </w:rPr>
            </w:pPr>
            <w:r>
              <w:rPr>
                <w:rFonts w:ascii="Arial" w:cs="Arial" w:eastAsia="Arial" w:hAnsi="Arial"/>
                <w:sz w:val="16"/>
                <w:szCs w:val="16"/>
                <w:i w:val="1"/>
                <w:iCs w:val="1"/>
                <w:color w:val="auto"/>
              </w:rPr>
              <w:t>SM&amp;A Expense as a percent of net sales</w:t>
            </w:r>
          </w:p>
        </w:tc>
        <w:tc>
          <w:tcPr>
            <w:tcW w:w="1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24.0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i w:val="1"/>
                <w:iCs w:val="1"/>
                <w:color w:val="auto"/>
              </w:rPr>
              <w:t>23.6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24.0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00" w:type="dxa"/>
            <w:vAlign w:val="bottom"/>
            <w:shd w:val="clear" w:color="auto" w:fill="CCEEFF"/>
          </w:tcPr>
          <w:p>
            <w:pPr>
              <w:ind w:left="60"/>
              <w:spacing w:after="0"/>
              <w:rPr>
                <w:sz w:val="20"/>
                <w:szCs w:val="20"/>
                <w:color w:val="auto"/>
              </w:rPr>
            </w:pPr>
            <w:r>
              <w:rPr>
                <w:rFonts w:ascii="Arial" w:cs="Arial" w:eastAsia="Arial" w:hAnsi="Arial"/>
                <w:sz w:val="16"/>
                <w:szCs w:val="16"/>
                <w:color w:val="auto"/>
              </w:rPr>
              <w:t>Long-Lived Asset Impairment Charges</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(66.3)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92.8 %</w:t>
            </w:r>
          </w:p>
        </w:tc>
        <w:tc>
          <w:tcPr>
            <w:tcW w:w="0" w:type="dxa"/>
            <w:vAlign w:val="bottom"/>
          </w:tcPr>
          <w:p>
            <w:pPr>
              <w:spacing w:after="0"/>
              <w:rPr>
                <w:sz w:val="1"/>
                <w:szCs w:val="1"/>
                <w:color w:val="auto"/>
              </w:rPr>
            </w:pPr>
          </w:p>
        </w:tc>
      </w:tr>
      <w:tr>
        <w:trPr>
          <w:trHeight w:val="254"/>
        </w:trPr>
        <w:tc>
          <w:tcPr>
            <w:tcW w:w="40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Business Realignment (Benefits) Costs</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(122.3)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(107.7) %</w:t>
            </w:r>
          </w:p>
        </w:tc>
        <w:tc>
          <w:tcPr>
            <w:tcW w:w="0" w:type="dxa"/>
            <w:vAlign w:val="bottom"/>
          </w:tcPr>
          <w:p>
            <w:pPr>
              <w:spacing w:after="0"/>
              <w:rPr>
                <w:sz w:val="1"/>
                <w:szCs w:val="1"/>
                <w:color w:val="auto"/>
              </w:rPr>
            </w:pPr>
          </w:p>
        </w:tc>
      </w:tr>
      <w:tr>
        <w:trPr>
          <w:trHeight w:val="23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410.1</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53"/>
        </w:trPr>
        <w:tc>
          <w:tcPr>
            <w:tcW w:w="4000" w:type="dxa"/>
            <w:vAlign w:val="bottom"/>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i w:val="1"/>
                <w:iCs w:val="1"/>
                <w:color w:val="auto"/>
              </w:rPr>
              <w:t>22.5</w:t>
            </w:r>
          </w:p>
        </w:tc>
        <w:tc>
          <w:tcPr>
            <w:tcW w:w="2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i w:val="1"/>
                <w:iCs w:val="1"/>
                <w:color w:val="auto"/>
              </w:rPr>
              <w:t>23.2</w:t>
            </w:r>
          </w:p>
        </w:tc>
        <w:tc>
          <w:tcPr>
            <w:tcW w:w="2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i w:val="1"/>
                <w:iCs w:val="1"/>
                <w:color w:val="auto"/>
              </w:rPr>
              <w:t>20.5</w:t>
            </w:r>
          </w:p>
        </w:tc>
        <w:tc>
          <w:tcPr>
            <w:tcW w:w="20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i w:val="1"/>
                <w:iCs w:val="1"/>
                <w:color w:val="auto"/>
              </w:rPr>
              <w:t>22.4</w:t>
            </w:r>
          </w:p>
        </w:tc>
        <w:tc>
          <w:tcPr>
            <w:tcW w:w="2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53"/>
        </w:trPr>
        <w:tc>
          <w:tcPr>
            <w:tcW w:w="4000" w:type="dxa"/>
            <w:vAlign w:val="bottom"/>
          </w:tcPr>
          <w:p>
            <w:pPr>
              <w:ind w:left="60"/>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w:t>
            </w:r>
          </w:p>
        </w:tc>
        <w:tc>
          <w:tcPr>
            <w:tcW w:w="2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22.3 %</w:t>
            </w:r>
          </w:p>
        </w:tc>
        <w:tc>
          <w:tcPr>
            <w:tcW w:w="0" w:type="dxa"/>
            <w:vAlign w:val="bottom"/>
          </w:tcPr>
          <w:p>
            <w:pPr>
              <w:spacing w:after="0"/>
              <w:rPr>
                <w:sz w:val="1"/>
                <w:szCs w:val="1"/>
                <w:color w:val="auto"/>
              </w:rPr>
            </w:pPr>
          </w:p>
        </w:tc>
      </w:tr>
      <w:tr>
        <w:trPr>
          <w:trHeight w:val="25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47"/>
        </w:trPr>
        <w:tc>
          <w:tcPr>
            <w:tcW w:w="4000" w:type="dxa"/>
            <w:vAlign w:val="bottom"/>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1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6"/>
                <w:szCs w:val="16"/>
                <w:i w:val="1"/>
                <w:iCs w:val="1"/>
                <w:color w:val="auto"/>
              </w:rPr>
              <w:t>19.8 %</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6"/>
                <w:szCs w:val="16"/>
                <w:i w:val="1"/>
                <w:iCs w:val="1"/>
                <w:color w:val="auto"/>
              </w:rPr>
              <w:t>13.7 %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6"/>
                <w:szCs w:val="16"/>
                <w:i w:val="1"/>
                <w:iCs w:val="1"/>
                <w:color w:val="auto"/>
              </w:rPr>
              <w:t>19.8 %</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i w:val="1"/>
                <w:iCs w:val="1"/>
                <w:color w:val="auto"/>
              </w:rPr>
              <w:t>18.7 %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00" w:type="dxa"/>
            <w:vAlign w:val="bottom"/>
            <w:shd w:val="clear" w:color="auto" w:fill="CCEEFF"/>
          </w:tcPr>
          <w:p>
            <w:pPr>
              <w:ind w:left="60"/>
              <w:spacing w:after="0"/>
              <w:rPr>
                <w:sz w:val="20"/>
                <w:szCs w:val="20"/>
                <w:color w:val="auto"/>
              </w:rPr>
            </w:pPr>
            <w:r>
              <w:rPr>
                <w:rFonts w:ascii="Arial" w:cs="Arial" w:eastAsia="Arial" w:hAnsi="Arial"/>
                <w:sz w:val="16"/>
                <w:szCs w:val="16"/>
                <w:color w:val="auto"/>
                <w:shd w:val="clear" w:color="auto" w:fill="CCEEFF"/>
              </w:rPr>
              <w:t>Net Income Including Noncontrolling Interest</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536.8</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617.2</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166"/>
        </w:trPr>
        <w:tc>
          <w:tcPr>
            <w:tcW w:w="4000" w:type="dxa"/>
            <w:vAlign w:val="bottom"/>
          </w:tcPr>
          <w:p>
            <w:pPr>
              <w:ind w:left="60"/>
              <w:spacing w:after="0" w:line="166" w:lineRule="exact"/>
              <w:rPr>
                <w:sz w:val="20"/>
                <w:szCs w:val="20"/>
                <w:color w:val="auto"/>
              </w:rPr>
            </w:pPr>
            <w:r>
              <w:rPr>
                <w:rFonts w:ascii="Arial" w:cs="Arial" w:eastAsia="Arial" w:hAnsi="Arial"/>
                <w:sz w:val="16"/>
                <w:szCs w:val="16"/>
                <w:color w:val="auto"/>
              </w:rPr>
              <w:t>Less: Net (Loss) Income Attributable to Noncontrolling</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(299.3)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shd w:val="clear" w:color="auto" w:fill="CCEEFF"/>
              </w:rPr>
              <w:t>Net Income Attributable to The Hershey Company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268.9</w:t>
            </w:r>
          </w:p>
        </w:tc>
        <w:tc>
          <w:tcPr>
            <w:tcW w:w="2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540.0</w:t>
            </w: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617.2</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tcPr>
          <w:p>
            <w:pPr>
              <w:ind w:left="60"/>
              <w:spacing w:after="0"/>
              <w:rPr>
                <w:sz w:val="20"/>
                <w:szCs w:val="20"/>
                <w:color w:val="auto"/>
              </w:rPr>
            </w:pPr>
            <w:r>
              <w:rPr>
                <w:rFonts w:ascii="Arial" w:cs="Arial" w:eastAsia="Arial" w:hAnsi="Arial"/>
                <w:sz w:val="16"/>
                <w:szCs w:val="16"/>
                <w:color w:val="auto"/>
              </w:rPr>
              <w:t>Net Income Per Share—Diluted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Borders>
              <w:bottom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220" w:type="dxa"/>
            <w:vAlign w:val="bottom"/>
            <w:tcBorders>
              <w:bottom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Percentage changes may not compute directly as shown due to rounding of amounts presented above.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Results of Operations - Second Quarter 2020 vs. Second Quarter 2019</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left="40" w:right="100"/>
        <w:spacing w:after="0" w:line="296" w:lineRule="auto"/>
        <w:rPr>
          <w:sz w:val="20"/>
          <w:szCs w:val="20"/>
          <w:color w:val="auto"/>
        </w:rPr>
      </w:pPr>
      <w:r>
        <w:rPr>
          <w:rFonts w:ascii="Arial" w:cs="Arial" w:eastAsia="Arial" w:hAnsi="Arial"/>
          <w:sz w:val="16"/>
          <w:szCs w:val="16"/>
          <w:color w:val="auto"/>
        </w:rPr>
        <w:t xml:space="preserve">Net sales decreased 3.4% in the second quarter of 2020 compared to the same period of 2019, reflecting a volume decrease of 7.0% due to the impact of COVID-19 on sales in our international markets, as well as declines in owned retail and world travel retail and elasticity-driven impacts due to price increases on certain products, and an unfavorable impact from foreign currency exchange rates of 0.7%. These decreases were partially offset by favorable price realization of 3.5% due to higher prices on certain products and a 0.8% benefit from net acquisitions and divestitures (predominantly driven by the 2019 acquisition of ONE Brands, LLC ("ONE Brands"), partially offset by the 2020 divestitures of Krave and the </w:t>
      </w:r>
      <w:r>
        <w:rPr>
          <w:rFonts w:ascii="Arial" w:cs="Arial" w:eastAsia="Arial" w:hAnsi="Arial"/>
          <w:sz w:val="16"/>
          <w:szCs w:val="16"/>
          <w:i w:val="1"/>
          <w:iCs w:val="1"/>
          <w:color w:val="auto"/>
        </w:rPr>
        <w:t>Scharffen Berger</w:t>
      </w:r>
      <w:r>
        <w:rPr>
          <w:rFonts w:ascii="Arial" w:cs="Arial" w:eastAsia="Arial" w:hAnsi="Arial"/>
          <w:sz w:val="16"/>
          <w:szCs w:val="16"/>
          <w:color w:val="auto"/>
        </w:rPr>
        <w:t xml:space="preserve"> and </w:t>
      </w:r>
      <w:r>
        <w:rPr>
          <w:rFonts w:ascii="Arial" w:cs="Arial" w:eastAsia="Arial" w:hAnsi="Arial"/>
          <w:sz w:val="16"/>
          <w:szCs w:val="16"/>
          <w:i w:val="1"/>
          <w:iCs w:val="1"/>
          <w:color w:val="auto"/>
        </w:rPr>
        <w:t>Dagoba</w:t>
      </w:r>
      <w:r>
        <w:rPr>
          <w:rFonts w:ascii="Arial" w:cs="Arial" w:eastAsia="Arial" w:hAnsi="Arial"/>
          <w:sz w:val="16"/>
          <w:szCs w:val="16"/>
          <w:color w:val="auto"/>
        </w:rPr>
        <w:t xml:space="preserve"> brands).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left="40" w:right="140"/>
        <w:spacing w:after="0" w:line="263" w:lineRule="auto"/>
        <w:rPr>
          <w:sz w:val="20"/>
          <w:szCs w:val="20"/>
          <w:color w:val="auto"/>
        </w:rPr>
      </w:pPr>
      <w:r>
        <w:rPr>
          <w:rFonts w:ascii="Arial" w:cs="Arial" w:eastAsia="Arial" w:hAnsi="Arial"/>
          <w:sz w:val="18"/>
          <w:szCs w:val="18"/>
          <w:color w:val="auto"/>
        </w:rPr>
        <w:t>For the second quarter of 2020, our total U.S. retail takeaway increased 4.1% in the expanded multi-outlet combined plus convenience store channels (IRI MULO + C-Stores), which includes candy, mint, gum, salty snacks, meat snacks and grocery items. Our U.S. candy, mint and gum ("CMG") consumer takeaway increased 3.2%, resulting in a CMG market share gain of approximately 227 basis points.</w:t>
      </w:r>
    </w:p>
    <w:p>
      <w:pPr>
        <w:spacing w:after="0" w:line="130" w:lineRule="exact"/>
        <w:rPr>
          <w:sz w:val="20"/>
          <w:szCs w:val="20"/>
          <w:color w:val="auto"/>
        </w:rPr>
      </w:pPr>
    </w:p>
    <w:p>
      <w:pPr>
        <w:ind w:left="40" w:right="140"/>
        <w:spacing w:after="0" w:line="259"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w:t>
      </w:r>
    </w:p>
    <w:p>
      <w:pPr>
        <w:sectPr>
          <w:pgSz w:w="11900" w:h="16838" w:orient="portrait"/>
          <w:cols w:equalWidth="0" w:num="1">
            <w:col w:w="11280"/>
          </w:cols>
          <w:pgMar w:left="28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Hershey Company | Q2 2020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92710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55" w:right="339" w:bottom="1440" w:gutter="0" w:footer="0" w:header="0"/>
          <w:type w:val="continuous"/>
        </w:sectPr>
      </w:pPr>
    </w:p>
    <w:bookmarkStart w:id="37" w:name="page38"/>
    <w:bookmarkEnd w:id="37"/>
    <w:p>
      <w:pPr>
        <w:ind w:right="100"/>
        <w:spacing w:after="0" w:line="277" w:lineRule="auto"/>
        <w:rPr>
          <w:sz w:val="20"/>
          <w:szCs w:val="20"/>
          <w:color w:val="auto"/>
        </w:rPr>
      </w:pPr>
      <w:r>
        <w:rPr>
          <w:rFonts w:ascii="Arial" w:cs="Arial" w:eastAsia="Arial" w:hAnsi="Arial"/>
          <w:sz w:val="18"/>
          <w:szCs w:val="18"/>
          <w:color w:val="auto"/>
        </w:rPr>
        <w:t>Incorporated ("IRI"), the Company's market insights and analytics provider, and provide a means to assess our retail takeaway and market position relative to the overall category.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Cost of sales increased 2.5% in the second quarter of 2020 compared to the same period of 2019. The increase was driven by an incremental $52.9 million of unfavorable mark-to-market activity on our commodity derivative instruments, which are intended to economically hedge future years' commodity purchases. Additionally, the increase in cost of sales was attributed to higher freight and logistics costs, and additional plant costs, specifically, personal protective equipment ("PPE") costs, increased sanitation and wage incentives associated with COVID-19. These drivers were partially offset by favorable supply chain productivity.</w:t>
      </w:r>
    </w:p>
    <w:p>
      <w:pPr>
        <w:spacing w:after="0" w:line="13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Gross margin decreased by 310 basis points in the second quarter of 2020 compared to the same period of 2019. The decrease was primarily due to an unfavorable year-over-year mark-to-market impact from commodity derivative instruments, higher freight and logistics costs and additional plant costs. These factors were partially offset by favorable price realization and supply chain productivity.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w:t>
      </w:r>
    </w:p>
    <w:p>
      <w:pPr>
        <w:spacing w:after="0" w:line="2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Selling, marketing and administrative (“SM&amp;A”) expenses decreased $44.8 million or 9.9% in the second quarter of 2020. Total advertising and related consumer marketing expenses decreased 14.0% driven by media cost efficiencies and select brand investment optimization related to COVID-19 in both the North America and International and Other segments. SM&amp;A expenses, excluding advertising and related consumer marketing, decreased approximately 7.6% in the second quarter of 2020 primarily due to savings in travel and meeting expenses as a result of COVID-19 related travel restrictions and lower incentive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 Impairment Charges</w:t>
      </w:r>
    </w:p>
    <w:p>
      <w:pPr>
        <w:spacing w:after="0" w:line="175" w:lineRule="exact"/>
        <w:rPr>
          <w:sz w:val="20"/>
          <w:szCs w:val="20"/>
          <w:color w:val="auto"/>
        </w:rPr>
      </w:pPr>
    </w:p>
    <w:p>
      <w:pPr>
        <w:ind w:right="8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During the second quarter of 2020, we recorded impairment charges of $1.6 million to adjust long-lived asset values in connection with our disposal group classified as held for sale, as discussed in </w:t>
      </w:r>
      <w:hyperlink w:anchor="page21">
        <w:r>
          <w:rPr>
            <w:rFonts w:ascii="Arial" w:cs="Arial" w:eastAsia="Arial" w:hAnsi="Arial"/>
            <w:sz w:val="18"/>
            <w:szCs w:val="18"/>
            <w:u w:val="single" w:color="auto"/>
            <w:color w:val="0E32E1"/>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 The fair value of the disposal group was supported by potential sales prices with third-party buyers. We expect the sale of the disposal group to be completed during 2020. During the second quarter of 2019, we recorded long-lived asset impairment charges of $4.7 million, which were predominantly comprised of select land that had not yet met the held for sale criteria.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20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Business realignment benefits of $1.4 million in the second quarter of 2020 versus costs of $6.1 million in the second quarter of 2019 related primarily to the Margin for Growth Program, which is discussed in more detail in </w:t>
      </w:r>
      <w:hyperlink w:anchor="page21">
        <w:r>
          <w:rPr>
            <w:rFonts w:ascii="Arial" w:cs="Arial" w:eastAsia="Arial" w:hAnsi="Arial"/>
            <w:sz w:val="17"/>
            <w:szCs w:val="17"/>
            <w:u w:val="single" w:color="auto"/>
            <w:color w:val="0000FF"/>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Unaudited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Operating profit decreased 6.5% in the second quarter of 2020 compared to the same period of 2019 due primarily to lower gross profit, partially offset by lower SM&amp;A expenses, as noted above. Operating profit margin decreased to 22.5% in 2020 from 23.2% in 2019 driven by these same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interest expense was $4.3 million higher in the second quarter of 2020 compared to the same period of 2019. The increase was primarily due to lower interest income in 2020 as we recognized a benefit in 2019 related to an international local tax settlement, as well as higher long-term debt balances in 2020 versus 2019 (predominantly due to $1.0 billion of notes issued in October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Other (income) expense, net totaled expense of $11.2 million in the second quarter of 2020 versus expense of $13.1 million in the second quarter of 2019. The decrease in the net expense was primarily due to lower write-downs on equity investments qualifying for federal historic and energy tax credits and lower non-service cost components of net periodic benefit cost relating to pension and other post-retirement benefit plans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effective income tax rate was 19.8% for the second quarter of 2020 compared with 13.7% for the second quarter of 2019. Relative to the 21% statutory rate, the 2020 effective tax rate benefited from investment tax credits and changes in tax reserves, partially offset by state taxes. The 2019 effective tax rate, relative to the 21% statutory rate, was impacted by a change to foreign valuation allowances, the benefit of employee share-based payments, and investment tax credits, which were partially offset by state taxes.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decreased $45.2 million, or 14.0%, while EPS-diluted decreased $0.19, or 12.8%, in the second quarter of 2020 compared to the same period of 2019. The decrease in both net income and EPS-diluted was driven primarily by lower gross profit and higher income taxes, partially offset by lower SM&amp;A expenses, as noted above. Our 2020 EPS-diluted also benefited from lower weighted-average shares outstanding as a result of share repurchases pursuant to our Board-approved repurchase programs.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2020 vs. First Six Months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Net sales decreased 1.0% in the first six months of 2020 compared to the same period of 2019, reflecting a volume decrease of 4.5% due to the impact of COVID-19 on sales in our international markets, as well as declines in owned retail and world travel retail and elasticity-driven impacts due to price increases on certain products, and an unfavorable impact from foreign currency exchange rates of 0.4%. These decreases were partially offset by a favorable price realization of 3.1% due to higher prices on certain products and a 0.8% benefit from net acquisitions and divestitures (predominantly driven by the 2019 acquisition of ONE Brands, partially offset by the 2020 divestitures of Krave and the </w:t>
      </w:r>
      <w:r>
        <w:rPr>
          <w:rFonts w:ascii="Arial" w:cs="Arial" w:eastAsia="Arial" w:hAnsi="Arial"/>
          <w:sz w:val="16"/>
          <w:szCs w:val="16"/>
          <w:i w:val="1"/>
          <w:iCs w:val="1"/>
          <w:color w:val="auto"/>
        </w:rPr>
        <w:t>Scharffen Berger</w:t>
      </w:r>
      <w:r>
        <w:rPr>
          <w:rFonts w:ascii="Arial" w:cs="Arial" w:eastAsia="Arial" w:hAnsi="Arial"/>
          <w:sz w:val="16"/>
          <w:szCs w:val="16"/>
          <w:color w:val="auto"/>
        </w:rPr>
        <w:t xml:space="preserve"> and </w:t>
      </w:r>
      <w:r>
        <w:rPr>
          <w:rFonts w:ascii="Arial" w:cs="Arial" w:eastAsia="Arial" w:hAnsi="Arial"/>
          <w:sz w:val="16"/>
          <w:szCs w:val="16"/>
          <w:i w:val="1"/>
          <w:iCs w:val="1"/>
          <w:color w:val="auto"/>
        </w:rPr>
        <w:t>Dagoba</w:t>
      </w:r>
      <w:r>
        <w:rPr>
          <w:rFonts w:ascii="Arial" w:cs="Arial" w:eastAsia="Arial" w:hAnsi="Arial"/>
          <w:sz w:val="16"/>
          <w:szCs w:val="16"/>
          <w:color w:val="auto"/>
        </w:rPr>
        <w:t xml:space="preserve"> brands).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Cost of sales increased 3.4% in the first six months of 2020 compared to the same period of 2019. The increase was driven by an incremental $103.4 million of unfavorable mark-to-market activity on our commodity derivative instruments. These derivative instruments are intended to economically hedge future years' commodity purchases, however, they were significantly impacted by financial market volatility during the first six months of 2020. Additionally, the increase in cost of sales was attributed to higher freight and logistics costs and additional plant costs, specifically, PPE costs, increased sanitation and wage incentives associated with COVID-19. These drivers were partially offset by favorable supply chain productivity.</w:t>
      </w:r>
    </w:p>
    <w:p>
      <w:pPr>
        <w:spacing w:after="0" w:line="10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Gross margin decreased by 240 basis points in in the first six months of 2020 compared to the same period of 2019. The decrease was primarily due to unfavorable year-over-year mark-to-market impact from commodity derivative instruments, the higher freight and logistics costs and additional plant costs. These factors were partially offset by favorable price realization and supply chain productivity.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w:t>
      </w:r>
    </w:p>
    <w:p>
      <w:pPr>
        <w:spacing w:after="0" w:line="108"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SM&amp;A expenses decreased $23.0 million or 2.5% in the first six months of 2020. Total advertising and related consumer marketing expenses decreased 4.5% driven by media cost efficiencies and select brand investment optimization related to COVID-19 in both the North America and International and Other segments. SM&amp;A expenses, excluding advertising and related consumer marketing, decreased approximately 1.4% in the first six months of 2020 primarily due to savings in travel and meeting expenses as a result of COVID-19 related travel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Long-Lived Asset Impairment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2020, we recorded the following impairment charges:</w:t>
      </w:r>
    </w:p>
    <w:p>
      <w:pPr>
        <w:spacing w:after="0" w:line="55"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8940" w:type="dxa"/>
            <w:vAlign w:val="bottom"/>
          </w:tcPr>
          <w:p>
            <w:pPr>
              <w:spacing w:after="0"/>
              <w:rPr>
                <w:sz w:val="20"/>
                <w:szCs w:val="20"/>
                <w:color w:val="auto"/>
              </w:rPr>
            </w:pPr>
            <w:r>
              <w:rPr>
                <w:rFonts w:ascii="Arial" w:cs="Arial" w:eastAsia="Arial" w:hAnsi="Arial"/>
                <w:sz w:val="14"/>
                <w:szCs w:val="14"/>
                <w:b w:val="1"/>
                <w:bCs w:val="1"/>
                <w:color w:val="auto"/>
              </w:rPr>
              <w:t>In millions of dollars</w:t>
            </w: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6"/>
        </w:trPr>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 to disposal group (1)</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Other asset write-down (2)</w:t>
            </w:r>
          </w:p>
        </w:tc>
        <w:tc>
          <w:tcPr>
            <w:tcW w:w="9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2.9</w:t>
            </w:r>
          </w:p>
        </w:tc>
      </w:tr>
      <w:tr>
        <w:trPr>
          <w:trHeight w:val="27"/>
        </w:trPr>
        <w:tc>
          <w:tcPr>
            <w:tcW w:w="8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Long-lived asset impairment charges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right="20" w:hanging="330"/>
        <w:spacing w:after="0" w:line="270" w:lineRule="auto"/>
        <w:tabs>
          <w:tab w:leader="none" w:pos="488"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In connection with our disposal group classified as held for sale, as discussed in </w:t>
      </w:r>
      <w:hyperlink w:anchor="page21">
        <w:r>
          <w:rPr>
            <w:rFonts w:ascii="Arial" w:cs="Arial" w:eastAsia="Arial" w:hAnsi="Arial"/>
            <w:sz w:val="17"/>
            <w:szCs w:val="17"/>
            <w:u w:val="single" w:color="auto"/>
            <w:color w:val="0000FF"/>
          </w:rPr>
          <w:t>Note 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Unaudited Consolidated Financial Statements, during the first six months of 2020, we recorded impairment charges to adjust long-lived asset values. The fair value of the disposal group was supported by potential sales prices with third-party buyers. We expect the sale of the disposal group to be completed during 2020.</w:t>
      </w:r>
    </w:p>
    <w:p>
      <w:pPr>
        <w:spacing w:after="0" w:line="16" w:lineRule="exact"/>
        <w:rPr>
          <w:rFonts w:ascii="Arial" w:cs="Arial" w:eastAsia="Arial" w:hAnsi="Arial"/>
          <w:sz w:val="17"/>
          <w:szCs w:val="17"/>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360" w:lineRule="exact"/>
        <w:rPr>
          <w:sz w:val="20"/>
          <w:szCs w:val="20"/>
          <w:color w:val="auto"/>
        </w:rPr>
      </w:pPr>
    </w:p>
    <w:p>
      <w:pPr>
        <w:ind w:right="3040"/>
        <w:spacing w:after="0" w:line="277" w:lineRule="auto"/>
        <w:rPr>
          <w:sz w:val="20"/>
          <w:szCs w:val="20"/>
          <w:color w:val="auto"/>
        </w:rPr>
      </w:pPr>
      <w:r>
        <w:rPr>
          <w:rFonts w:ascii="Arial" w:cs="Arial" w:eastAsia="Arial" w:hAnsi="Arial"/>
          <w:sz w:val="18"/>
          <w:szCs w:val="18"/>
          <w:color w:val="auto"/>
        </w:rPr>
        <w:t>During the first six months of 2019, we recorded long-lived asset impairment charges of $4.7 million, which were predominantly comprised of select land that had not yet met the held for sale criteria.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Business realignment benefits of $0.5 million in the first six months of 2020 versus costs of $6.2 million in the first six months of 2019 related primarily to the Margin for Growth Program, which is discussed in more detail in </w:t>
      </w:r>
      <w:hyperlink w:anchor="page21">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10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Operating profit decreased 9.7% in the first six months of 2020 compared to the same period of 2019 due primarily to lower gross profit, partially offset by lower SM&amp;A expenses, as noted above. Operating profit margin decreased to 20.5% in 2020 from 22.4% in 2019 driven by these same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expense was $3.1 million higher in the first six months of 2020 compared to the same period of 2019. The increase was primarily due to lower interest income in 2020 as we recognized a benefit in 2019 related to an international local tax settlement, as well as higher long-term debt balances in 2020 versus 2019 (predominantly due to $1.0 billion of notes issued in October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Other (income) expense, net totaled expense of $22.8 million in the first six months of 2020 versus expense of $18.6 million in the first six months of 2019. The increase in the net expense was primarily due to higher write-downs on equity investments qualifying for federal historic and energy tax credits, partially offset by lower non-service cost components of net periodic benefit cost relating to pension and other post-retirement benefit plans during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effective income tax rate was 19.8% for the first six months of 2020 compared with 18.7% for the first six months of 2019. Relative to the 21% statutory rate, the 2020 effective tax rate was favorably impacted by investment tax credits and the benefit of employee share-based payments, partially offset by state taxes. The 2019 effective tax rate, relative to the 21% statutory rate, was impacted by a change to foreign valuation allowances, the benefit of employee share-based payments, and investment tax credits, which were partially offset by state taxes.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decreased $77.2 million, or 12.5%, while EPS-diluted decreased $0.35, or 11.9%, in the first six months of 2020 compared to the same period of 2019. The decrease in both net income and EPS-diluted was driven primarily by lower gross profit, partially offset by lower SM&amp;A expenses and lower taxes. Our 2020 EPS-diluted also benefited from lower weighted-average shares outstanding as a result of share repurchases pursuant to our Board-approved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0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920" w:type="dxa"/>
            <w:vAlign w:val="bottom"/>
            <w:gridSpan w:val="4"/>
          </w:tcPr>
          <w:p>
            <w:pPr>
              <w:jc w:val="right"/>
              <w:ind w:right="8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28, 2020</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28, 2020</w:t>
            </w:r>
          </w:p>
        </w:tc>
        <w:tc>
          <w:tcPr>
            <w:tcW w:w="18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June 30, 2019</w:t>
            </w:r>
          </w:p>
        </w:tc>
        <w:tc>
          <w:tcPr>
            <w:tcW w:w="0" w:type="dxa"/>
            <w:vAlign w:val="bottom"/>
          </w:tcPr>
          <w:p>
            <w:pPr>
              <w:spacing w:after="0"/>
              <w:rPr>
                <w:sz w:val="1"/>
                <w:szCs w:val="1"/>
                <w:color w:val="auto"/>
              </w:rPr>
            </w:pPr>
          </w:p>
        </w:tc>
      </w:tr>
      <w:tr>
        <w:trPr>
          <w:trHeight w:val="33"/>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1,583.8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1,568.0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3,428.6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1,707.3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3,744.6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3,783.7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Segment Income (Loss):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1,035.7</w:t>
            </w:r>
          </w:p>
        </w:tc>
        <w:tc>
          <w:tcPr>
            <w:tcW w:w="0" w:type="dxa"/>
            <w:vAlign w:val="bottom"/>
          </w:tcPr>
          <w:p>
            <w:pPr>
              <w:spacing w:after="0"/>
              <w:rPr>
                <w:sz w:val="1"/>
                <w:szCs w:val="1"/>
                <w:color w:val="auto"/>
              </w:rPr>
            </w:pPr>
          </w:p>
        </w:tc>
      </w:tr>
      <w:tr>
        <w:trPr>
          <w:trHeight w:val="243"/>
        </w:trPr>
        <w:tc>
          <w:tcPr>
            <w:tcW w:w="486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1,077.9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Unallocated corporate expense (1)</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mark-to-market losses (gains) on commodity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(2)</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Long-lived asset impairment charges</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766.2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669.1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right="240" w:hanging="332"/>
        <w:spacing w:after="0" w:line="286"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44" w:lineRule="exact"/>
        <w:rPr>
          <w:rFonts w:ascii="Arial" w:cs="Arial" w:eastAsia="Arial" w:hAnsi="Arial"/>
          <w:sz w:val="15"/>
          <w:szCs w:val="15"/>
          <w:color w:val="auto"/>
        </w:rPr>
      </w:pPr>
    </w:p>
    <w:p>
      <w:pPr>
        <w:ind w:left="340" w:right="56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Net losses (gains) losses on mark-to-market valuation of commodity derivative positions recognized in unallocated derivative losses (gains). See </w:t>
      </w:r>
      <w:hyperlink w:anchor="page26">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 America</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results, which accounted for 92.8% and 88.7% of our net sales for the three months ended June 28, 2020 and June 30, 2019, respectively,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jc w:val="right"/>
              <w:ind w:right="35"/>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5"/>
          </w:tcPr>
          <w:p>
            <w:pPr>
              <w:ind w:left="76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jc w:val="right"/>
              <w:ind w:right="35"/>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28, 2020</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98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28, 2020</w:t>
            </w: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98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1,583.8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1,568.0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3,428.6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3,375.0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1"/>
                <w:szCs w:val="21"/>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497.6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470.9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1,079.1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1,035.7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31.4 %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30.0 %</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31.5 %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30.7 %</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2020 vs. Second Quarter 2019</w:t>
      </w:r>
    </w:p>
    <w:p>
      <w:pPr>
        <w:spacing w:after="0" w:line="1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Net sales of our North America segment increased $15.8 million or 1.0% in the second quarter of 2020 compared to the same period of 2019, reflecting favorable price realization of 4.2% attributed to higher prices on certain products and decreased levels of trade promotional spending compared to prior year, as well as a 0.8% benefit from net acquisitions and divestitures (predominantly driven by the 2019 acquisition of ONE Brands, partially offset by the 2020 divestitures of Krave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 These increases were partially offset by a volume decrease of 3.8%, which was primarily elasticity-driven due to the aforementioned price increases and COVID-19 related impacts to the business, as well as unfavorable foreign currency exchange rates of 0.2%.</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North America segment income increased $26.7 million or 5.7% in the second quarter of 2020 compared to the same period of 2019, primarily due to favorable price realization, lower trade promotional spending and lower advertising and related consumer marketing expenses as a result of COVID-19, partially offset by higher supply chain-related costs, specifically, PPE costs, increased sanitation and wage incentives associated with COVID-19, as well as volume decreases.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2020 vs. First Six Months 2019</w:t>
      </w:r>
    </w:p>
    <w:p>
      <w:pPr>
        <w:spacing w:after="0" w:line="16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Net sales of our North America segment increased $53.6 million or 1.6% in the first six months of 2020 compared to the same period of 2019, reflecting favorable price realization of 3.5% attributed to higher prices on certain products and a 0.9% benefit from net acquisitions and divestitures (predominantly driven by the 2019 acquisition of ONE Brands, partially offset by the 2020 divestitures of Krave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These increases were partially offset by a volume decrease of 2.7%, which was primarily elasticity-driven due to the aforementioned price increases and COVID-19 related impacts to the business, as well as unfavorable foreign currency exchange rates of 0.1%.</w:t>
      </w:r>
    </w:p>
    <w:p>
      <w:pPr>
        <w:spacing w:after="0" w:line="1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North America segment income increased $43.4 million or 4.2% in the first six months of 2020 compared to the same period of 2019, primarily due to favorable price realization, lower trade promotional spending and lower advertising and related consumer marketing expenses as a result of COVID-19, partially offset by higher supply chain-related costs, specifically, PPE costs, increased sanitation and wage incentives associated with COVID-19, as well as volume decreases.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results, which accounted for 7.2% and 11.3% of our net sales for the three months ended June 28, 2020 and June 30, 2019, respectively,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3100" w:type="dxa"/>
            <w:vAlign w:val="bottom"/>
            <w:gridSpan w:val="5"/>
          </w:tcPr>
          <w:p>
            <w:pPr>
              <w:ind w:left="760"/>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jc w:val="right"/>
              <w:ind w:right="235"/>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28, 2020</w:t>
            </w: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28, 2020</w:t>
            </w: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1180" w:type="dxa"/>
            <w:vAlign w:val="bottom"/>
          </w:tcPr>
          <w:p>
            <w:pPr>
              <w:jc w:val="right"/>
              <w:ind w:right="23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408.7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Segment (loss) income</w:t>
            </w:r>
          </w:p>
        </w:tc>
        <w:tc>
          <w:tcPr>
            <w:tcW w:w="180" w:type="dxa"/>
            <w:vAlign w:val="bottom"/>
          </w:tcPr>
          <w:p>
            <w:pPr>
              <w:spacing w:after="0"/>
              <w:rPr>
                <w:sz w:val="21"/>
                <w:szCs w:val="21"/>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i w:val="1"/>
                <w:iCs w:val="1"/>
                <w:color w:val="auto"/>
                <w:w w:val="98"/>
              </w:rPr>
              <w:t>(3.2)%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11.0 %</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3.8 %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10.3 %</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2020 vs. Second Quarter 2019</w:t>
      </w:r>
    </w:p>
    <w:p>
      <w:pPr>
        <w:spacing w:after="0" w:line="14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Net sales of our International and Other segment decreased $75.7 million or 38.0% in the second quarter of 2020 compared to the same period of 2019, reflecting a volume decrease of 31.3%, an unfavorable impact from foreign currency exchange rates of 4.6%, and unfavorable price realization of 2.1%. The volume decrease was attributed to significant sales declines in our strategic focus markets, most notably Mexico, where net sales declined by 54.5%, as well as reduced sales in our export markets, due to the implementation of quarantine protocols by local governments to mitigate the spread of COVID-19.</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International and Other segment also includes licensing, owned retail and world travel retail, where net sales declined approximately 51.0% during the second quarter of 2020 as the Company temporarily closed all Hershey’s Chocolate World stores in the United States (3 locations), Niagara Falls (Ontario) and Singapore in March amid the COVID-19 pandemic. In June, the Company re-opened Hershey’s Chocolate World stores in the United States and Niagara Falls (Ontario) on a limited capacity basis with increased safety measures and enforced social distancing. The Company's Chocolate World store in Singapore remains temporarily closed.</w:t>
      </w:r>
    </w:p>
    <w:p>
      <w:pPr>
        <w:spacing w:after="0" w:line="12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International and Other segment generated losses of $4.0 million in the second quarter of 2020 compared to income of $21.9 million in the second quarter of 2019. This decrease was driven by the lower level of net sales associated with the COVID-19 disruption.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2020 vs. First Six Months 2019</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Net sales of our International and Other segment decreased $92.7 million or 22.7% in the first six months of 2020 compared to the same period of 2019, reflecting a volume decrease of 19.0%, an unfavorable impact from foreign currency exchange rates of 3.4%, and unfavorable price realization of 0.3%. The volume decrease was attributed to significant sales declines in our strategic focus markets, most notably China and Mexico, where net sales declined by 41.4% and 26.4%, respectively, as well as reduced sales in our export markets, due to the implementation of quarantine protocols by local governments to mitigate the spread of COVID-19.</w:t>
      </w:r>
    </w:p>
    <w:p>
      <w:pPr>
        <w:spacing w:after="0" w:line="1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International and Other segment also includes licensing, owned retail and world travel retail, where net sales declined approximately 31.5% during the first six months of 2020 as the Company temporarily closed all Hershey’s Chocolate World stores in the United States (3 locations), Niagara Falls (Ontario) and Singapore in March amid the COVID-19 pandemic. In June, the Company re-opened Hershey’s Chocolate World stores in the United States and Niagara Falls (Ontario) on a limited capacity basis with increased safety measures and enforced social distancing. The Company's Chocolate World store in Singapore remains temporarily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ind w:right="80"/>
        <w:spacing w:after="0" w:line="277" w:lineRule="auto"/>
        <w:rPr>
          <w:sz w:val="20"/>
          <w:szCs w:val="20"/>
          <w:color w:val="auto"/>
        </w:rPr>
      </w:pPr>
      <w:r>
        <w:rPr>
          <w:rFonts w:ascii="Arial" w:cs="Arial" w:eastAsia="Arial" w:hAnsi="Arial"/>
          <w:sz w:val="18"/>
          <w:szCs w:val="18"/>
          <w:color w:val="auto"/>
        </w:rPr>
        <w:t>Our International and Other segment generated income of $12.0 million in the first six months of 2020 compared to $42.2 million in the first six months of 2019. This decrease was driven by the lower level of net sales associated with the COVID-19 disruption.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14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the second quarter of 2020, unallocated corporate expense totaled $106.9 million, as compared to $125.2 million in the second quarter of 2019, primarily driven by savings in travel and meeting expenses related to COVID-19 travel restrictions and lower incentive compensation. In the first six months of 2020, unallocated corporate expense totaled $231.4 million, as compared to $242.9 million in the first six months of 2019 primarily driven by savings in travel and meeting expenses related to COVID-19 travel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4" w:name="page45"/>
    <w:bookmarkEnd w:id="44"/>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At June 28, 2020, our cash and cash equivalents totaled $1.2 billion. At December 31, 2019, our cash and cash equivalents totaled $493.3 million. Our cash and cash equivalents during the first six months of 2020 increased $672.1 million compared to the 2019 year-end balance. This increase was predominantly due to our $1 billion Notes issuance in May 2020 as we intend to mitigate any potential COVID-19 risks, partially offset by the repayment of $350 million Notes that matured in May 2020. Additional detail regarding the net sources of cash are outlined in the following discussion.</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Approximately 30% of the balance of our cash and cash equivalents at June 28, 2020 was held by subsidiaries domiciled outside of the United States. During the first six months of 2020, previously undistributed earnings of certain international subsidiaries were no longer considered indefinitely reinvested; however, the Company had previously recognized a one-time U.S. repatriation tax due under U.S. tax reform, and as a result, only an immaterial amount of withholding tax was recognized. For the remainder of the Company’s cash held by international subsidiaries, we intend to continue to reinvest the undistributed earnings indefinitely. We believe we have sufficient liquidity to satisfy our cash needs, including our cash needs in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64"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37465</wp:posOffset>
            </wp:positionV>
            <wp:extent cx="27946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3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millions of dollars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(used in):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2220" w:val="left"/>
        </w:tabs>
        <w:rPr>
          <w:sz w:val="20"/>
          <w:szCs w:val="20"/>
          <w:color w:val="auto"/>
        </w:rPr>
      </w:pPr>
      <w:r>
        <w:rPr>
          <w:rFonts w:ascii="Arial" w:cs="Arial" w:eastAsia="Arial" w:hAnsi="Arial"/>
          <w:sz w:val="16"/>
          <w:szCs w:val="16"/>
          <w:b w:val="1"/>
          <w:bCs w:val="1"/>
          <w:color w:val="auto"/>
        </w:rPr>
        <w:t>June 28, 2020</w:t>
      </w:r>
      <w:r>
        <w:rPr>
          <w:sz w:val="20"/>
          <w:szCs w:val="20"/>
          <w:color w:val="auto"/>
        </w:rPr>
        <w:tab/>
      </w: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37465</wp:posOffset>
            </wp:positionV>
            <wp:extent cx="711517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6700" w:space="720"/>
            <w:col w:w="382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125" w:lineRule="exact"/>
        <w:rPr>
          <w:sz w:val="20"/>
          <w:szCs w:val="20"/>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 xml:space="preserve">Less: Cash classified as assets held for sale (see </w:t>
      </w:r>
      <w:hyperlink w:anchor="page21">
        <w:r>
          <w:rPr>
            <w:rFonts w:ascii="Arial" w:cs="Arial" w:eastAsia="Arial" w:hAnsi="Arial"/>
            <w:sz w:val="17"/>
            <w:szCs w:val="17"/>
            <w:u w:val="single" w:color="auto"/>
            <w:color w:val="0000FF"/>
          </w:rPr>
          <w:t>Note 8</w:t>
        </w:r>
      </w:hyperlink>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196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 (decrease) in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614.0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(209.8)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295.9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7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57785</wp:posOffset>
            </wp:positionV>
            <wp:extent cx="13633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5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679.3</w:t>
      </w:r>
    </w:p>
    <w:p>
      <w:pPr>
        <w:spacing w:after="0" w:line="75"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(206.4)</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(698.7)</w:t>
      </w:r>
    </w:p>
    <w:p>
      <w:pPr>
        <w:spacing w:after="0" w:line="6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3.8</w:t>
      </w:r>
    </w:p>
    <w:p>
      <w:pPr>
        <w:spacing w:after="0" w:line="6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13633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571" w:lineRule="exact"/>
        <w:rPr>
          <w:sz w:val="20"/>
          <w:szCs w:val="20"/>
          <w:color w:val="auto"/>
        </w:rPr>
      </w:pPr>
    </w:p>
    <w:p>
      <w:pPr>
        <w:sectPr>
          <w:pgSz w:w="11900" w:h="16838" w:orient="portrait"/>
          <w:cols w:equalWidth="0" w:num="3">
            <w:col w:w="6120" w:space="720"/>
            <w:col w:w="1980" w:space="260"/>
            <w:col w:w="2160"/>
          </w:cols>
          <w:pgMar w:left="320" w:top="1440" w:right="339" w:bottom="1440"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We generated cash of $614.0 million from operating activities in the first six months of 2020, a decrease of $65.3 million compared to $679.3 million in the same period of 2019. This decrease in net cash provided by operating activities was mainly driven by the following factors:</w:t>
      </w:r>
    </w:p>
    <w:p>
      <w:pPr>
        <w:spacing w:after="0" w:line="116" w:lineRule="exact"/>
        <w:rPr>
          <w:sz w:val="20"/>
          <w:szCs w:val="20"/>
          <w:color w:val="auto"/>
        </w:rPr>
      </w:pPr>
    </w:p>
    <w:p>
      <w:pPr>
        <w:ind w:left="340" w:right="60" w:hanging="332"/>
        <w:spacing w:after="0" w:line="342"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adjusted for non-cash charges to operations (including depreciation, amortization, stock-based compensation, deferred income taxes, long-lived asset charges, a write-down of equity investments and other charges) resulted in $69.5 million of lower cash flow in 2020 relative to 2019.</w:t>
      </w:r>
    </w:p>
    <w:p>
      <w:pPr>
        <w:spacing w:after="0" w:line="69" w:lineRule="exact"/>
        <w:rPr>
          <w:rFonts w:ascii="Arial" w:cs="Arial" w:eastAsia="Arial" w:hAnsi="Arial"/>
          <w:sz w:val="16"/>
          <w:szCs w:val="16"/>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working capital (comprised of trade accounts receivable, inventory, accounts payable and accrued liabilities) consumed cash of $201.9 million in</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2020 and $151.5 million in 2019. This $50.4 million fluctuation was mainly driven by the following factor:</w:t>
      </w:r>
    </w:p>
    <w:p>
      <w:pPr>
        <w:spacing w:after="0" w:line="156" w:lineRule="exact"/>
        <w:rPr>
          <w:rFonts w:ascii="Arial" w:cs="Arial" w:eastAsia="Arial" w:hAnsi="Arial"/>
          <w:sz w:val="16"/>
          <w:szCs w:val="16"/>
          <w:color w:val="auto"/>
        </w:rPr>
      </w:pPr>
    </w:p>
    <w:p>
      <w:pPr>
        <w:ind w:left="980" w:right="160" w:hanging="324"/>
        <w:spacing w:after="0" w:line="263" w:lineRule="auto"/>
        <w:tabs>
          <w:tab w:leader="none" w:pos="9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$43.6 million decrease in cash provided by accounts receivable, primarily driven by a decrease in shorter term sales as well as timing of customer payments, resulting in a slightly higher investment in accounts receivable at the end of the second quarter of 2020 compared to the same period of 2019.</w:t>
      </w:r>
    </w:p>
    <w:p>
      <w:pPr>
        <w:spacing w:after="0" w:line="129"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$24.2 million increase in cash used by other assets and liabilities, primarily driven by the effect of commodity derivative activity in 2020 relative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225"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decrease in cash provided by operating activities was partially offset by the following net cash inflow:</w:t>
      </w:r>
    </w:p>
    <w:p>
      <w:pPr>
        <w:spacing w:after="0" w:line="171" w:lineRule="exact"/>
        <w:rPr>
          <w:rFonts w:ascii="Arial" w:cs="Arial" w:eastAsia="Arial" w:hAnsi="Arial"/>
          <w:sz w:val="18"/>
          <w:szCs w:val="18"/>
          <w:color w:val="auto"/>
        </w:rPr>
      </w:pPr>
    </w:p>
    <w:p>
      <w:pPr>
        <w:ind w:left="980" w:right="240" w:hanging="324"/>
        <w:spacing w:after="0" w:line="263" w:lineRule="auto"/>
        <w:tabs>
          <w:tab w:leader="none" w:pos="97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Incomes taxes generated cash of $65.2 million in 2020, compared to cash used of $15.5 million in 2019. This $80.7 million fluctuation was primarily due to the deferral of quarterly estimated tax payments in 2020 as a result of the CARES Act. We paid income taxes of $71.6 million during 2020 compared to $136.9 million in the same period of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used cash of $209.8 million for investing activities in the first six months of 2020, an increase of $3.4 million compared to $206.4 million in the same period of 2019. This increase in net cash used in investing activities was mainly driven by the following factors:</w:t>
      </w:r>
    </w:p>
    <w:p>
      <w:pPr>
        <w:spacing w:after="0" w:line="116" w:lineRule="exact"/>
        <w:rPr>
          <w:sz w:val="20"/>
          <w:szCs w:val="20"/>
          <w:color w:val="auto"/>
        </w:rPr>
      </w:pPr>
    </w:p>
    <w:p>
      <w:pPr>
        <w:ind w:left="340" w:right="380" w:hanging="332"/>
        <w:spacing w:after="0" w:line="259" w:lineRule="auto"/>
        <w:tabs>
          <w:tab w:leader="none" w:pos="33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w:t>
      </w:r>
      <w:r>
        <w:rPr>
          <w:rFonts w:ascii="Arial" w:cs="Arial" w:eastAsia="Arial" w:hAnsi="Arial"/>
          <w:sz w:val="18"/>
          <w:szCs w:val="18"/>
          <w:color w:val="auto"/>
        </w:rPr>
        <w:t>. Capital expenditures, including capitalized software, primarily to support capacity expansion, innovation and cost savings, were</w:t>
      </w:r>
      <w:r>
        <w:rPr>
          <w:rFonts w:ascii="Arial" w:cs="Arial" w:eastAsia="Arial" w:hAnsi="Arial"/>
          <w:sz w:val="18"/>
          <w:szCs w:val="18"/>
          <w:i w:val="1"/>
          <w:iCs w:val="1"/>
          <w:color w:val="auto"/>
        </w:rPr>
        <w:t xml:space="preserve"> </w:t>
      </w:r>
      <w:r>
        <w:rPr>
          <w:rFonts w:ascii="Arial" w:cs="Arial" w:eastAsia="Arial" w:hAnsi="Arial"/>
          <w:sz w:val="18"/>
          <w:szCs w:val="18"/>
          <w:color w:val="auto"/>
        </w:rPr>
        <w:t>$185.8 million in the first six months of 2020 compared to $176.3 million in the same period of 2019. For full year 2020, we expect capital expenditures, including capitalized software, to approximate $400 million to $450 million, as we continue to evaluate and re-prioritize our capital projects amid the COVID-19 pandemic.</w:t>
      </w:r>
    </w:p>
    <w:p>
      <w:pPr>
        <w:spacing w:after="0" w:line="132" w:lineRule="exact"/>
        <w:rPr>
          <w:rFonts w:ascii="Arial" w:cs="Arial" w:eastAsia="Arial" w:hAnsi="Arial"/>
          <w:sz w:val="18"/>
          <w:szCs w:val="18"/>
          <w:i w:val="1"/>
          <w:iCs w:val="1"/>
          <w:color w:val="auto"/>
        </w:rPr>
      </w:pPr>
    </w:p>
    <w:p>
      <w:pPr>
        <w:ind w:left="340" w:right="140" w:hanging="332"/>
        <w:spacing w:after="0" w:line="263"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$26.4 million in the first six months of 2020, compared to $30.3 million in the same period of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We generated cash of $295.9 million from financing activities in the first six months of 2020, an increase of $994.6 million compared to cash used of $698.7 million in the same period of 2019. This increase in net cash provided by financing activities was mainly driven by the following factors:</w:t>
      </w:r>
    </w:p>
    <w:p>
      <w:pPr>
        <w:spacing w:after="0" w:line="70" w:lineRule="exact"/>
        <w:rPr>
          <w:sz w:val="20"/>
          <w:szCs w:val="20"/>
          <w:color w:val="auto"/>
        </w:rPr>
      </w:pPr>
    </w:p>
    <w:p>
      <w:pPr>
        <w:jc w:val="both"/>
        <w:ind w:left="340" w:right="380" w:hanging="332"/>
        <w:spacing w:after="0" w:line="287" w:lineRule="auto"/>
        <w:tabs>
          <w:tab w:leader="none" w:pos="335"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During the first six months of 2020, we generated cash flow of $166.0 million predominantly through the issuance of short-term commercial paper, as well as an increase in short-term foreign bank borrowings. During the</w:t>
      </w:r>
    </w:p>
    <w:p>
      <w:pPr>
        <w:spacing w:after="0" w:line="2" w:lineRule="exact"/>
        <w:rPr>
          <w:rFonts w:ascii="Arial" w:cs="Arial" w:eastAsia="Arial" w:hAnsi="Arial"/>
          <w:sz w:val="16"/>
          <w:szCs w:val="16"/>
          <w:i w:val="1"/>
          <w:iCs w:val="1"/>
          <w:color w:val="auto"/>
        </w:rPr>
      </w:pPr>
    </w:p>
    <w:p>
      <w:pPr>
        <w:ind w:left="340"/>
        <w:spacing w:after="0" w:line="260" w:lineRule="auto"/>
        <w:rPr>
          <w:rFonts w:ascii="Arial" w:cs="Arial" w:eastAsia="Arial" w:hAnsi="Arial"/>
          <w:sz w:val="16"/>
          <w:szCs w:val="16"/>
          <w:i w:val="1"/>
          <w:iCs w:val="1"/>
          <w:color w:val="auto"/>
        </w:rPr>
      </w:pPr>
      <w:r>
        <w:rPr>
          <w:rFonts w:ascii="Arial" w:cs="Arial" w:eastAsia="Arial" w:hAnsi="Arial"/>
          <w:sz w:val="18"/>
          <w:szCs w:val="18"/>
          <w:color w:val="auto"/>
        </w:rPr>
        <w:t>first six months of 2019, we had a net reduction in short-term borrowings of $311.2 million primarily due to repayments on commercial paper, partially offset by increases in short-term foreign borrowings.</w:t>
      </w:r>
    </w:p>
    <w:p>
      <w:pPr>
        <w:spacing w:after="0" w:line="131" w:lineRule="exact"/>
        <w:rPr>
          <w:rFonts w:ascii="Arial" w:cs="Arial" w:eastAsia="Arial" w:hAnsi="Arial"/>
          <w:sz w:val="16"/>
          <w:szCs w:val="16"/>
          <w:i w:val="1"/>
          <w:iCs w:val="1"/>
          <w:color w:val="auto"/>
        </w:rPr>
      </w:pPr>
    </w:p>
    <w:p>
      <w:pPr>
        <w:jc w:val="both"/>
        <w:ind w:left="340" w:right="80" w:hanging="332"/>
        <w:spacing w:after="0" w:line="287" w:lineRule="auto"/>
        <w:tabs>
          <w:tab w:leader="none" w:pos="335"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Long-term debt borrowings and repayments</w:t>
      </w:r>
      <w:r>
        <w:rPr>
          <w:rFonts w:ascii="Arial" w:cs="Arial" w:eastAsia="Arial" w:hAnsi="Arial"/>
          <w:sz w:val="16"/>
          <w:szCs w:val="16"/>
          <w:color w:val="auto"/>
        </w:rPr>
        <w:t>. During the first six months of 2020, we issued $300 million of 0.900% Notes due in 2025, $350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of 1.700% Notes due in 2030 and $350 million of 2.650% Notes due in 2050 (the "2020 Notes"). Proceeds from the issuance of the 2020 Notes, net of discounts and issuance costs, totaled $989.9 million. Additionally, in May 2020, we repaid $350 million of 2.900% Notes due upon their maturity.</w:t>
      </w:r>
    </w:p>
    <w:p>
      <w:pPr>
        <w:spacing w:after="0" w:line="2" w:lineRule="exact"/>
        <w:rPr>
          <w:rFonts w:ascii="Arial" w:cs="Arial" w:eastAsia="Arial" w:hAnsi="Arial"/>
          <w:sz w:val="16"/>
          <w:szCs w:val="16"/>
          <w:i w:val="1"/>
          <w:iCs w:val="1"/>
          <w:color w:val="auto"/>
        </w:rPr>
      </w:pPr>
    </w:p>
    <w:p>
      <w:pPr>
        <w:ind w:left="340"/>
        <w:spacing w:after="0"/>
        <w:rPr>
          <w:rFonts w:ascii="Arial" w:cs="Arial" w:eastAsia="Arial" w:hAnsi="Arial"/>
          <w:sz w:val="16"/>
          <w:szCs w:val="16"/>
          <w:i w:val="1"/>
          <w:iCs w:val="1"/>
          <w:color w:val="auto"/>
        </w:rPr>
      </w:pPr>
      <w:r>
        <w:rPr>
          <w:rFonts w:ascii="Arial" w:cs="Arial" w:eastAsia="Arial" w:hAnsi="Arial"/>
          <w:sz w:val="18"/>
          <w:szCs w:val="18"/>
          <w:color w:val="auto"/>
        </w:rPr>
        <w:t>During the first six months of 2019, our long-term debt borrowings and repayments activity was minimal.</w:t>
      </w:r>
    </w:p>
    <w:p>
      <w:pPr>
        <w:spacing w:after="0" w:line="156" w:lineRule="exact"/>
        <w:rPr>
          <w:rFonts w:ascii="Arial" w:cs="Arial" w:eastAsia="Arial" w:hAnsi="Arial"/>
          <w:sz w:val="16"/>
          <w:szCs w:val="16"/>
          <w:i w:val="1"/>
          <w:iCs w:val="1"/>
          <w:color w:val="auto"/>
        </w:rPr>
      </w:pPr>
    </w:p>
    <w:p>
      <w:pPr>
        <w:ind w:left="340" w:right="180" w:hanging="332"/>
        <w:spacing w:after="0" w:line="263"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$314.3 million during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2020, an increase of $18.8 million compared to $295.5 million in the same period of 2019. Details regarding our 2020 cash dividends paid to stockholders are as follows:</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Quarter Ended</w:t>
            </w:r>
          </w:p>
        </w:tc>
        <w:tc>
          <w:tcPr>
            <w:tcW w:w="1540" w:type="dxa"/>
            <w:vAlign w:val="bottom"/>
            <w:tcBorders>
              <w:bottom w:val="single" w:sz="8" w:color="auto"/>
            </w:tcBorders>
          </w:tcPr>
          <w:p>
            <w:pPr>
              <w:spacing w:after="0"/>
              <w:rPr>
                <w:sz w:val="16"/>
                <w:szCs w:val="16"/>
                <w:color w:val="auto"/>
              </w:rPr>
            </w:pPr>
          </w:p>
        </w:tc>
      </w:tr>
      <w:tr>
        <w:trPr>
          <w:trHeight w:val="197"/>
        </w:trPr>
        <w:tc>
          <w:tcPr>
            <w:tcW w:w="6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8"/>
              </w:rPr>
              <w:t>June 28, 2020</w:t>
            </w:r>
          </w:p>
        </w:tc>
      </w:tr>
      <w:tr>
        <w:trPr>
          <w:trHeight w:val="25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Dividends paid per share – Common stock</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0.773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0.773</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Dividends paid per share – Class B common stock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0.702</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0.702</w:t>
            </w:r>
          </w:p>
        </w:tc>
      </w:tr>
      <w:tr>
        <w:trPr>
          <w:trHeight w:val="27"/>
        </w:trPr>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cash dividends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156.5</w:t>
            </w:r>
          </w:p>
        </w:tc>
      </w:tr>
      <w:tr>
        <w:trPr>
          <w:trHeight w:val="27"/>
        </w:trPr>
        <w:tc>
          <w:tcPr>
            <w:tcW w:w="6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Declaration date</w:t>
            </w:r>
          </w:p>
        </w:tc>
        <w:tc>
          <w:tcPr>
            <w:tcW w:w="4980" w:type="dxa"/>
            <w:vAlign w:val="bottom"/>
            <w:gridSpan w:val="2"/>
          </w:tcPr>
          <w:p>
            <w:pPr>
              <w:jc w:val="right"/>
              <w:ind w:right="470"/>
              <w:spacing w:after="0"/>
              <w:rPr>
                <w:sz w:val="20"/>
                <w:szCs w:val="20"/>
                <w:color w:val="auto"/>
              </w:rPr>
            </w:pPr>
            <w:r>
              <w:rPr>
                <w:rFonts w:ascii="Arial" w:cs="Arial" w:eastAsia="Arial" w:hAnsi="Arial"/>
                <w:sz w:val="18"/>
                <w:szCs w:val="18"/>
                <w:color w:val="auto"/>
              </w:rPr>
              <w:t>January 28, 2020</w:t>
            </w:r>
          </w:p>
        </w:tc>
        <w:tc>
          <w:tcPr>
            <w:tcW w:w="1620" w:type="dxa"/>
            <w:vAlign w:val="bottom"/>
          </w:tcPr>
          <w:p>
            <w:pPr>
              <w:jc w:val="right"/>
              <w:spacing w:after="0"/>
              <w:rPr>
                <w:sz w:val="20"/>
                <w:szCs w:val="20"/>
                <w:color w:val="auto"/>
              </w:rPr>
            </w:pPr>
            <w:r>
              <w:rPr>
                <w:rFonts w:ascii="Arial" w:cs="Arial" w:eastAsia="Arial" w:hAnsi="Arial"/>
                <w:sz w:val="18"/>
                <w:szCs w:val="18"/>
                <w:color w:val="auto"/>
              </w:rPr>
              <w:t>April 21, 2020</w:t>
            </w:r>
          </w:p>
        </w:tc>
      </w:tr>
      <w:tr>
        <w:trPr>
          <w:trHeight w:val="27"/>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 date</w:t>
            </w:r>
          </w:p>
        </w:tc>
        <w:tc>
          <w:tcPr>
            <w:tcW w:w="4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21,</w:t>
            </w:r>
          </w:p>
        </w:tc>
        <w:tc>
          <w:tcPr>
            <w:tcW w:w="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89"/>
              </w:rPr>
              <w:t>2020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May 22, 2020</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Payment date</w:t>
            </w:r>
          </w:p>
        </w:tc>
        <w:tc>
          <w:tcPr>
            <w:tcW w:w="4040" w:type="dxa"/>
            <w:vAlign w:val="bottom"/>
          </w:tcPr>
          <w:p>
            <w:pPr>
              <w:jc w:val="right"/>
              <w:spacing w:after="0"/>
              <w:rPr>
                <w:sz w:val="20"/>
                <w:szCs w:val="20"/>
                <w:color w:val="auto"/>
              </w:rPr>
            </w:pPr>
            <w:r>
              <w:rPr>
                <w:rFonts w:ascii="Arial" w:cs="Arial" w:eastAsia="Arial" w:hAnsi="Arial"/>
                <w:sz w:val="18"/>
                <w:szCs w:val="18"/>
                <w:color w:val="auto"/>
              </w:rPr>
              <w:t>March 16,</w:t>
            </w:r>
          </w:p>
        </w:tc>
        <w:tc>
          <w:tcPr>
            <w:tcW w:w="940" w:type="dxa"/>
            <w:vAlign w:val="bottom"/>
          </w:tcPr>
          <w:p>
            <w:pPr>
              <w:jc w:val="right"/>
              <w:ind w:right="470"/>
              <w:spacing w:after="0"/>
              <w:rPr>
                <w:sz w:val="20"/>
                <w:szCs w:val="20"/>
                <w:color w:val="auto"/>
              </w:rPr>
            </w:pPr>
            <w:r>
              <w:rPr>
                <w:rFonts w:ascii="Arial" w:cs="Arial" w:eastAsia="Arial" w:hAnsi="Arial"/>
                <w:sz w:val="18"/>
                <w:szCs w:val="18"/>
                <w:color w:val="auto"/>
                <w:w w:val="89"/>
              </w:rPr>
              <w:t>2020</w:t>
            </w:r>
          </w:p>
        </w:tc>
        <w:tc>
          <w:tcPr>
            <w:tcW w:w="1620" w:type="dxa"/>
            <w:vAlign w:val="bottom"/>
          </w:tcPr>
          <w:p>
            <w:pPr>
              <w:jc w:val="right"/>
              <w:spacing w:after="0"/>
              <w:rPr>
                <w:sz w:val="20"/>
                <w:szCs w:val="20"/>
                <w:color w:val="auto"/>
              </w:rPr>
            </w:pPr>
            <w:r>
              <w:rPr>
                <w:rFonts w:ascii="Arial" w:cs="Arial" w:eastAsia="Arial" w:hAnsi="Arial"/>
                <w:sz w:val="18"/>
                <w:szCs w:val="18"/>
                <w:color w:val="auto"/>
              </w:rPr>
              <w:t>June 15,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left="340" w:right="120" w:hanging="332"/>
        <w:spacing w:after="0" w:line="263" w:lineRule="auto"/>
        <w:tabs>
          <w:tab w:leader="none" w:pos="33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used cash for total share repurchases of $211.2 million and $254.4 million during the first six months of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pursuant to our practice of replenishing shares issued for stock options and incentive compensation, as well as shares repurchased in the open market under pre-approved share repurchase programs.</w:t>
      </w:r>
    </w:p>
    <w:p>
      <w:pPr>
        <w:spacing w:after="0" w:line="129" w:lineRule="exact"/>
        <w:rPr>
          <w:rFonts w:ascii="Arial" w:cs="Arial" w:eastAsia="Arial" w:hAnsi="Arial"/>
          <w:sz w:val="18"/>
          <w:szCs w:val="18"/>
          <w:i w:val="1"/>
          <w:iCs w:val="1"/>
          <w:color w:val="auto"/>
        </w:rPr>
      </w:pPr>
    </w:p>
    <w:p>
      <w:pPr>
        <w:ind w:left="340" w:hanging="332"/>
        <w:spacing w:after="0" w:line="263" w:lineRule="auto"/>
        <w:tabs>
          <w:tab w:leader="none" w:pos="33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$17.5 million from employee exercises of stock options,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taxes withheld from share-based awards, during the first six months of 2020, a decrease of $143.9 million compared to $161.4 million in the same period of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recently adopted and issued accounting standards is included in </w:t>
      </w:r>
      <w:hyperlink w:anchor="page9">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Hershey Company | Q2 2020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47" w:name="page48"/>
    <w:bookmarkEnd w:id="47"/>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16" w:lineRule="exact"/>
        <w:rPr>
          <w:sz w:val="20"/>
          <w:szCs w:val="20"/>
          <w:color w:val="auto"/>
        </w:rPr>
      </w:pPr>
    </w:p>
    <w:p>
      <w:pPr>
        <w:ind w:left="260" w:right="640" w:hanging="252"/>
        <w:spacing w:after="0" w:line="263"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negatively impact our operating results;</w:t>
      </w:r>
    </w:p>
    <w:p>
      <w:pPr>
        <w:spacing w:after="0" w:line="129"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820" w:hanging="252"/>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right="400" w:hanging="252"/>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financial results may be adversely impacted by the failure to successfully execute or integrate acquisitions, divestitures and joint ventures;</w:t>
      </w:r>
    </w:p>
    <w:p>
      <w:pPr>
        <w:spacing w:after="0" w:line="182" w:lineRule="exact"/>
        <w:rPr>
          <w:rFonts w:ascii="Arial" w:cs="Arial" w:eastAsia="Arial" w:hAnsi="Arial"/>
          <w:sz w:val="17"/>
          <w:szCs w:val="17"/>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right="920" w:hanging="252"/>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international operations may not achieve projected growth objectives, which could adversely impact our overall business and results of operations;</w:t>
      </w:r>
    </w:p>
    <w:p>
      <w:pPr>
        <w:spacing w:after="0" w:line="116"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171" w:lineRule="exact"/>
        <w:rPr>
          <w:rFonts w:ascii="Arial" w:cs="Arial" w:eastAsia="Arial" w:hAnsi="Arial"/>
          <w:sz w:val="18"/>
          <w:szCs w:val="18"/>
          <w:color w:val="auto"/>
        </w:rPr>
      </w:pPr>
    </w:p>
    <w:p>
      <w:pPr>
        <w:ind w:left="260" w:right="1140" w:hanging="252"/>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rFonts w:ascii="Arial" w:cs="Arial" w:eastAsia="Arial" w:hAnsi="Arial"/>
          <w:sz w:val="18"/>
          <w:szCs w:val="18"/>
          <w:color w:val="auto"/>
        </w:rPr>
      </w:pPr>
    </w:p>
    <w:p>
      <w:pPr>
        <w:ind w:left="260" w:right="980" w:hanging="252"/>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Complications with the design or implementation of our new enterprise resource planning system could adversely impact our business and operations;</w:t>
      </w:r>
    </w:p>
    <w:p>
      <w:pPr>
        <w:spacing w:after="0" w:line="116" w:lineRule="exact"/>
        <w:rPr>
          <w:rFonts w:ascii="Arial" w:cs="Arial" w:eastAsia="Arial" w:hAnsi="Arial"/>
          <w:sz w:val="18"/>
          <w:szCs w:val="18"/>
          <w:color w:val="auto"/>
        </w:rPr>
      </w:pPr>
    </w:p>
    <w:p>
      <w:pPr>
        <w:ind w:left="260" w:hanging="252"/>
        <w:spacing w:after="0" w:line="263"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current COVID-19 global pandemic;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Q2 2020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ind w:left="260" w:right="780" w:hanging="252"/>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other matters as discussed in our 2019 Annual Report on Form 10-K, our Quarterly Report on Form 10-Q for the quarterly period ended March 29, 2020, and our Current Report on Form 8-K filed May 27, 2020.</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total notional amount of interest rate swaps outstanding at June 28, 2020 and December 31, 2019 was $350 million. The notional amount relates to fixed-to-floating interest rate swaps which convert a comparable amount of fixed-rate debt to variable rate debt at June 28, 2020 and December 31, 2019. A hypothetical 100 basis point increase in interest rates applied to this now variable-rate debt as of June 28, 2020 would have increased interest expense by approximately $1.8 million for the first six months of 2020 and $3.5 million for the full year 2019.</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total amount of short-term debt, net of cash, amounted to net cash positions of $257 million and $461 million, respectively, at June 28, 2020 and December 31, 2019. A hypothetical 100 basis point increase in interest rates applied to this variable-rate short-term debt as of June 28, 2020 would have changed interest expense by approximately $3.1 million for the first six months of 2020 and $4.3 million for the full year 2019.</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June 28, 2020 and December 31, 2019 by approximately $365 million and $246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$24.3 million as of June 28, 2020 and $55.4 million as of December 31, 2019, generally offset by a reduction in foreign exchange associated with our transactional activities.</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open commodity derivative contracts had a notional value of $817.5 million as of June 28, 2020 and $589.7 million as of December 31, 2019. At the end of the second quarter 2020, the potential change in fair value of commodity derivative instruments, assuming a 10% decrease in the underlying commodity price, would have increased our net unrealized losses by $74.8 million, generally offset by a reduction in the cost of the underlying commodity 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2019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9" w:name="page50"/>
    <w:bookmarkEnd w:id="49"/>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28, 2020. Based on this evaluation, our Chief Executive Officer and Chief Financial Officer concluded that our disclosure controls and procedures were effective as of June 28, 2020.</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We have completed the implementation of certain processes, including our consolidated financial reporting platform in the second quarter of 2018, as well as our trade promotions and direct marketing systems in the first quarter of 2019. These transitions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28,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Hershey Company | Q2 2020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legal proceedings is included in </w:t>
      </w:r>
      <w:hyperlink w:anchor="page30">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evaluating an investment in our Common Stock, investors should consider carefully, among other things, the risk factors previously disclosed in Part I, Item 1A, “Risk Factors,” of our 2019 Annual Report on Form 10-K, Part II, Item 1A, “Risk Factors,” of our Quarterly Report on Form 10-Q for the quarterly period ended March 29, 2020 (the “Q2 2020 Quarterly Report”), Item 8.01 of our Current Report on Form 8-K filed May 27, 2020 and the information contained in this Quarterly Report on Form 10-Q and our other reports and registration statements filed with the SEC. Except as described in our Q2 2020 Quarterly Report and our Current Report on Form 8-K filed on May 27, 2020, there have been no material changes with respect to the risk factors disclosed in our 2019 Annual Report on Form 10-K.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10b-18(a)(3) under the Securities Exchange Act of 1934, as amended) of Hershey, for each fiscal month in the three months ended June 28, 2020:</w:t>
      </w:r>
    </w:p>
    <w:p>
      <w:pPr>
        <w:spacing w:after="0" w:line="61"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center"/>
              <w:ind w:right="77"/>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vMerge w:val="restart"/>
          </w:tcPr>
          <w:p>
            <w:pPr>
              <w:jc w:val="center"/>
              <w:spacing w:after="0" w:line="184" w:lineRule="exact"/>
              <w:rPr>
                <w:sz w:val="20"/>
                <w:szCs w:val="20"/>
                <w:color w:val="auto"/>
              </w:rPr>
            </w:pPr>
            <w:r>
              <w:rPr>
                <w:rFonts w:ascii="Arial" w:cs="Arial" w:eastAsia="Arial" w:hAnsi="Arial"/>
                <w:sz w:val="16"/>
                <w:szCs w:val="16"/>
                <w:b w:val="1"/>
                <w:bCs w:val="1"/>
                <w:color w:val="auto"/>
                <w:w w:val="91"/>
              </w:rPr>
              <w:t>Total Number of</w:t>
            </w:r>
            <w:r>
              <w:rPr>
                <w:rFonts w:ascii="MS PGothic" w:cs="MS PGothic" w:eastAsia="MS PGothic" w:hAnsi="MS PGothic"/>
                <w:sz w:val="16"/>
                <w:szCs w:val="16"/>
                <w:color w:val="auto"/>
                <w:w w:val="91"/>
              </w:rPr>
              <w:t> </w:t>
            </w:r>
            <w:r>
              <w:rPr>
                <w:rFonts w:ascii="Arial" w:cs="Arial" w:eastAsia="Arial" w:hAnsi="Arial"/>
                <w:sz w:val="16"/>
                <w:szCs w:val="16"/>
                <w:b w:val="1"/>
                <w:bCs w:val="1"/>
                <w:color w:val="auto"/>
                <w:w w:val="91"/>
              </w:rPr>
              <w:t>Shares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center"/>
              <w:ind w:right="77"/>
              <w:spacing w:after="0"/>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center"/>
              <w:ind w:right="97"/>
              <w:spacing w:after="0" w:line="162" w:lineRule="exact"/>
              <w:rPr>
                <w:sz w:val="20"/>
                <w:szCs w:val="20"/>
                <w:color w:val="auto"/>
              </w:rPr>
            </w:pPr>
            <w:r>
              <w:rPr>
                <w:rFonts w:ascii="Arial" w:cs="Arial" w:eastAsia="Arial" w:hAnsi="Arial"/>
                <w:sz w:val="16"/>
                <w:szCs w:val="16"/>
                <w:b w:val="1"/>
                <w:bCs w:val="1"/>
                <w:color w:val="auto"/>
                <w:w w:val="92"/>
              </w:rPr>
              <w:t>Shares that May</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3"/>
              </w:rPr>
              <w:t>Total Number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Price</w:t>
            </w:r>
          </w:p>
        </w:tc>
        <w:tc>
          <w:tcPr>
            <w:tcW w:w="1960" w:type="dxa"/>
            <w:vAlign w:val="bottom"/>
          </w:tcPr>
          <w:p>
            <w:pPr>
              <w:jc w:val="center"/>
              <w:spacing w:after="0" w:line="184" w:lineRule="exact"/>
              <w:rPr>
                <w:sz w:val="20"/>
                <w:szCs w:val="20"/>
                <w:color w:val="auto"/>
              </w:rPr>
            </w:pPr>
            <w:r>
              <w:rPr>
                <w:rFonts w:ascii="Arial" w:cs="Arial" w:eastAsia="Arial" w:hAnsi="Arial"/>
                <w:sz w:val="16"/>
                <w:szCs w:val="16"/>
                <w:b w:val="1"/>
                <w:bCs w:val="1"/>
                <w:color w:val="auto"/>
                <w:w w:val="89"/>
              </w:rPr>
              <w:t>Purchased</w:t>
            </w:r>
            <w:r>
              <w:rPr>
                <w:rFonts w:ascii="MS PGothic" w:cs="MS PGothic" w:eastAsia="MS PGothic" w:hAnsi="MS PGothic"/>
                <w:sz w:val="16"/>
                <w:szCs w:val="16"/>
                <w:color w:val="auto"/>
                <w:w w:val="89"/>
              </w:rPr>
              <w:t> </w:t>
            </w:r>
            <w:r>
              <w:rPr>
                <w:rFonts w:ascii="Arial" w:cs="Arial" w:eastAsia="Arial" w:hAnsi="Arial"/>
                <w:sz w:val="16"/>
                <w:szCs w:val="16"/>
                <w:b w:val="1"/>
                <w:bCs w:val="1"/>
                <w:color w:val="auto"/>
                <w:w w:val="89"/>
              </w:rPr>
              <w:t>as Part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center"/>
              <w:ind w:right="77"/>
              <w:spacing w:after="0"/>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Paid</w:t>
            </w:r>
          </w:p>
        </w:tc>
        <w:tc>
          <w:tcPr>
            <w:tcW w:w="1960" w:type="dxa"/>
            <w:vAlign w:val="bottom"/>
          </w:tcPr>
          <w:p>
            <w:pPr>
              <w:ind w:left="660"/>
              <w:spacing w:after="0" w:line="108" w:lineRule="exact"/>
              <w:rPr>
                <w:sz w:val="20"/>
                <w:szCs w:val="20"/>
                <w:color w:val="auto"/>
              </w:rPr>
            </w:pPr>
            <w:r>
              <w:rPr>
                <w:rFonts w:ascii="Arial" w:cs="Arial" w:eastAsia="Arial" w:hAnsi="Arial"/>
                <w:sz w:val="12"/>
                <w:szCs w:val="12"/>
                <w:b w:val="1"/>
                <w:bCs w:val="1"/>
                <w:color w:val="auto"/>
              </w:rPr>
              <w:t xml:space="preserve">Publicly </w:t>
            </w:r>
            <w:r>
              <w:rPr>
                <w:rFonts w:ascii="MS PGothic" w:cs="MS PGothic" w:eastAsia="MS PGothic" w:hAnsi="MS PGothic"/>
                <w:sz w:val="12"/>
                <w:szCs w:val="12"/>
                <w:color w:val="auto"/>
              </w:rPr>
              <w:t> </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vMerge w:val="restart"/>
          </w:tcPr>
          <w:p>
            <w:pPr>
              <w:jc w:val="center"/>
              <w:ind w:right="77"/>
              <w:spacing w:after="0"/>
              <w:rPr>
                <w:sz w:val="20"/>
                <w:szCs w:val="20"/>
                <w:color w:val="auto"/>
              </w:rPr>
            </w:pPr>
            <w:r>
              <w:rPr>
                <w:rFonts w:ascii="Arial" w:cs="Arial" w:eastAsia="Arial" w:hAnsi="Arial"/>
                <w:sz w:val="16"/>
                <w:szCs w:val="16"/>
                <w:b w:val="1"/>
                <w:bCs w:val="1"/>
                <w:color w:val="auto"/>
                <w:w w:val="92"/>
              </w:rPr>
              <w:t>Under the Plans or</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ind w:left="1340"/>
              <w:spacing w:after="0"/>
              <w:rPr>
                <w:sz w:val="20"/>
                <w:szCs w:val="20"/>
                <w:color w:val="auto"/>
              </w:rPr>
            </w:pPr>
            <w:r>
              <w:rPr>
                <w:rFonts w:ascii="Arial" w:cs="Arial" w:eastAsia="Arial" w:hAnsi="Arial"/>
                <w:sz w:val="16"/>
                <w:szCs w:val="16"/>
                <w:b w:val="1"/>
                <w:bCs w:val="1"/>
                <w:color w:val="auto"/>
              </w:rPr>
              <w:t>Period</w:t>
            </w: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 xml:space="preserve">Announced Plans </w:t>
            </w:r>
            <w:r>
              <w:rPr>
                <w:rFonts w:ascii="MS PGothic" w:cs="MS PGothic" w:eastAsia="MS PGothic" w:hAnsi="MS PGothic"/>
                <w:sz w:val="16"/>
                <w:szCs w:val="16"/>
                <w:color w:val="auto"/>
                <w:w w:val="91"/>
              </w:rPr>
              <w:t> </w:t>
            </w:r>
            <w:r>
              <w:rPr>
                <w:rFonts w:ascii="Arial" w:cs="Arial" w:eastAsia="Arial" w:hAnsi="Arial"/>
                <w:sz w:val="16"/>
                <w:szCs w:val="16"/>
                <w:b w:val="1"/>
                <w:bCs w:val="1"/>
                <w:color w:val="auto"/>
                <w:w w:val="91"/>
              </w:rPr>
              <w:t>or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80" w:type="dxa"/>
            <w:vAlign w:val="bottom"/>
            <w:gridSpan w:val="2"/>
            <w:vMerge w:val="continue"/>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per Share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1"/>
              </w:rPr>
              <w:t>Programs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center"/>
              <w:ind w:right="77"/>
              <w:spacing w:after="0"/>
              <w:rPr>
                <w:sz w:val="20"/>
                <w:szCs w:val="20"/>
                <w:color w:val="auto"/>
              </w:rPr>
            </w:pPr>
            <w:r>
              <w:rPr>
                <w:rFonts w:ascii="Arial" w:cs="Arial" w:eastAsia="Arial" w:hAnsi="Arial"/>
                <w:sz w:val="16"/>
                <w:szCs w:val="16"/>
                <w:b w:val="1"/>
                <w:bCs w:val="1"/>
                <w:color w:val="auto"/>
                <w:w w:val="93"/>
              </w:rPr>
              <w:t>Programs (2)</w:t>
            </w:r>
          </w:p>
        </w:tc>
        <w:tc>
          <w:tcPr>
            <w:tcW w:w="0" w:type="dxa"/>
            <w:vAlign w:val="bottom"/>
          </w:tcPr>
          <w:p>
            <w:pPr>
              <w:spacing w:after="0"/>
              <w:rPr>
                <w:sz w:val="1"/>
                <w:szCs w:val="1"/>
                <w:color w:val="auto"/>
              </w:rPr>
            </w:pPr>
          </w:p>
        </w:tc>
      </w:tr>
      <w:tr>
        <w:trPr>
          <w:trHeight w:val="193"/>
        </w:trPr>
        <w:tc>
          <w:tcPr>
            <w:tcW w:w="3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6"/>
              </w:rPr>
              <w:t>(in thousands of dollars)</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30 through April 26</w:t>
            </w:r>
          </w:p>
        </w:tc>
        <w:tc>
          <w:tcPr>
            <w:tcW w:w="1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285,000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140.15</w:t>
            </w:r>
          </w:p>
        </w:tc>
        <w:tc>
          <w:tcPr>
            <w:tcW w:w="1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43"/>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April 27 through May 24</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15,000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4"/>
              <w:spacing w:after="0"/>
              <w:rPr>
                <w:sz w:val="20"/>
                <w:szCs w:val="20"/>
                <w:color w:val="auto"/>
              </w:rPr>
            </w:pPr>
            <w:r>
              <w:rPr>
                <w:rFonts w:ascii="Arial" w:cs="Arial" w:eastAsia="Arial" w:hAnsi="Arial"/>
                <w:sz w:val="18"/>
                <w:szCs w:val="18"/>
                <w:color w:val="auto"/>
              </w:rPr>
              <w:t>138.38</w:t>
            </w:r>
          </w:p>
        </w:tc>
        <w:tc>
          <w:tcPr>
            <w:tcW w:w="120" w:type="dxa"/>
            <w:vAlign w:val="bottom"/>
          </w:tcPr>
          <w:p>
            <w:pPr>
              <w:spacing w:after="0"/>
              <w:rPr>
                <w:sz w:val="21"/>
                <w:szCs w:val="21"/>
                <w:color w:val="auto"/>
              </w:rPr>
            </w:pPr>
          </w:p>
        </w:tc>
        <w:tc>
          <w:tcPr>
            <w:tcW w:w="1960" w:type="dxa"/>
            <w:vAlign w:val="bottom"/>
          </w:tcPr>
          <w:p>
            <w:pPr>
              <w:ind w:left="16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17"/>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25 through June 28</w:t>
            </w:r>
          </w:p>
        </w:tc>
        <w:tc>
          <w:tcPr>
            <w:tcW w:w="1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63"/>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300,000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4"/>
              <w:spacing w:after="0"/>
              <w:rPr>
                <w:sz w:val="20"/>
                <w:szCs w:val="20"/>
                <w:color w:val="auto"/>
              </w:rPr>
            </w:pPr>
            <w:r>
              <w:rPr>
                <w:rFonts w:ascii="Arial" w:cs="Arial" w:eastAsia="Arial" w:hAnsi="Arial"/>
                <w:sz w:val="18"/>
                <w:szCs w:val="18"/>
                <w:color w:val="auto"/>
              </w:rPr>
              <w:t>140.07</w:t>
            </w:r>
          </w:p>
        </w:tc>
        <w:tc>
          <w:tcPr>
            <w:tcW w:w="120" w:type="dxa"/>
            <w:vAlign w:val="bottom"/>
          </w:tcPr>
          <w:p>
            <w:pPr>
              <w:spacing w:after="0"/>
              <w:rPr>
                <w:sz w:val="22"/>
                <w:szCs w:val="22"/>
                <w:color w:val="auto"/>
              </w:rPr>
            </w:pPr>
          </w:p>
        </w:tc>
        <w:tc>
          <w:tcPr>
            <w:tcW w:w="196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8"/>
        <w:spacing w:after="0" w:line="277"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three months ended June 28, 2020, 300,000 shares of Common Stock were purchased in open market transactions in connection with our practice of buying back shares sufficient to offset those issued under incentive compensation plans.</w:t>
      </w:r>
    </w:p>
    <w:p>
      <w:pPr>
        <w:spacing w:after="0" w:line="8" w:lineRule="exact"/>
        <w:rPr>
          <w:rFonts w:ascii="Arial" w:cs="Arial" w:eastAsia="Arial" w:hAnsi="Arial"/>
          <w:sz w:val="18"/>
          <w:szCs w:val="18"/>
          <w:color w:val="auto"/>
        </w:rPr>
      </w:pPr>
    </w:p>
    <w:p>
      <w:pPr>
        <w:ind w:right="560" w:firstLine="8"/>
        <w:spacing w:after="0" w:line="342"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July 2018, our Board of Directors approved a $500 million share repurchase authorization. As of June 28, 2020, approximately $260 million remained available for repurchases of our Common Stock under this program. The share repurchase program does not have an expiration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Hershey Company | Q2 2020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51" w:name="page52"/>
    <w:bookmarkEnd w:id="51"/>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Exhibit Number</w:t>
            </w:r>
          </w:p>
        </w:tc>
        <w:tc>
          <w:tcPr>
            <w:tcW w:w="1260" w:type="dxa"/>
            <w:vAlign w:val="bottom"/>
          </w:tcPr>
          <w:p>
            <w:pPr>
              <w:spacing w:after="0"/>
              <w:rPr>
                <w:sz w:val="18"/>
                <w:szCs w:val="18"/>
                <w:color w:val="auto"/>
              </w:rPr>
            </w:pPr>
          </w:p>
        </w:tc>
        <w:tc>
          <w:tcPr>
            <w:tcW w:w="8680" w:type="dxa"/>
            <w:vAlign w:val="bottom"/>
            <w:gridSpan w:val="2"/>
          </w:tcPr>
          <w:p>
            <w:pPr>
              <w:ind w:left="330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9"/>
        </w:trPr>
        <w:tc>
          <w:tcPr>
            <w:tcW w:w="1180" w:type="dxa"/>
            <w:vAlign w:val="bottom"/>
            <w:shd w:val="clear" w:color="auto" w:fill="CCEEFF"/>
          </w:tcPr>
          <w:p>
            <w:pPr>
              <w:jc w:val="center"/>
              <w:spacing w:after="0"/>
              <w:rPr>
                <w:rFonts w:ascii="Arial" w:cs="Arial" w:eastAsia="Arial" w:hAnsi="Arial"/>
                <w:sz w:val="16"/>
                <w:szCs w:val="16"/>
                <w:u w:val="single" w:color="auto"/>
                <w:color w:val="0000FF"/>
                <w:w w:val="89"/>
              </w:rPr>
            </w:pPr>
            <w:hyperlink w:anchor="page54">
              <w:r>
                <w:rPr>
                  <w:rFonts w:ascii="Arial" w:cs="Arial" w:eastAsia="Arial" w:hAnsi="Arial"/>
                  <w:sz w:val="16"/>
                  <w:szCs w:val="16"/>
                  <w:u w:val="single" w:color="auto"/>
                  <w:color w:val="0000FF"/>
                  <w:w w:val="89"/>
                </w:rPr>
                <w:t>31.1</w:t>
              </w:r>
            </w:hyperlink>
          </w:p>
        </w:tc>
        <w:tc>
          <w:tcPr>
            <w:tcW w:w="120" w:type="dxa"/>
            <w:vAlign w:val="bottom"/>
            <w:shd w:val="clear" w:color="auto" w:fill="CCEEFF"/>
          </w:tcPr>
          <w:p>
            <w:pPr>
              <w:spacing w:after="0"/>
              <w:rPr>
                <w:sz w:val="18"/>
                <w:szCs w:val="18"/>
                <w:color w:val="auto"/>
              </w:rPr>
            </w:pPr>
          </w:p>
        </w:tc>
        <w:tc>
          <w:tcPr>
            <w:tcW w:w="9940" w:type="dxa"/>
            <w:vAlign w:val="bottom"/>
            <w:gridSpan w:val="3"/>
            <w:shd w:val="clear" w:color="auto" w:fill="CCEEFF"/>
          </w:tcPr>
          <w:p>
            <w:pPr>
              <w:spacing w:after="0"/>
              <w:rPr>
                <w:rFonts w:ascii="Arial" w:cs="Arial" w:eastAsia="Arial" w:hAnsi="Arial"/>
                <w:sz w:val="16"/>
                <w:szCs w:val="16"/>
                <w:color w:val="0000FF"/>
              </w:rPr>
            </w:pPr>
            <w:hyperlink w:anchor="page54">
              <w:r>
                <w:rPr>
                  <w:rFonts w:ascii="Arial" w:cs="Arial" w:eastAsia="Arial" w:hAnsi="Arial"/>
                  <w:sz w:val="16"/>
                  <w:szCs w:val="16"/>
                  <w:u w:val="single" w:color="auto"/>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213"/>
        </w:trPr>
        <w:tc>
          <w:tcPr>
            <w:tcW w:w="1180" w:type="dxa"/>
            <w:vAlign w:val="bottom"/>
          </w:tcPr>
          <w:p>
            <w:pPr>
              <w:jc w:val="center"/>
              <w:spacing w:after="0"/>
              <w:rPr>
                <w:rFonts w:ascii="Arial" w:cs="Arial" w:eastAsia="Arial" w:hAnsi="Arial"/>
                <w:sz w:val="16"/>
                <w:szCs w:val="16"/>
                <w:u w:val="single" w:color="auto"/>
                <w:color w:val="0000FF"/>
                <w:w w:val="89"/>
              </w:rPr>
            </w:pPr>
            <w:hyperlink w:anchor="page55">
              <w:r>
                <w:rPr>
                  <w:rFonts w:ascii="Arial" w:cs="Arial" w:eastAsia="Arial" w:hAnsi="Arial"/>
                  <w:sz w:val="16"/>
                  <w:szCs w:val="16"/>
                  <w:u w:val="single" w:color="auto"/>
                  <w:color w:val="0000FF"/>
                  <w:w w:val="89"/>
                </w:rPr>
                <w:t>31.2</w:t>
              </w:r>
            </w:hyperlink>
          </w:p>
        </w:tc>
        <w:tc>
          <w:tcPr>
            <w:tcW w:w="120" w:type="dxa"/>
            <w:vAlign w:val="bottom"/>
          </w:tcPr>
          <w:p>
            <w:pPr>
              <w:spacing w:after="0"/>
              <w:rPr>
                <w:sz w:val="18"/>
                <w:szCs w:val="18"/>
                <w:color w:val="auto"/>
              </w:rPr>
            </w:pPr>
          </w:p>
        </w:tc>
        <w:tc>
          <w:tcPr>
            <w:tcW w:w="9940" w:type="dxa"/>
            <w:vAlign w:val="bottom"/>
            <w:gridSpan w:val="3"/>
          </w:tcPr>
          <w:p>
            <w:pPr>
              <w:spacing w:after="0"/>
              <w:rPr>
                <w:rFonts w:ascii="Arial" w:cs="Arial" w:eastAsia="Arial" w:hAnsi="Arial"/>
                <w:sz w:val="16"/>
                <w:szCs w:val="16"/>
                <w:color w:val="0000FF"/>
              </w:rPr>
            </w:pPr>
            <w:hyperlink w:anchor="page55">
              <w:r>
                <w:rPr>
                  <w:rFonts w:ascii="Arial" w:cs="Arial" w:eastAsia="Arial" w:hAnsi="Arial"/>
                  <w:sz w:val="16"/>
                  <w:szCs w:val="16"/>
                  <w:u w:val="single" w:color="auto"/>
                  <w:color w:val="0000FF"/>
                </w:rPr>
                <w:t>Certification of Steven E. Voskuil, Chief Financial Officer, pursuant to Section 302 of the Sarbanes-Oxley Act of 2002.</w:t>
              </w:r>
            </w:hyperlink>
            <w:r>
              <w:rPr>
                <w:rFonts w:ascii="Arial" w:cs="Arial" w:eastAsia="Arial" w:hAnsi="Arial"/>
                <w:sz w:val="16"/>
                <w:szCs w:val="16"/>
                <w:color w:val="000000"/>
              </w:rPr>
              <w:t>*</w:t>
            </w:r>
          </w:p>
        </w:tc>
      </w:tr>
      <w:tr>
        <w:trPr>
          <w:trHeight w:val="178"/>
        </w:trPr>
        <w:tc>
          <w:tcPr>
            <w:tcW w:w="1180" w:type="dxa"/>
            <w:vAlign w:val="bottom"/>
            <w:shd w:val="clear" w:color="auto" w:fill="CCEEFF"/>
          </w:tcPr>
          <w:p>
            <w:pPr>
              <w:jc w:val="center"/>
              <w:spacing w:after="0" w:line="178" w:lineRule="exact"/>
              <w:rPr>
                <w:rFonts w:ascii="Arial" w:cs="Arial" w:eastAsia="Arial" w:hAnsi="Arial"/>
                <w:sz w:val="16"/>
                <w:szCs w:val="16"/>
                <w:u w:val="single" w:color="auto"/>
                <w:color w:val="0000FF"/>
                <w:w w:val="89"/>
              </w:rPr>
            </w:pPr>
            <w:hyperlink w:anchor="page56">
              <w:r>
                <w:rPr>
                  <w:rFonts w:ascii="Arial" w:cs="Arial" w:eastAsia="Arial" w:hAnsi="Arial"/>
                  <w:sz w:val="16"/>
                  <w:szCs w:val="16"/>
                  <w:u w:val="single" w:color="auto"/>
                  <w:color w:val="0000FF"/>
                  <w:w w:val="89"/>
                </w:rPr>
                <w:t>32.1</w:t>
              </w:r>
            </w:hyperlink>
          </w:p>
        </w:tc>
        <w:tc>
          <w:tcPr>
            <w:tcW w:w="120" w:type="dxa"/>
            <w:vAlign w:val="bottom"/>
            <w:shd w:val="clear" w:color="auto" w:fill="CCEEFF"/>
          </w:tcPr>
          <w:p>
            <w:pPr>
              <w:spacing w:after="0"/>
              <w:rPr>
                <w:sz w:val="15"/>
                <w:szCs w:val="15"/>
                <w:color w:val="auto"/>
              </w:rPr>
            </w:pPr>
          </w:p>
        </w:tc>
        <w:tc>
          <w:tcPr>
            <w:tcW w:w="9940" w:type="dxa"/>
            <w:vAlign w:val="bottom"/>
            <w:gridSpan w:val="3"/>
            <w:shd w:val="clear" w:color="auto" w:fill="CCEEFF"/>
          </w:tcPr>
          <w:p>
            <w:pPr>
              <w:spacing w:after="0" w:line="178" w:lineRule="exact"/>
              <w:rPr>
                <w:rFonts w:ascii="Arial" w:cs="Arial" w:eastAsia="Arial" w:hAnsi="Arial"/>
                <w:sz w:val="16"/>
                <w:szCs w:val="16"/>
                <w:color w:val="0000FF"/>
                <w:w w:val="96"/>
              </w:rPr>
            </w:pPr>
            <w:hyperlink w:anchor="page56">
              <w:r>
                <w:rPr>
                  <w:rFonts w:ascii="Arial" w:cs="Arial" w:eastAsia="Arial" w:hAnsi="Arial"/>
                  <w:sz w:val="16"/>
                  <w:szCs w:val="16"/>
                  <w:color w:val="0000FF"/>
                  <w:w w:val="96"/>
                </w:rPr>
                <w:t>Certification of Michele G. Buck, Chief Executive Officer, and Steven E. Voskuil, Chief Financial Officer, pursuant to Section 906 of the Sarbanes-</w:t>
              </w:r>
            </w:hyperlink>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rPr>
            </w:pPr>
            <w:hyperlink w:anchor="page56">
              <w:r>
                <w:rPr>
                  <w:rFonts w:ascii="Arial" w:cs="Arial" w:eastAsia="Arial" w:hAnsi="Arial"/>
                  <w:sz w:val="16"/>
                  <w:szCs w:val="16"/>
                  <w:color w:val="0000FF"/>
                </w:rPr>
                <w:t>Oxley Act of 2002.</w:t>
              </w:r>
              <w:r>
                <w:rPr>
                  <w:rFonts w:ascii="Arial" w:cs="Arial" w:eastAsia="Arial" w:hAnsi="Arial"/>
                  <w:sz w:val="16"/>
                  <w:szCs w:val="16"/>
                  <w:color w:val="000000"/>
                </w:rPr>
                <w:t>**</w:t>
              </w:r>
            </w:hyperlink>
          </w:p>
        </w:tc>
        <w:tc>
          <w:tcPr>
            <w:tcW w:w="360" w:type="dxa"/>
            <w:vAlign w:val="bottom"/>
            <w:tcBorders>
              <w:top w:val="single" w:sz="8" w:color="CCEEFF"/>
            </w:tcBorders>
            <w:shd w:val="clear" w:color="auto" w:fill="CCEEFF"/>
          </w:tcPr>
          <w:p>
            <w:pPr>
              <w:spacing w:after="0"/>
              <w:rPr>
                <w:sz w:val="12"/>
                <w:szCs w:val="12"/>
                <w:color w:val="auto"/>
              </w:rPr>
            </w:pPr>
          </w:p>
        </w:tc>
      </w:tr>
      <w:tr>
        <w:trPr>
          <w:trHeight w:val="21"/>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8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206"/>
        </w:trPr>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101.INS</w:t>
            </w:r>
          </w:p>
        </w:tc>
        <w:tc>
          <w:tcPr>
            <w:tcW w:w="9940" w:type="dxa"/>
            <w:vAlign w:val="bottom"/>
            <w:gridSpan w:val="3"/>
          </w:tcPr>
          <w:p>
            <w:pPr>
              <w:spacing w:after="0"/>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 the Inline</w:t>
            </w: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6"/>
                <w:szCs w:val="16"/>
                <w:color w:val="auto"/>
              </w:rPr>
              <w:t>XBRL document.</w:t>
            </w:r>
          </w:p>
        </w:tc>
      </w:tr>
      <w:tr>
        <w:trPr>
          <w:trHeight w:val="239"/>
        </w:trPr>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101.SCH</w:t>
            </w:r>
          </w:p>
        </w:tc>
        <w:tc>
          <w:tcPr>
            <w:tcW w:w="9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XBRL Taxonomy Extension Schema</w:t>
            </w:r>
          </w:p>
        </w:tc>
      </w:tr>
      <w:tr>
        <w:trPr>
          <w:trHeight w:val="220"/>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101.CAL</w:t>
            </w:r>
          </w:p>
        </w:tc>
        <w:tc>
          <w:tcPr>
            <w:tcW w:w="994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46"/>
        </w:trPr>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101.LAB</w:t>
            </w:r>
          </w:p>
        </w:tc>
        <w:tc>
          <w:tcPr>
            <w:tcW w:w="9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XBRL Taxonomy Extension Label Linkbase</w:t>
            </w:r>
          </w:p>
        </w:tc>
      </w:tr>
      <w:tr>
        <w:trPr>
          <w:trHeight w:val="233"/>
        </w:trPr>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101.PRE</w:t>
            </w:r>
          </w:p>
        </w:tc>
        <w:tc>
          <w:tcPr>
            <w:tcW w:w="994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33"/>
        </w:trPr>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101.DEF</w:t>
            </w:r>
          </w:p>
        </w:tc>
        <w:tc>
          <w:tcPr>
            <w:tcW w:w="9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33"/>
        </w:trPr>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ind w:left="1300" w:right="500" w:hanging="826"/>
        <w:spacing w:after="0" w:line="275"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quarterly period ended June 28, 2020, formatted in Inline XBRL and contained in Exhibit 101.</w:t>
      </w:r>
    </w:p>
    <w:p>
      <w:pPr>
        <w:spacing w:after="0" w:line="267" w:lineRule="exact"/>
        <w:rPr>
          <w:sz w:val="20"/>
          <w:szCs w:val="20"/>
          <w:color w:val="auto"/>
        </w:rPr>
      </w:pPr>
    </w:p>
    <w:p>
      <w:pPr>
        <w:ind w:left="1300" w:hanging="745"/>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73" w:lineRule="exact"/>
        <w:rPr>
          <w:sz w:val="20"/>
          <w:szCs w:val="20"/>
          <w:color w:val="auto"/>
        </w:rPr>
      </w:pPr>
    </w:p>
    <w:p>
      <w:pPr>
        <w:ind w:left="1300" w:hanging="786"/>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2020 Form 10-Q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34" w:lineRule="exact"/>
        <w:rPr>
          <w:sz w:val="20"/>
          <w:szCs w:val="20"/>
          <w:color w:val="auto"/>
        </w:rPr>
      </w:pPr>
    </w:p>
    <w:tbl>
      <w:tblPr>
        <w:tblLayout w:type="fixed"/>
        <w:tblInd w:w="1060" w:type="dxa"/>
        <w:tblCellMar>
          <w:top w:w="0" w:type="dxa"/>
          <w:left w:w="0" w:type="dxa"/>
          <w:bottom w:w="0" w:type="dxa"/>
          <w:right w:w="0" w:type="dxa"/>
        </w:tblCellMar>
      </w:tblPr>
      <w:tr>
        <w:trPr>
          <w:trHeight w:val="229"/>
        </w:trPr>
        <w:tc>
          <w:tcPr>
            <w:tcW w:w="26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34"/>
        </w:trPr>
        <w:tc>
          <w:tcPr>
            <w:tcW w:w="2600" w:type="dxa"/>
            <w:vAlign w:val="bottom"/>
          </w:tcPr>
          <w:p>
            <w:pPr>
              <w:spacing w:after="0"/>
              <w:rPr>
                <w:sz w:val="20"/>
                <w:szCs w:val="20"/>
                <w:color w:val="auto"/>
              </w:rPr>
            </w:pPr>
          </w:p>
        </w:tc>
        <w:tc>
          <w:tcPr>
            <w:tcW w:w="560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540"/>
        </w:trPr>
        <w:tc>
          <w:tcPr>
            <w:tcW w:w="2600" w:type="dxa"/>
            <w:vAlign w:val="bottom"/>
          </w:tcPr>
          <w:p>
            <w:pPr>
              <w:spacing w:after="0"/>
              <w:rPr>
                <w:sz w:val="20"/>
                <w:szCs w:val="20"/>
                <w:color w:val="auto"/>
              </w:rPr>
            </w:pPr>
            <w:r>
              <w:rPr>
                <w:rFonts w:ascii="Arial" w:cs="Arial" w:eastAsia="Arial" w:hAnsi="Arial"/>
                <w:sz w:val="18"/>
                <w:szCs w:val="18"/>
                <w:color w:val="auto"/>
              </w:rPr>
              <w:t>Date: July 23, 2020</w:t>
            </w:r>
          </w:p>
        </w:tc>
        <w:tc>
          <w:tcPr>
            <w:tcW w:w="560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Steven E. Voskuil</w:t>
            </w:r>
          </w:p>
        </w:tc>
      </w:tr>
      <w:tr>
        <w:trPr>
          <w:trHeight w:val="222"/>
        </w:trPr>
        <w:tc>
          <w:tcPr>
            <w:tcW w:w="2600" w:type="dxa"/>
            <w:vAlign w:val="bottom"/>
          </w:tcPr>
          <w:p>
            <w:pPr>
              <w:spacing w:after="0"/>
              <w:rPr>
                <w:sz w:val="19"/>
                <w:szCs w:val="19"/>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Steven E. Voskuil</w:t>
            </w:r>
          </w:p>
        </w:tc>
      </w:tr>
      <w:tr>
        <w:trPr>
          <w:trHeight w:val="229"/>
        </w:trPr>
        <w:tc>
          <w:tcPr>
            <w:tcW w:w="2600" w:type="dxa"/>
            <w:vAlign w:val="bottom"/>
          </w:tcPr>
          <w:p>
            <w:pPr>
              <w:spacing w:after="0"/>
              <w:rPr>
                <w:sz w:val="19"/>
                <w:szCs w:val="19"/>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Chief Financial Officer and Chief Accounting Officer</w:t>
            </w:r>
          </w:p>
        </w:tc>
      </w:tr>
      <w:tr>
        <w:trPr>
          <w:trHeight w:val="230"/>
        </w:trPr>
        <w:tc>
          <w:tcPr>
            <w:tcW w:w="2600" w:type="dxa"/>
            <w:vAlign w:val="bottom"/>
          </w:tcPr>
          <w:p>
            <w:pPr>
              <w:spacing w:after="0"/>
              <w:rPr>
                <w:sz w:val="20"/>
                <w:szCs w:val="20"/>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Q2 2020 Form 10-Q | Page 52</w:t>
      </w:r>
    </w:p>
    <w:p>
      <w:pPr>
        <w:sectPr>
          <w:pgSz w:w="11900" w:h="16838" w:orient="portrait"/>
          <w:cols w:equalWidth="0" w:num="1">
            <w:col w:w="11220"/>
          </w:cols>
          <w:pgMar w:left="320" w:top="1255"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104"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1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500" w:hanging="412"/>
        <w:spacing w:after="0" w:line="308" w:lineRule="auto"/>
        <w:tabs>
          <w:tab w:leader="none" w:pos="1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1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860" w:right="220" w:hanging="406"/>
        <w:spacing w:after="0" w:line="263"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7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860" w:right="620" w:hanging="406"/>
        <w:spacing w:after="0" w:line="334" w:lineRule="auto"/>
        <w:tabs>
          <w:tab w:leader="none" w:pos="7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280" w:hanging="406"/>
        <w:spacing w:after="0" w:line="263" w:lineRule="auto"/>
        <w:tabs>
          <w:tab w:leader="none" w:pos="7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240" w:hanging="412"/>
        <w:spacing w:after="0" w:line="308" w:lineRule="auto"/>
        <w:tabs>
          <w:tab w:leader="none" w:pos="19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200" w:hanging="406"/>
        <w:spacing w:after="0" w:line="308" w:lineRule="auto"/>
        <w:tabs>
          <w:tab w:leader="none" w:pos="6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160" w:hanging="406"/>
        <w:spacing w:after="0" w:line="277"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3531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12"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Michele G. Buck</w:t>
      </w:r>
    </w:p>
    <w:p>
      <w:pPr>
        <w:spacing w:after="0" w:line="17"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Chief Executive Officer</w:t>
      </w:r>
    </w:p>
    <w:p>
      <w:pPr>
        <w:spacing w:after="0" w:line="39"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July 23, 2020</w:t>
      </w:r>
    </w:p>
    <w:p>
      <w:pPr>
        <w:sectPr>
          <w:pgSz w:w="11900" w:h="16838" w:orient="portrait"/>
          <w:cols w:equalWidth="0" w:num="1">
            <w:col w:w="11200"/>
          </w:cols>
          <w:pgMar w:left="360" w:top="76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104"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1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500" w:hanging="412"/>
        <w:spacing w:after="0" w:line="308" w:lineRule="auto"/>
        <w:tabs>
          <w:tab w:leader="none" w:pos="1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1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860" w:right="220" w:hanging="406"/>
        <w:spacing w:after="0" w:line="263"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860" w:right="620" w:hanging="406"/>
        <w:spacing w:after="0" w:line="334" w:lineRule="auto"/>
        <w:tabs>
          <w:tab w:leader="none" w:pos="7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280" w:hanging="406"/>
        <w:spacing w:after="0" w:line="263"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240" w:hanging="412"/>
        <w:spacing w:after="0" w:line="308" w:lineRule="auto"/>
        <w:tabs>
          <w:tab w:leader="none" w:pos="19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200" w:hanging="406"/>
        <w:spacing w:after="0" w:line="308" w:lineRule="auto"/>
        <w:tabs>
          <w:tab w:leader="none" w:pos="69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160" w:hanging="406"/>
        <w:spacing w:after="0" w:line="277"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81280</wp:posOffset>
            </wp:positionV>
            <wp:extent cx="3531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6"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Steven E. Voskuil</w:t>
      </w:r>
    </w:p>
    <w:p>
      <w:pPr>
        <w:spacing w:after="0" w:line="17"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Chief Financial Officer</w:t>
      </w:r>
    </w:p>
    <w:p>
      <w:pPr>
        <w:spacing w:after="0" w:line="39"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July 23, 2020</w:t>
      </w:r>
    </w:p>
    <w:p>
      <w:pPr>
        <w:sectPr>
          <w:pgSz w:w="11900" w:h="16838" w:orient="portrait"/>
          <w:cols w:equalWidth="0" w:num="1">
            <w:col w:w="11200"/>
          </w:cols>
          <w:pgMar w:left="360" w:top="76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June 28, 2020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120"/>
              <w:spacing w:after="0"/>
              <w:rPr>
                <w:sz w:val="20"/>
                <w:szCs w:val="20"/>
                <w:color w:val="auto"/>
              </w:rPr>
            </w:pPr>
            <w:r>
              <w:rPr>
                <w:rFonts w:ascii="Arial" w:cs="Arial" w:eastAsia="Arial" w:hAnsi="Arial"/>
                <w:sz w:val="18"/>
                <w:szCs w:val="18"/>
                <w:color w:val="auto"/>
              </w:rPr>
              <w:t>July 23, 2020</w:t>
            </w:r>
          </w:p>
        </w:tc>
        <w:tc>
          <w:tcPr>
            <w:tcW w:w="364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97"/>
              </w:rPr>
              <w:t>/s/ MICHELE G. BUCK</w:t>
            </w:r>
          </w:p>
        </w:tc>
      </w:tr>
      <w:tr>
        <w:trPr>
          <w:trHeight w:val="250"/>
        </w:trPr>
        <w:tc>
          <w:tcPr>
            <w:tcW w:w="5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1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120"/>
              <w:spacing w:after="0"/>
              <w:rPr>
                <w:sz w:val="20"/>
                <w:szCs w:val="20"/>
                <w:color w:val="auto"/>
              </w:rPr>
            </w:pPr>
            <w:r>
              <w:rPr>
                <w:rFonts w:ascii="Arial" w:cs="Arial" w:eastAsia="Arial" w:hAnsi="Arial"/>
                <w:sz w:val="18"/>
                <w:szCs w:val="18"/>
                <w:color w:val="auto"/>
              </w:rPr>
              <w:t>July 23, 2020</w:t>
            </w:r>
          </w:p>
        </w:tc>
        <w:tc>
          <w:tcPr>
            <w:tcW w:w="364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96"/>
              </w:rPr>
              <w:t>/s/ STEVEN E. VOSKUIL</w:t>
            </w:r>
          </w:p>
        </w:tc>
      </w:tr>
      <w:tr>
        <w:trPr>
          <w:trHeight w:val="250"/>
        </w:trPr>
        <w:tc>
          <w:tcPr>
            <w:tcW w:w="5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210"/>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2"/>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lvl w:ilvl="1">
      <w:lvlJc w:val="left"/>
      <w:lvlText w:val="◦"/>
      <w:numFmt w:val="bullet"/>
      <w:start w:val="1"/>
    </w:lvl>
  </w:abstractNum>
  <w:abstractNum w:abstractNumId="19">
    <w:nsid w:val="4353D0CD"/>
    <w:multiLevelType w:val="hybridMultilevel"/>
    <w:lvl w:ilvl="0">
      <w:lvlJc w:val="left"/>
      <w:lvlText w:val="•"/>
      <w:numFmt w:val="bullet"/>
      <w:start w:val="1"/>
    </w:lvl>
    <w:lvl w:ilvl="1">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2020-07-23T09:40:10Z</dcterms:created>
  <dcterms:modified xsi:type="dcterms:W3CDTF">2020-07-23T09:40:10Z</dcterms:modified>
</cp:coreProperties>
</file>