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Robbin-Coker Cordel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251.861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1,767.177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amount of securities reported as directly owned in Column 5 includes 7.579 shares acquired on June 15, 2026, pursuant to a dividend reinvestment feature of the Company's Directors' Compensation Plan, the provisions of which are substantially similar to the dividend reinvestment features of the broad-based dividend reinvestment plan available generally to Company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Cordel Robbin-Coker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3517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3378</Characters>
  <CharactersWithSpaces>3935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