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Curoe Timothy William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 E. CHOCOLATE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HERSHEY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HERSHEY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6"/>
        <w:gridCol w:w="903"/>
        <w:gridCol w:w="772"/>
        <w:gridCol w:w="600"/>
        <w:gridCol w:w="347"/>
        <w:gridCol w:w="1012"/>
        <w:gridCol w:w="449"/>
        <w:gridCol w:w="612"/>
        <w:gridCol w:w="1273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282.486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2,519.719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total amount of securities reported as directly owned in Column 5 includes 15.146 shares acquired on September 15, 2026, pursuant to a dividend reinvestment feature of the Company's Directors' Compensation Plan, the provisions of which are substantially similar to the dividend reinvestment features of the broad-based dividend reinvestment plan available generally to Company stockholders.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Kathleen S. Purcell, Agent for Timothy W. Curoe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8682" TargetMode="External"/><Relationship Id="rId5" Type="http://schemas.openxmlformats.org/officeDocument/2006/relationships/hyperlink" Target="http://www.sec.gov/cgi-bin/browse-edgar?action=getcompany&amp;CIK=000004711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620</Words>
  <Characters>3401</Characters>
  <CharactersWithSpaces>3955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