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7728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72858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44"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HERSHEY TRUST CO TRUSTEE IN</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TRUST FOR MILTON HERSHEY</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SCHOOL</w:t>
        </w:r>
      </w:hyperlink>
    </w:p>
    <w:p>
      <w:pPr>
        <w:spacing w:after="0" w:line="278"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67"/>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4"/>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1 EAST CHOCOLATE AVENUE</w:t>
            </w:r>
          </w:p>
        </w:tc>
        <w:tc>
          <w:tcPr>
            <w:tcW w:w="560" w:type="dxa"/>
            <w:vAlign w:val="bottom"/>
          </w:tcPr>
          <w:p>
            <w:pPr>
              <w:spacing w:after="0"/>
              <w:rPr>
                <w:sz w:val="22"/>
                <w:szCs w:val="22"/>
                <w:color w:val="auto"/>
              </w:rPr>
            </w:pPr>
          </w:p>
        </w:tc>
      </w:tr>
      <w:tr>
        <w:trPr>
          <w:trHeight w:val="25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400</w:t>
            </w:r>
          </w:p>
        </w:tc>
        <w:tc>
          <w:tcPr>
            <w:tcW w:w="1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421"/>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5"/>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HERSHEY</w:t>
            </w:r>
          </w:p>
        </w:tc>
        <w:tc>
          <w:tcPr>
            <w:tcW w:w="13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17033</w:t>
            </w:r>
          </w:p>
        </w:tc>
      </w:tr>
      <w:tr>
        <w:trPr>
          <w:trHeight w:val="459"/>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rFonts w:ascii="Times New Roman" w:cs="Times New Roman" w:eastAsia="Times New Roman" w:hAnsi="Times New Roman"/>
          <w:sz w:val="20"/>
          <w:szCs w:val="20"/>
          <w:u w:val="single" w:color="auto"/>
          <w:color w:val="0000EE"/>
        </w:rPr>
      </w:pPr>
      <w:r>
        <w:rPr>
          <w:rFonts w:ascii="Times New Roman" w:cs="Times New Roman" w:eastAsia="Times New Roman" w:hAnsi="Times New Roman"/>
          <w:sz w:val="20"/>
          <w:szCs w:val="20"/>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HERSHEY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HSY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0" w:type="dxa"/>
            <w:vAlign w:val="bottom"/>
            <w:gridSpan w:val="2"/>
            <w:vMerge w:val="continue"/>
          </w:tcPr>
          <w:p>
            <w:pPr>
              <w:spacing w:after="0"/>
              <w:rPr>
                <w:sz w:val="7"/>
                <w:szCs w:val="7"/>
                <w:color w:val="auto"/>
              </w:rPr>
            </w:pPr>
          </w:p>
        </w:tc>
        <w:tc>
          <w:tcPr>
            <w:tcW w:w="3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05/21/2026</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rFonts w:ascii="Times New Roman" w:cs="Times New Roman" w:eastAsia="Times New Roman" w:hAnsi="Times New Roman"/>
          <w:sz w:val="20"/>
          <w:szCs w:val="20"/>
          <w:u w:val="single" w:color="auto"/>
          <w:color w:val="0000EE"/>
        </w:rPr>
      </w:pPr>
    </w:p>
    <w:p>
      <w:pPr>
        <w:ind w:left="4420"/>
        <w:spacing w:after="0"/>
        <w:rPr>
          <w:sz w:val="20"/>
          <w:szCs w:val="20"/>
          <w:color w:val="auto"/>
        </w:rPr>
      </w:pPr>
      <w:r>
        <w:rPr>
          <w:rFonts w:ascii="Arial" w:cs="Arial" w:eastAsia="Arial" w:hAnsi="Arial"/>
          <w:sz w:val="13"/>
          <w:szCs w:val="13"/>
          <w:color w:val="auto"/>
        </w:rPr>
        <w:t>Person</w:t>
      </w:r>
    </w:p>
    <w:p>
      <w:pPr>
        <w:spacing w:after="0" w:line="699" w:lineRule="exact"/>
        <w:rPr>
          <w:rFonts w:ascii="Times New Roman" w:cs="Times New Roman" w:eastAsia="Times New Roman" w:hAnsi="Times New Roman"/>
          <w:sz w:val="20"/>
          <w:szCs w:val="20"/>
          <w:u w:val="single" w:color="auto"/>
          <w:color w:val="0000EE"/>
        </w:rPr>
      </w:pPr>
    </w:p>
    <w:p>
      <w:pPr>
        <w:sectPr>
          <w:pgSz w:w="11900" w:h="16838" w:orient="portrait"/>
          <w:cols w:equalWidth="0" w:num="2">
            <w:col w:w="3280" w:space="56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rFonts w:ascii="Times New Roman" w:cs="Times New Roman" w:eastAsia="Times New Roman" w:hAnsi="Times New Roman"/>
          <w:sz w:val="20"/>
          <w:szCs w:val="20"/>
          <w:u w:val="single" w:color="auto"/>
          <w:color w:val="0000EE"/>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20" w:type="dxa"/>
            <w:vAlign w:val="bottom"/>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40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40" w:type="dxa"/>
            <w:vAlign w:val="bottom"/>
            <w:gridSpan w:val="2"/>
          </w:tcPr>
          <w:p>
            <w:pPr>
              <w:ind w:left="4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jc w:val="center"/>
              <w:ind w:left="223"/>
              <w:spacing w:after="0"/>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jc w:val="center"/>
              <w:ind w:right="11"/>
              <w:spacing w:after="0"/>
              <w:rPr>
                <w:sz w:val="20"/>
                <w:szCs w:val="20"/>
                <w:color w:val="auto"/>
              </w:rPr>
            </w:pPr>
            <w:r>
              <w:rPr>
                <w:rFonts w:ascii="Arial" w:cs="Arial" w:eastAsia="Arial" w:hAnsi="Arial"/>
                <w:sz w:val="11"/>
                <w:szCs w:val="11"/>
                <w:b w:val="1"/>
                <w:bCs w:val="1"/>
                <w:color w:val="auto"/>
              </w:rPr>
              <w:t>(A) or</w:t>
            </w: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05/21/2026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255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187.7006</w:t>
            </w:r>
            <w:r>
              <w:rPr>
                <w:rFonts w:ascii="Times New Roman" w:cs="Times New Roman" w:eastAsia="Times New Roman" w:hAnsi="Times New Roman"/>
                <w:sz w:val="21"/>
                <w:szCs w:val="21"/>
                <w:color w:val="008000"/>
                <w:w w:val="96"/>
                <w:vertAlign w:val="superscript"/>
              </w:rPr>
              <w:t>(1)</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1,595,864</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05/21/2026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284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188.3154</w:t>
            </w:r>
            <w:r>
              <w:rPr>
                <w:rFonts w:ascii="Times New Roman" w:cs="Times New Roman" w:eastAsia="Times New Roman" w:hAnsi="Times New Roman"/>
                <w:sz w:val="21"/>
                <w:szCs w:val="21"/>
                <w:color w:val="008000"/>
                <w:w w:val="96"/>
                <w:vertAlign w:val="superscript"/>
              </w:rPr>
              <w:t>(2)</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1,595,580</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05/21/2026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123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189.613</w:t>
            </w:r>
            <w:r>
              <w:rPr>
                <w:rFonts w:ascii="Times New Roman" w:cs="Times New Roman" w:eastAsia="Times New Roman" w:hAnsi="Times New Roman"/>
                <w:sz w:val="21"/>
                <w:szCs w:val="21"/>
                <w:color w:val="008000"/>
                <w:w w:val="95"/>
                <w:vertAlign w:val="superscript"/>
              </w:rPr>
              <w:t>(3)</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1,595,457</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05/21/2026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3,324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190.5033</w:t>
            </w:r>
            <w:r>
              <w:rPr>
                <w:rFonts w:ascii="Times New Roman" w:cs="Times New Roman" w:eastAsia="Times New Roman" w:hAnsi="Times New Roman"/>
                <w:sz w:val="21"/>
                <w:szCs w:val="21"/>
                <w:color w:val="008000"/>
                <w:w w:val="96"/>
                <w:vertAlign w:val="superscript"/>
              </w:rPr>
              <w:t>(4)</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1,592,133</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05/21/2026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3,717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191.5267</w:t>
            </w:r>
            <w:r>
              <w:rPr>
                <w:rFonts w:ascii="Times New Roman" w:cs="Times New Roman" w:eastAsia="Times New Roman" w:hAnsi="Times New Roman"/>
                <w:sz w:val="21"/>
                <w:szCs w:val="21"/>
                <w:color w:val="008000"/>
                <w:w w:val="96"/>
                <w:vertAlign w:val="superscript"/>
              </w:rPr>
              <w:t>(5)</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1,588,416</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05/21/2026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2,297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192.2903</w:t>
            </w:r>
            <w:r>
              <w:rPr>
                <w:rFonts w:ascii="Times New Roman" w:cs="Times New Roman" w:eastAsia="Times New Roman" w:hAnsi="Times New Roman"/>
                <w:sz w:val="21"/>
                <w:szCs w:val="21"/>
                <w:color w:val="008000"/>
                <w:w w:val="96"/>
                <w:vertAlign w:val="superscript"/>
              </w:rPr>
              <w:t>(6)</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1,586,119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05/22/2026</w:t>
            </w: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90</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190.56</w:t>
            </w:r>
          </w:p>
        </w:tc>
        <w:tc>
          <w:tcPr>
            <w:tcW w:w="1480" w:type="dxa"/>
            <w:vAlign w:val="bottom"/>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1,586,029</w:t>
            </w:r>
          </w:p>
        </w:tc>
        <w:tc>
          <w:tcPr>
            <w:tcW w:w="580" w:type="dxa"/>
            <w:vAlign w:val="bottom"/>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634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191.7162</w:t>
            </w:r>
            <w:r>
              <w:rPr>
                <w:rFonts w:ascii="Times New Roman" w:cs="Times New Roman" w:eastAsia="Times New Roman" w:hAnsi="Times New Roman"/>
                <w:sz w:val="21"/>
                <w:szCs w:val="21"/>
                <w:color w:val="008000"/>
                <w:w w:val="96"/>
                <w:vertAlign w:val="superscript"/>
              </w:rPr>
              <w:t>(7)</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1,585,395</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1,761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192.5147</w:t>
            </w:r>
            <w:r>
              <w:rPr>
                <w:rFonts w:ascii="Times New Roman" w:cs="Times New Roman" w:eastAsia="Times New Roman" w:hAnsi="Times New Roman"/>
                <w:sz w:val="21"/>
                <w:szCs w:val="21"/>
                <w:color w:val="008000"/>
                <w:w w:val="96"/>
                <w:vertAlign w:val="superscript"/>
              </w:rPr>
              <w:t>(8)</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1,583,634</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1,827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193.4087</w:t>
            </w:r>
            <w:r>
              <w:rPr>
                <w:rFonts w:ascii="Times New Roman" w:cs="Times New Roman" w:eastAsia="Times New Roman" w:hAnsi="Times New Roman"/>
                <w:sz w:val="21"/>
                <w:szCs w:val="21"/>
                <w:color w:val="008000"/>
                <w:w w:val="96"/>
                <w:vertAlign w:val="superscript"/>
              </w:rPr>
              <w:t>(9)</w:t>
            </w:r>
          </w:p>
        </w:tc>
        <w:tc>
          <w:tcPr>
            <w:tcW w:w="1480" w:type="dxa"/>
            <w:vAlign w:val="bottom"/>
            <w:tcBorders>
              <w:bottom w:val="single" w:sz="8" w:color="2C2C2C"/>
            </w:tcBorders>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rPr>
              <w:t>1,581,807</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440" w:type="dxa"/>
            <w:vAlign w:val="bottom"/>
            <w:tcBorders>
              <w:bottom w:val="single" w:sz="8" w:color="2C2C2C"/>
            </w:tcBorders>
            <w:gridSpan w:val="2"/>
          </w:tcPr>
          <w:p>
            <w:pPr>
              <w:jc w:val="right"/>
              <w:ind w:right="143"/>
              <w:spacing w:after="0"/>
              <w:rPr>
                <w:sz w:val="20"/>
                <w:szCs w:val="20"/>
                <w:color w:val="auto"/>
              </w:rPr>
            </w:pPr>
            <w:r>
              <w:rPr>
                <w:rFonts w:ascii="Times New Roman" w:cs="Times New Roman" w:eastAsia="Times New Roman" w:hAnsi="Times New Roman"/>
                <w:sz w:val="16"/>
                <w:szCs w:val="16"/>
                <w:color w:val="0000FF"/>
              </w:rPr>
              <w:t>05/22/2026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5,688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194.6022</w:t>
            </w:r>
            <w:r>
              <w:rPr>
                <w:rFonts w:ascii="Times New Roman" w:cs="Times New Roman" w:eastAsia="Times New Roman" w:hAnsi="Times New Roman"/>
                <w:sz w:val="21"/>
                <w:szCs w:val="21"/>
                <w:color w:val="008000"/>
                <w:w w:val="95"/>
                <w:vertAlign w:val="superscript"/>
              </w:rPr>
              <w:t>(10)</w:t>
            </w:r>
          </w:p>
        </w:tc>
        <w:tc>
          <w:tcPr>
            <w:tcW w:w="1480" w:type="dxa"/>
            <w:vAlign w:val="bottom"/>
            <w:tcBorders>
              <w:bottom w:val="single" w:sz="8" w:color="2C2C2C"/>
            </w:tcBorders>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1,576,119</w:t>
            </w: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Hershey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$1.00 par value</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gridSpan w:val="3"/>
          </w:tcPr>
          <w:p>
            <w:pPr>
              <w:jc w:val="center"/>
              <w:ind w:right="303"/>
              <w:spacing w:after="0"/>
              <w:rPr>
                <w:sz w:val="20"/>
                <w:szCs w:val="20"/>
                <w:color w:val="auto"/>
              </w:rPr>
            </w:pPr>
            <w:r>
              <w:rPr>
                <w:rFonts w:ascii="Times New Roman" w:cs="Times New Roman" w:eastAsia="Times New Roman" w:hAnsi="Times New Roman"/>
                <w:sz w:val="16"/>
                <w:szCs w:val="16"/>
                <w:color w:val="0000FF"/>
                <w:w w:val="99"/>
              </w:rPr>
              <w:t>39,630</w:t>
            </w:r>
          </w:p>
        </w:tc>
        <w:tc>
          <w:tcPr>
            <w:tcW w:w="580" w:type="dxa"/>
            <w:vAlign w:val="bottom"/>
          </w:tcPr>
          <w:p>
            <w:pPr>
              <w:jc w:val="center"/>
              <w:ind w:right="327"/>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Company</w:t>
            </w:r>
            <w:r>
              <w:rPr>
                <w:rFonts w:ascii="Times New Roman" w:cs="Times New Roman" w:eastAsia="Times New Roman" w:hAnsi="Times New Roman"/>
                <w:sz w:val="21"/>
                <w:szCs w:val="21"/>
                <w:color w:val="008000"/>
                <w:vertAlign w:val="superscript"/>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jc w:val="right"/>
              <w:ind w:right="163"/>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jc w:val="right"/>
              <w:ind w:right="143"/>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jc w:val="center"/>
              <w:ind w:right="31"/>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vMerge w:val="restart"/>
          </w:tcPr>
          <w:p>
            <w:pPr>
              <w:ind w:left="160"/>
              <w:spacing w:after="0" w:line="127" w:lineRule="exact"/>
              <w:rPr>
                <w:sz w:val="20"/>
                <w:szCs w:val="20"/>
                <w:color w:val="auto"/>
              </w:rPr>
            </w:pPr>
            <w:r>
              <w:rPr>
                <w:rFonts w:ascii="Times New Roman" w:cs="Times New Roman" w:eastAsia="Times New Roman" w:hAnsi="Times New Roman"/>
                <w:sz w:val="13"/>
                <w:szCs w:val="13"/>
                <w:color w:val="0000FF"/>
                <w:w w:val="97"/>
              </w:rPr>
              <w:t>Stock,</w:t>
            </w: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Stock,</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restart"/>
          </w:tcPr>
          <w:p>
            <w:pPr>
              <w:ind w:left="120"/>
              <w:spacing w:after="0" w:line="102" w:lineRule="exact"/>
              <w:rPr>
                <w:sz w:val="20"/>
                <w:szCs w:val="20"/>
                <w:color w:val="auto"/>
              </w:rPr>
            </w:pPr>
            <w:r>
              <w:rPr>
                <w:rFonts w:ascii="Times New Roman" w:cs="Times New Roman" w:eastAsia="Times New Roman" w:hAnsi="Times New Roman"/>
                <w:sz w:val="11"/>
                <w:szCs w:val="11"/>
                <w:color w:val="0000FF"/>
              </w:rPr>
              <w:t>54,612,012</w:t>
            </w:r>
          </w:p>
        </w:tc>
        <w:tc>
          <w:tcPr>
            <w:tcW w:w="580" w:type="dxa"/>
            <w:vAlign w:val="bottom"/>
            <w:vMerge w:val="restart"/>
          </w:tcPr>
          <w:p>
            <w:pPr>
              <w:ind w:left="460"/>
              <w:spacing w:after="0" w:line="102" w:lineRule="exact"/>
              <w:rPr>
                <w:sz w:val="20"/>
                <w:szCs w:val="20"/>
                <w:color w:val="auto"/>
              </w:rPr>
            </w:pPr>
            <w:r>
              <w:rPr>
                <w:rFonts w:ascii="Times New Roman" w:cs="Times New Roman" w:eastAsia="Times New Roman" w:hAnsi="Times New Roman"/>
                <w:sz w:val="11"/>
                <w:szCs w:val="11"/>
                <w:color w:val="0000FF"/>
              </w:rPr>
              <w:t>D</w:t>
            </w: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restart"/>
          </w:tcPr>
          <w:p>
            <w:pPr>
              <w:ind w:left="300"/>
              <w:spacing w:after="0" w:line="103" w:lineRule="exact"/>
              <w:rPr>
                <w:sz w:val="20"/>
                <w:szCs w:val="20"/>
                <w:color w:val="auto"/>
              </w:rPr>
            </w:pPr>
            <w:r>
              <w:rPr>
                <w:rFonts w:ascii="Times New Roman" w:cs="Times New Roman" w:eastAsia="Times New Roman" w:hAnsi="Times New Roman"/>
                <w:sz w:val="11"/>
                <w:szCs w:val="11"/>
                <w:color w:val="008000"/>
              </w:rPr>
              <w:t>(13)</w:t>
            </w: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restart"/>
          </w:tcPr>
          <w:p>
            <w:pPr>
              <w:ind w:left="360"/>
              <w:spacing w:after="0" w:line="103" w:lineRule="exact"/>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ind w:left="320"/>
              <w:spacing w:after="0" w:line="103" w:lineRule="exact"/>
              <w:rPr>
                <w:sz w:val="20"/>
                <w:szCs w:val="20"/>
                <w:color w:val="auto"/>
              </w:rPr>
            </w:pPr>
            <w:r>
              <w:rPr>
                <w:rFonts w:ascii="Times New Roman" w:cs="Times New Roman" w:eastAsia="Times New Roman" w:hAnsi="Times New Roman"/>
                <w:sz w:val="11"/>
                <w:szCs w:val="11"/>
                <w:color w:val="008000"/>
              </w:rPr>
              <w:t>(12)</w:t>
            </w:r>
          </w:p>
        </w:tc>
        <w:tc>
          <w:tcPr>
            <w:tcW w:w="1480" w:type="dxa"/>
            <w:vAlign w:val="bottom"/>
            <w:gridSpan w:val="2"/>
          </w:tcPr>
          <w:p>
            <w:pPr>
              <w:ind w:left="80"/>
              <w:spacing w:after="0" w:line="51" w:lineRule="exact"/>
              <w:rPr>
                <w:sz w:val="20"/>
                <w:szCs w:val="20"/>
                <w:color w:val="auto"/>
              </w:rPr>
            </w:pPr>
            <w:r>
              <w:rPr>
                <w:rFonts w:ascii="Times New Roman" w:cs="Times New Roman" w:eastAsia="Times New Roman" w:hAnsi="Times New Roman"/>
                <w:sz w:val="5"/>
                <w:szCs w:val="5"/>
                <w:color w:val="0000FF"/>
                <w:vertAlign w:val="subscript"/>
              </w:rPr>
              <w:t>$1.00 par</w:t>
            </w:r>
            <w:r>
              <w:rPr>
                <w:rFonts w:ascii="Times New Roman" w:cs="Times New Roman" w:eastAsia="Times New Roman" w:hAnsi="Times New Roman"/>
                <w:sz w:val="3"/>
                <w:szCs w:val="3"/>
                <w:color w:val="0000FF"/>
              </w:rPr>
              <w:t xml:space="preserve">  54,612,012</w:t>
            </w: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rFonts w:ascii="Times New Roman" w:cs="Times New Roman" w:eastAsia="Times New Roman" w:hAnsi="Times New Roman"/>
          <w:sz w:val="20"/>
          <w:szCs w:val="20"/>
          <w:u w:val="single" w:color="auto"/>
          <w:color w:val="0000EE"/>
        </w:rPr>
      </w:pPr>
    </w:p>
    <w:tbl>
      <w:tblPr>
        <w:tblLayout w:type="fixed"/>
        <w:tblInd w:w="80" w:type="dxa"/>
        <w:tblCellMar>
          <w:top w:w="0" w:type="dxa"/>
          <w:left w:w="0" w:type="dxa"/>
          <w:bottom w:w="0" w:type="dxa"/>
          <w:right w:w="0" w:type="dxa"/>
        </w:tblCellMar>
      </w:tblPr>
      <w:tr>
        <w:trPr>
          <w:trHeight w:val="125"/>
        </w:trPr>
        <w:tc>
          <w:tcPr>
            <w:tcW w:w="3560" w:type="dxa"/>
            <w:vAlign w:val="bottom"/>
          </w:tcPr>
          <w:p>
            <w:pPr>
              <w:spacing w:after="0" w:line="126" w:lineRule="exact"/>
              <w:rPr>
                <w:sz w:val="20"/>
                <w:szCs w:val="20"/>
                <w:color w:val="auto"/>
              </w:rPr>
            </w:pPr>
            <w:r>
              <w:rPr>
                <w:rFonts w:ascii="Times New Roman" w:cs="Times New Roman" w:eastAsia="Times New Roman" w:hAnsi="Times New Roman"/>
                <w:sz w:val="13"/>
                <w:szCs w:val="13"/>
                <w:color w:val="0000FF"/>
              </w:rPr>
              <w:t>$1.00 par</w:t>
            </w:r>
          </w:p>
        </w:tc>
        <w:tc>
          <w:tcPr>
            <w:tcW w:w="3340" w:type="dxa"/>
            <w:vAlign w:val="bottom"/>
            <w:vMerge w:val="restart"/>
          </w:tcPr>
          <w:p>
            <w:pPr>
              <w:ind w:left="306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89"/>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value</w:t>
            </w: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560" w:type="dxa"/>
            <w:vAlign w:val="bottom"/>
            <w:vMerge w:val="continue"/>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rFonts w:ascii="Times New Roman" w:cs="Times New Roman" w:eastAsia="Times New Roman" w:hAnsi="Times New Roman"/>
          <w:sz w:val="20"/>
          <w:szCs w:val="20"/>
          <w:u w:val="single" w:color="auto"/>
          <w:color w:val="0000EE"/>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rFonts w:ascii="Times New Roman" w:cs="Times New Roman" w:eastAsia="Times New Roman" w:hAnsi="Times New Roman"/>
          <w:sz w:val="20"/>
          <w:szCs w:val="20"/>
          <w:u w:val="single" w:color="auto"/>
          <w:color w:val="0000EE"/>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$187.1000 to $187.9513,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$188.0454 to $188.5800,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40" w:right="160" w:hanging="1"/>
        <w:spacing w:after="0" w:line="289"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 shares were sold in multiple transactions at price a ranging from $189.1600 to $189.8000, inclusive. The reporting person undertakes to provide to the staff of the Securities and Exchange Commission, to any security holder of The Hershey Company, or to The Hershey Company, upon request, full information regarding the number of shares sold at each</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spacing w:after="0"/>
        <w:rPr>
          <w:sz w:val="20"/>
          <w:szCs w:val="20"/>
          <w:color w:val="auto"/>
        </w:rPr>
      </w:pPr>
      <w:r>
        <w:rPr>
          <w:rFonts w:ascii="Times New Roman" w:cs="Times New Roman" w:eastAsia="Times New Roman" w:hAnsi="Times New Roman"/>
          <w:sz w:val="13"/>
          <w:szCs w:val="13"/>
          <w:color w:val="008000"/>
        </w:rPr>
        <w:t>separate price within the range set forth above.</w:t>
      </w:r>
    </w:p>
    <w:p>
      <w:pPr>
        <w:spacing w:after="0" w:line="41" w:lineRule="exact"/>
        <w:rPr>
          <w:sz w:val="20"/>
          <w:szCs w:val="20"/>
          <w:color w:val="auto"/>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$190.0300 to $190.9906,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$191.0082 to $191.9912,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$192.0051 to $192.6984,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$191.5142 to $191.9412,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$192.1235 to $192.9714,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$193.0200 to $193.9167,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 w:right="80" w:hanging="1"/>
        <w:spacing w:after="0" w:line="237"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 a ranging from $194.0226 to $194.9855,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p>
      <w:pPr>
        <w:spacing w:after="0" w:line="26"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Hershey Trust Company is wholly owned by Milton Hershey School Trust and is trustee for the Milton Hershey School Trust.</w:t>
      </w:r>
    </w:p>
    <w:p>
      <w:pPr>
        <w:spacing w:after="0" w:line="40" w:lineRule="exact"/>
        <w:rPr>
          <w:rFonts w:ascii="Times New Roman" w:cs="Times New Roman" w:eastAsia="Times New Roman" w:hAnsi="Times New Roman"/>
          <w:sz w:val="13"/>
          <w:szCs w:val="13"/>
          <w:color w:val="008000"/>
        </w:rPr>
      </w:pPr>
    </w:p>
    <w:p>
      <w:pPr>
        <w:ind w:left="1" w:right="500" w:hanging="1"/>
        <w:spacing w:after="0" w:line="24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shares of Class B common stock, $1.00 par value convertible share-for-share into common stock, $1.00 par value, at any time, and without payment other than for the fact of conversion. There is no expiration date.</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conversion price is the market price of the Common Stock on the previous business day.</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Joshua D. Shannon, Deputy</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05/26/2026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4"/>
              </w:rPr>
              <w:t>CIO</w:t>
            </w:r>
          </w:p>
        </w:tc>
        <w:tc>
          <w:tcPr>
            <w:tcW w:w="17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60" w:hanging="1"/>
        <w:spacing w:after="0" w:line="330"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38543" TargetMode="External"/><Relationship Id="rId14" Type="http://schemas.openxmlformats.org/officeDocument/2006/relationships/hyperlink" Target="http://www.sec.gov/cgi-bin/browse-edgar?action=getcompany&amp;CIK=00000471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2026-05-26T15:22:33Z</dcterms:created>
  <dcterms:modified xsi:type="dcterms:W3CDTF">2026-05-26T15:22:33Z</dcterms:modified>
</cp:coreProperties>
</file>