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38"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2, 2023</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______to_______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HERSHEY COMPANY</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58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0"/>
              <w:spacing w:after="0"/>
              <w:rPr>
                <w:sz w:val="20"/>
                <w:szCs w:val="20"/>
                <w:color w:val="auto"/>
              </w:rPr>
            </w:pPr>
            <w:r>
              <w:rPr>
                <w:rFonts w:ascii="Arial" w:cs="Arial" w:eastAsia="Arial" w:hAnsi="Arial"/>
                <w:sz w:val="18"/>
                <w:szCs w:val="18"/>
                <w:b w:val="1"/>
                <w:bCs w:val="1"/>
                <w:color w:val="auto"/>
              </w:rPr>
              <w:t>23-0691590</w:t>
            </w:r>
          </w:p>
        </w:tc>
      </w:tr>
      <w:tr>
        <w:trPr>
          <w:trHeight w:val="230"/>
        </w:trPr>
        <w:tc>
          <w:tcPr>
            <w:tcW w:w="6920" w:type="dxa"/>
            <w:vAlign w:val="bottom"/>
            <w:gridSpan w:val="5"/>
          </w:tcPr>
          <w:p>
            <w:pPr>
              <w:jc w:val="center"/>
              <w:ind w:right="14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80" w:type="dxa"/>
            <w:vAlign w:val="bottom"/>
          </w:tcPr>
          <w:p>
            <w:pPr>
              <w:jc w:val="center"/>
              <w:ind w:right="1050"/>
              <w:spacing w:after="0"/>
              <w:rPr>
                <w:sz w:val="20"/>
                <w:szCs w:val="20"/>
                <w:color w:val="auto"/>
              </w:rPr>
            </w:pPr>
            <w:r>
              <w:rPr>
                <w:rFonts w:ascii="Arial" w:cs="Arial" w:eastAsia="Arial" w:hAnsi="Arial"/>
                <w:sz w:val="18"/>
                <w:szCs w:val="18"/>
                <w:color w:val="auto"/>
                <w:w w:val="94"/>
              </w:rPr>
              <w:t>(I.R.S. Employer Identification No.)</w:t>
            </w:r>
          </w:p>
        </w:tc>
      </w:tr>
      <w:tr>
        <w:trPr>
          <w:trHeight w:val="243"/>
        </w:trPr>
        <w:tc>
          <w:tcPr>
            <w:tcW w:w="3580" w:type="dxa"/>
            <w:vAlign w:val="bottom"/>
          </w:tcPr>
          <w:p>
            <w:pPr>
              <w:spacing w:after="0"/>
              <w:rPr>
                <w:sz w:val="21"/>
                <w:szCs w:val="21"/>
                <w:color w:val="auto"/>
              </w:rPr>
            </w:pPr>
          </w:p>
        </w:tc>
        <w:tc>
          <w:tcPr>
            <w:tcW w:w="7620" w:type="dxa"/>
            <w:vAlign w:val="bottom"/>
            <w:gridSpan w:val="5"/>
          </w:tcPr>
          <w:p>
            <w:pPr>
              <w:jc w:val="center"/>
              <w:ind w:right="3410"/>
              <w:spacing w:after="0"/>
              <w:rPr>
                <w:sz w:val="20"/>
                <w:szCs w:val="20"/>
                <w:color w:val="auto"/>
              </w:rPr>
            </w:pPr>
            <w:r>
              <w:rPr>
                <w:rFonts w:ascii="Arial" w:cs="Arial" w:eastAsia="Arial" w:hAnsi="Arial"/>
                <w:sz w:val="18"/>
                <w:szCs w:val="18"/>
                <w:b w:val="1"/>
                <w:bCs w:val="1"/>
                <w:color w:val="auto"/>
                <w:w w:val="88"/>
              </w:rPr>
              <w:t>19 East Chocolate Avenue, Hershey, PA 17033</w:t>
            </w:r>
          </w:p>
        </w:tc>
      </w:tr>
      <w:tr>
        <w:trPr>
          <w:trHeight w:val="176"/>
        </w:trPr>
        <w:tc>
          <w:tcPr>
            <w:tcW w:w="3580" w:type="dxa"/>
            <w:vAlign w:val="bottom"/>
          </w:tcPr>
          <w:p>
            <w:pPr>
              <w:spacing w:after="0"/>
              <w:rPr>
                <w:sz w:val="15"/>
                <w:szCs w:val="15"/>
                <w:color w:val="auto"/>
              </w:rPr>
            </w:pPr>
          </w:p>
        </w:tc>
        <w:tc>
          <w:tcPr>
            <w:tcW w:w="7620" w:type="dxa"/>
            <w:vAlign w:val="bottom"/>
            <w:gridSpan w:val="5"/>
          </w:tcPr>
          <w:p>
            <w:pPr>
              <w:jc w:val="center"/>
              <w:ind w:right="3410"/>
              <w:spacing w:after="0" w:line="176" w:lineRule="exact"/>
              <w:rPr>
                <w:sz w:val="20"/>
                <w:szCs w:val="20"/>
                <w:color w:val="auto"/>
              </w:rPr>
            </w:pPr>
            <w:r>
              <w:rPr>
                <w:rFonts w:ascii="Arial" w:cs="Arial" w:eastAsia="Arial" w:hAnsi="Arial"/>
                <w:sz w:val="18"/>
                <w:szCs w:val="18"/>
                <w:color w:val="auto"/>
                <w:w w:val="92"/>
              </w:rPr>
              <w:t>(Address of principal executive offices and Zip Code)</w:t>
            </w:r>
          </w:p>
        </w:tc>
      </w:tr>
      <w:tr>
        <w:trPr>
          <w:trHeight w:val="188"/>
        </w:trPr>
        <w:tc>
          <w:tcPr>
            <w:tcW w:w="3580" w:type="dxa"/>
            <w:vAlign w:val="bottom"/>
          </w:tcPr>
          <w:p>
            <w:pPr>
              <w:spacing w:after="0"/>
              <w:rPr>
                <w:sz w:val="16"/>
                <w:szCs w:val="16"/>
                <w:color w:val="auto"/>
              </w:rPr>
            </w:pPr>
          </w:p>
        </w:tc>
        <w:tc>
          <w:tcPr>
            <w:tcW w:w="3240" w:type="dxa"/>
            <w:vAlign w:val="bottom"/>
            <w:gridSpan w:val="3"/>
          </w:tcPr>
          <w:p>
            <w:pPr>
              <w:jc w:val="center"/>
              <w:ind w:left="750"/>
              <w:spacing w:after="0" w:line="189" w:lineRule="exact"/>
              <w:rPr>
                <w:sz w:val="20"/>
                <w:szCs w:val="20"/>
                <w:color w:val="auto"/>
              </w:rPr>
            </w:pPr>
            <w:r>
              <w:rPr>
                <w:rFonts w:ascii="Arial" w:cs="Arial" w:eastAsia="Arial" w:hAnsi="Arial"/>
                <w:sz w:val="18"/>
                <w:szCs w:val="18"/>
                <w:b w:val="1"/>
                <w:bCs w:val="1"/>
                <w:color w:val="auto"/>
                <w:w w:val="90"/>
              </w:rPr>
              <w:t>(717) 534-4200</w:t>
            </w: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7620" w:type="dxa"/>
            <w:vAlign w:val="bottom"/>
            <w:gridSpan w:val="5"/>
          </w:tcPr>
          <w:p>
            <w:pPr>
              <w:jc w:val="center"/>
              <w:ind w:right="34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77"/>
        </w:trPr>
        <w:tc>
          <w:tcPr>
            <w:tcW w:w="3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Not Applicable</w:t>
            </w:r>
          </w:p>
        </w:tc>
        <w:tc>
          <w:tcPr>
            <w:tcW w:w="4280" w:type="dxa"/>
            <w:vAlign w:val="bottom"/>
          </w:tcPr>
          <w:p>
            <w:pPr>
              <w:spacing w:after="0"/>
              <w:rPr>
                <w:sz w:val="24"/>
                <w:szCs w:val="24"/>
                <w:color w:val="auto"/>
              </w:rPr>
            </w:pPr>
          </w:p>
        </w:tc>
      </w:tr>
      <w:tr>
        <w:trPr>
          <w:trHeight w:val="198"/>
        </w:trPr>
        <w:tc>
          <w:tcPr>
            <w:tcW w:w="11200" w:type="dxa"/>
            <w:vAlign w:val="bottom"/>
            <w:gridSpan w:val="6"/>
          </w:tcPr>
          <w:p>
            <w:pPr>
              <w:jc w:val="center"/>
              <w:spacing w:after="0" w:line="199" w:lineRule="exact"/>
              <w:rPr>
                <w:sz w:val="20"/>
                <w:szCs w:val="20"/>
                <w:color w:val="auto"/>
              </w:rPr>
            </w:pPr>
            <w:r>
              <w:rPr>
                <w:rFonts w:ascii="Arial" w:cs="Arial" w:eastAsia="Arial" w:hAnsi="Arial"/>
                <w:sz w:val="18"/>
                <w:szCs w:val="18"/>
                <w:color w:val="auto"/>
                <w:w w:val="89"/>
              </w:rPr>
              <w:t>(Former name or former address, if changed since last report)</w:t>
            </w:r>
          </w:p>
        </w:tc>
      </w:tr>
      <w:tr>
        <w:trPr>
          <w:trHeight w:val="234"/>
        </w:trPr>
        <w:tc>
          <w:tcPr>
            <w:tcW w:w="692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280" w:type="dxa"/>
            <w:vAlign w:val="bottom"/>
          </w:tcPr>
          <w:p>
            <w:pPr>
              <w:spacing w:after="0"/>
              <w:rPr>
                <w:sz w:val="20"/>
                <w:szCs w:val="20"/>
                <w:color w:val="auto"/>
              </w:rPr>
            </w:pPr>
          </w:p>
        </w:tc>
      </w:tr>
      <w:tr>
        <w:trPr>
          <w:trHeight w:val="243"/>
        </w:trPr>
        <w:tc>
          <w:tcPr>
            <w:tcW w:w="3580" w:type="dxa"/>
            <w:vAlign w:val="bottom"/>
          </w:tcPr>
          <w:p>
            <w:pPr>
              <w:jc w:val="center"/>
              <w:ind w:left="590"/>
              <w:spacing w:after="0"/>
              <w:rPr>
                <w:sz w:val="20"/>
                <w:szCs w:val="20"/>
                <w:color w:val="auto"/>
              </w:rPr>
            </w:pPr>
            <w:r>
              <w:rPr>
                <w:rFonts w:ascii="Arial" w:cs="Arial" w:eastAsia="Arial" w:hAnsi="Arial"/>
                <w:sz w:val="18"/>
                <w:szCs w:val="18"/>
                <w:b w:val="1"/>
                <w:bCs w:val="1"/>
                <w:color w:val="auto"/>
                <w:w w:val="86"/>
              </w:rPr>
              <w:t>Title of each class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580" w:type="dxa"/>
            <w:vAlign w:val="bottom"/>
            <w:tcBorders>
              <w:top w:val="single" w:sz="8" w:color="auto"/>
            </w:tcBorders>
          </w:tcPr>
          <w:p>
            <w:pPr>
              <w:jc w:val="center"/>
              <w:ind w:left="610"/>
              <w:spacing w:after="0"/>
              <w:rPr>
                <w:sz w:val="20"/>
                <w:szCs w:val="20"/>
                <w:color w:val="auto"/>
              </w:rPr>
            </w:pPr>
            <w:r>
              <w:rPr>
                <w:rFonts w:ascii="Arial" w:cs="Arial" w:eastAsia="Arial" w:hAnsi="Arial"/>
                <w:sz w:val="18"/>
                <w:szCs w:val="18"/>
                <w:color w:val="auto"/>
                <w:w w:val="90"/>
              </w:rPr>
              <w:t>Common Stock, one dollar par value</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95" w:lineRule="exact"/>
        <w:rPr>
          <w:sz w:val="24"/>
          <w:szCs w:val="24"/>
          <w:color w:val="auto"/>
        </w:rPr>
      </w:pPr>
    </w:p>
    <w:p>
      <w:pPr>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requirements for the past 90 days. Yes x No </w:t>
      </w:r>
      <w:r>
        <w:rPr>
          <w:rFonts w:ascii="MS PGothic" w:cs="MS PGothic" w:eastAsia="MS PGothic" w:hAnsi="MS PGothic"/>
          <w:sz w:val="18"/>
          <w:szCs w:val="18"/>
          <w:color w:val="auto"/>
        </w:rPr>
        <w:t>☐</w:t>
      </w:r>
    </w:p>
    <w:p>
      <w:pPr>
        <w:spacing w:after="0" w:line="202"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02" w:lineRule="exact"/>
        <w:rPr>
          <w:sz w:val="24"/>
          <w:szCs w:val="24"/>
          <w:color w:val="auto"/>
        </w:rPr>
      </w:pPr>
    </w:p>
    <w:p>
      <w:pPr>
        <w:ind w:right="32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rPr>
          <w:sz w:val="20"/>
          <w:szCs w:val="20"/>
          <w:color w:val="auto"/>
        </w:rPr>
      </w:pPr>
      <w:r>
        <w:rPr>
          <w:rFonts w:ascii="Arial" w:cs="Arial" w:eastAsia="Arial" w:hAnsi="Arial"/>
          <w:sz w:val="18"/>
          <w:szCs w:val="18"/>
          <w:color w:val="auto"/>
        </w:rPr>
        <w:t>company” in Rule 12b-2 of the Exchange Act. (Check one):</w:t>
      </w:r>
    </w:p>
    <w:p>
      <w:pPr>
        <w:spacing w:after="0" w:line="68" w:lineRule="exact"/>
        <w:rPr>
          <w:sz w:val="24"/>
          <w:szCs w:val="24"/>
          <w:color w:val="auto"/>
        </w:rPr>
      </w:pPr>
    </w:p>
    <w:p>
      <w:pPr>
        <w:ind w:left="160"/>
        <w:spacing w:after="0" w:line="207" w:lineRule="exact"/>
        <w:tabs>
          <w:tab w:leader="none" w:pos="1980" w:val="left"/>
          <w:tab w:leader="none" w:pos="2280" w:val="left"/>
          <w:tab w:leader="none" w:pos="3680" w:val="left"/>
          <w:tab w:leader="none" w:pos="8720" w:val="left"/>
          <w:tab w:leader="none" w:pos="109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25" w:lineRule="exact"/>
        <w:rPr>
          <w:sz w:val="24"/>
          <w:szCs w:val="24"/>
          <w:color w:val="auto"/>
        </w:rPr>
      </w:pPr>
    </w:p>
    <w:p>
      <w:pPr>
        <w:ind w:right="16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19" w:lineRule="auto"/>
        <w:rPr>
          <w:sz w:val="20"/>
          <w:szCs w:val="20"/>
          <w:color w:val="auto"/>
        </w:rPr>
      </w:pPr>
      <w:r>
        <w:rPr>
          <w:rFonts w:ascii="Arial" w:cs="Arial" w:eastAsia="Arial" w:hAnsi="Arial"/>
          <w:sz w:val="18"/>
          <w:szCs w:val="18"/>
          <w:color w:val="auto"/>
        </w:rPr>
        <w:t>Common Stock, one dollar par value—147,284,984 shares, as of April 21, 2023.</w:t>
      </w:r>
    </w:p>
    <w:p>
      <w:pPr>
        <w:ind w:left="660"/>
        <w:spacing w:after="0"/>
        <w:rPr>
          <w:sz w:val="20"/>
          <w:szCs w:val="20"/>
          <w:color w:val="auto"/>
        </w:rPr>
      </w:pPr>
      <w:r>
        <w:rPr>
          <w:rFonts w:ascii="Arial" w:cs="Arial" w:eastAsia="Arial" w:hAnsi="Arial"/>
          <w:sz w:val="18"/>
          <w:szCs w:val="18"/>
          <w:color w:val="auto"/>
        </w:rPr>
        <w:t>Class B Common Stock, one dollar par value—57,113,777 shares, as of April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April 2, 2023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CCEEFF"/>
          </w:tcPr>
          <w:p>
            <w:pPr>
              <w:spacing w:after="0"/>
              <w:rPr>
                <w:sz w:val="17"/>
                <w:szCs w:val="17"/>
                <w:color w:val="auto"/>
              </w:rPr>
            </w:pPr>
          </w:p>
        </w:tc>
        <w:tc>
          <w:tcPr>
            <w:tcW w:w="7540" w:type="dxa"/>
            <w:vAlign w:val="bottom"/>
            <w:gridSpan w:val="37"/>
            <w:shd w:val="clear" w:color="auto" w:fill="CCEEFF"/>
          </w:tcPr>
          <w:p>
            <w:pPr>
              <w:spacing w:after="0"/>
              <w:rPr>
                <w:sz w:val="20"/>
                <w:szCs w:val="20"/>
                <w:color w:val="auto"/>
              </w:rPr>
            </w:pPr>
            <w:r>
              <w:rPr>
                <w:rFonts w:ascii="Arial" w:cs="Arial" w:eastAsia="Arial" w:hAnsi="Arial"/>
                <w:sz w:val="16"/>
                <w:szCs w:val="16"/>
                <w:color w:val="0000FF"/>
              </w:rPr>
              <w:t>PART I. FINANCIAL INFORMATION</w:t>
            </w:r>
          </w:p>
        </w:tc>
        <w:tc>
          <w:tcPr>
            <w:tcW w:w="3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0000FF"/>
              </w:rPr>
              <w:t>2</w:t>
            </w:r>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2600" w:type="dxa"/>
            <w:vAlign w:val="bottom"/>
            <w:tcBorders>
              <w:top w:val="single" w:sz="8" w:color="0000FF"/>
            </w:tcBorders>
            <w:gridSpan w:val="18"/>
          </w:tcPr>
          <w:p>
            <w:pPr>
              <w:ind w:left="120"/>
              <w:spacing w:after="0" w:line="175" w:lineRule="exact"/>
              <w:rPr>
                <w:sz w:val="20"/>
                <w:szCs w:val="20"/>
                <w:color w:val="auto"/>
              </w:rPr>
            </w:pPr>
            <w:r>
              <w:rPr>
                <w:rFonts w:ascii="Arial" w:cs="Arial" w:eastAsia="Arial" w:hAnsi="Arial"/>
                <w:sz w:val="16"/>
                <w:szCs w:val="16"/>
                <w:color w:val="0000FF"/>
              </w:rPr>
              <w:t>Item 1. Financial Statements</w:t>
            </w:r>
          </w:p>
        </w:tc>
        <w:tc>
          <w:tcPr>
            <w:tcW w:w="4940" w:type="dxa"/>
            <w:vAlign w:val="bottom"/>
            <w:tcBorders>
              <w:top w:val="single" w:sz="8" w:color="CCEEFF"/>
            </w:tcBorders>
            <w:gridSpan w:val="19"/>
          </w:tcPr>
          <w:p>
            <w:pPr>
              <w:spacing w:after="0"/>
              <w:rPr>
                <w:sz w:val="15"/>
                <w:szCs w:val="15"/>
                <w:color w:val="auto"/>
              </w:rPr>
            </w:pPr>
          </w:p>
        </w:tc>
        <w:tc>
          <w:tcPr>
            <w:tcW w:w="358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340" w:type="dxa"/>
            <w:vAlign w:val="bottom"/>
            <w:gridSpan w:val="35"/>
            <w:shd w:val="clear" w:color="auto" w:fill="CCEEFF"/>
          </w:tcPr>
          <w:p>
            <w:pPr>
              <w:spacing w:after="0" w:line="175" w:lineRule="exact"/>
              <w:rPr>
                <w:sz w:val="20"/>
                <w:szCs w:val="20"/>
                <w:color w:val="auto"/>
              </w:rPr>
            </w:pPr>
            <w:r>
              <w:rPr>
                <w:rFonts w:ascii="Arial" w:cs="Arial" w:eastAsia="Arial" w:hAnsi="Arial"/>
                <w:sz w:val="16"/>
                <w:szCs w:val="16"/>
                <w:color w:val="0000FF"/>
              </w:rPr>
              <w:t>Consolidated Statements of Income for the Three Months Ended April 2, 2023 and April 3, 2022</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gridSpan w:val="35"/>
          </w:tcPr>
          <w:p>
            <w:pPr>
              <w:spacing w:after="0" w:line="175" w:lineRule="exact"/>
              <w:rPr>
                <w:sz w:val="20"/>
                <w:szCs w:val="20"/>
                <w:color w:val="auto"/>
              </w:rPr>
            </w:pPr>
            <w:r>
              <w:rPr>
                <w:rFonts w:ascii="Arial" w:cs="Arial" w:eastAsia="Arial" w:hAnsi="Arial"/>
                <w:sz w:val="16"/>
                <w:szCs w:val="16"/>
                <w:color w:val="0000FF"/>
                <w:w w:val="92"/>
              </w:rPr>
              <w:t>Consolidated Statements of Comprehensive Income for the Three Months Ended April 2, 2023 and April 3, 2022</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740" w:type="dxa"/>
            <w:vAlign w:val="bottom"/>
            <w:tcBorders>
              <w:bottom w:val="single" w:sz="8" w:color="0000FF"/>
            </w:tcBorders>
            <w:gridSpan w:val="30"/>
            <w:shd w:val="clear" w:color="auto" w:fill="CCEEFF"/>
          </w:tcPr>
          <w:p>
            <w:pPr>
              <w:spacing w:after="0" w:line="175" w:lineRule="exact"/>
              <w:rPr>
                <w:sz w:val="20"/>
                <w:szCs w:val="20"/>
                <w:color w:val="auto"/>
              </w:rPr>
            </w:pPr>
            <w:r>
              <w:rPr>
                <w:rFonts w:ascii="Arial" w:cs="Arial" w:eastAsia="Arial" w:hAnsi="Arial"/>
                <w:sz w:val="16"/>
                <w:szCs w:val="16"/>
                <w:color w:val="0000FF"/>
                <w:w w:val="90"/>
              </w:rPr>
              <w:t>Consolidated Balance Sheets as of April 2, 2023 and December 31, 2022</w:t>
            </w:r>
          </w:p>
        </w:tc>
        <w:tc>
          <w:tcPr>
            <w:tcW w:w="2600" w:type="dxa"/>
            <w:vAlign w:val="bottom"/>
            <w:tcBorders>
              <w:bottom w:val="single" w:sz="8" w:color="CCEEFF"/>
            </w:tcBorders>
            <w:gridSpan w:val="5"/>
            <w:shd w:val="clear" w:color="auto" w:fill="CCEEFF"/>
          </w:tcPr>
          <w:p>
            <w:pPr>
              <w:spacing w:after="0"/>
              <w:rPr>
                <w:sz w:val="17"/>
                <w:szCs w:val="17"/>
                <w:color w:val="auto"/>
              </w:rPr>
            </w:pPr>
          </w:p>
        </w:tc>
        <w:tc>
          <w:tcPr>
            <w:tcW w:w="358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71"/>
              </w:rPr>
              <w:t>4</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20" w:type="dxa"/>
            <w:vAlign w:val="bottom"/>
            <w:gridSpan w:val="36"/>
          </w:tcPr>
          <w:p>
            <w:pPr>
              <w:ind w:left="80"/>
              <w:spacing w:after="0" w:line="175" w:lineRule="exact"/>
              <w:rPr>
                <w:sz w:val="20"/>
                <w:szCs w:val="20"/>
                <w:color w:val="auto"/>
              </w:rPr>
            </w:pPr>
            <w:r>
              <w:rPr>
                <w:rFonts w:ascii="Arial" w:cs="Arial" w:eastAsia="Arial" w:hAnsi="Arial"/>
                <w:sz w:val="16"/>
                <w:szCs w:val="16"/>
                <w:color w:val="0000FF"/>
              </w:rPr>
              <w:t>Consolidated Statements of Cash Flows for the Three Months Ended April 2, 2023 and April 3, 2022</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5</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FF"/>
            </w:tcBorders>
            <w:gridSpan w:val="34"/>
            <w:shd w:val="clear" w:color="auto" w:fill="CCEEFF"/>
          </w:tcPr>
          <w:p>
            <w:pPr>
              <w:spacing w:after="0" w:line="175" w:lineRule="exact"/>
              <w:rPr>
                <w:sz w:val="20"/>
                <w:szCs w:val="20"/>
                <w:color w:val="auto"/>
              </w:rPr>
            </w:pPr>
            <w:r>
              <w:rPr>
                <w:rFonts w:ascii="Arial" w:cs="Arial" w:eastAsia="Arial" w:hAnsi="Arial"/>
                <w:sz w:val="16"/>
                <w:szCs w:val="16"/>
                <w:color w:val="0000FF"/>
                <w:w w:val="93"/>
              </w:rPr>
              <w:t>Consolidated Statements of Stockholders’ Equity for the Three Months Ended April 2, 2023 and April 3, 2022</w:t>
            </w:r>
          </w:p>
        </w:tc>
        <w:tc>
          <w:tcPr>
            <w:tcW w:w="16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71"/>
              </w:rPr>
              <w:t>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20" w:type="dxa"/>
            <w:vAlign w:val="bottom"/>
            <w:gridSpan w:val="36"/>
          </w:tcPr>
          <w:p>
            <w:pPr>
              <w:ind w:left="80"/>
              <w:spacing w:after="0" w:line="175" w:lineRule="exact"/>
              <w:rPr>
                <w:sz w:val="20"/>
                <w:szCs w:val="20"/>
                <w:color w:val="auto"/>
              </w:rPr>
            </w:pPr>
            <w:r>
              <w:rPr>
                <w:rFonts w:ascii="Arial" w:cs="Arial" w:eastAsia="Arial" w:hAnsi="Arial"/>
                <w:sz w:val="16"/>
                <w:szCs w:val="16"/>
                <w:color w:val="0000FF"/>
              </w:rPr>
              <w:t>Notes to Unaudited Consolidated Financial Statements</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7</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340" w:type="dxa"/>
            <w:vAlign w:val="bottom"/>
            <w:gridSpan w:val="35"/>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1 - Summary of Significant Accounting Policies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7</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gridSpan w:val="35"/>
          </w:tcPr>
          <w:p>
            <w:pPr>
              <w:ind w:left="340"/>
              <w:spacing w:after="0" w:line="175" w:lineRule="exact"/>
              <w:rPr>
                <w:sz w:val="20"/>
                <w:szCs w:val="20"/>
                <w:color w:val="auto"/>
              </w:rPr>
            </w:pPr>
            <w:r>
              <w:rPr>
                <w:rFonts w:ascii="Arial" w:cs="Arial" w:eastAsia="Arial" w:hAnsi="Arial"/>
                <w:sz w:val="16"/>
                <w:szCs w:val="16"/>
                <w:color w:val="0000FF"/>
              </w:rPr>
              <w:t>Note 2 - Business Acquisitions</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8</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340" w:type="dxa"/>
            <w:vAlign w:val="bottom"/>
            <w:gridSpan w:val="35"/>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3 - Goodwill and Intangible Assets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10</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gridSpan w:val="35"/>
          </w:tcPr>
          <w:p>
            <w:pPr>
              <w:ind w:left="340"/>
              <w:spacing w:after="0" w:line="175" w:lineRule="exact"/>
              <w:rPr>
                <w:sz w:val="20"/>
                <w:szCs w:val="20"/>
                <w:color w:val="auto"/>
              </w:rPr>
            </w:pPr>
            <w:r>
              <w:rPr>
                <w:rFonts w:ascii="Arial" w:cs="Arial" w:eastAsia="Arial" w:hAnsi="Arial"/>
                <w:sz w:val="16"/>
                <w:szCs w:val="16"/>
                <w:color w:val="0000FF"/>
              </w:rPr>
              <w:t>Note 4 - Short and Long-Term Debt</w:t>
            </w:r>
          </w:p>
        </w:tc>
        <w:tc>
          <w:tcPr>
            <w:tcW w:w="3680" w:type="dxa"/>
            <w:vAlign w:val="bottom"/>
            <w:gridSpan w:val="4"/>
          </w:tcPr>
          <w:p>
            <w:pPr>
              <w:jc w:val="right"/>
              <w:ind w:right="20"/>
              <w:spacing w:after="0" w:line="175" w:lineRule="exact"/>
              <w:rPr>
                <w:sz w:val="20"/>
                <w:szCs w:val="20"/>
                <w:color w:val="auto"/>
              </w:rPr>
            </w:pPr>
            <w:r>
              <w:rPr>
                <w:rFonts w:ascii="Arial" w:cs="Arial" w:eastAsia="Arial" w:hAnsi="Arial"/>
                <w:sz w:val="16"/>
                <w:szCs w:val="16"/>
                <w:color w:val="0000FF"/>
              </w:rPr>
              <w:t>11</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340" w:type="dxa"/>
            <w:vAlign w:val="bottom"/>
            <w:gridSpan w:val="35"/>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5 - Derivative Instruments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12</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gridSpan w:val="35"/>
          </w:tcPr>
          <w:p>
            <w:pPr>
              <w:ind w:left="340"/>
              <w:spacing w:after="0" w:line="175" w:lineRule="exact"/>
              <w:rPr>
                <w:sz w:val="20"/>
                <w:szCs w:val="20"/>
                <w:color w:val="auto"/>
              </w:rPr>
            </w:pPr>
            <w:r>
              <w:rPr>
                <w:rFonts w:ascii="Arial" w:cs="Arial" w:eastAsia="Arial" w:hAnsi="Arial"/>
                <w:sz w:val="16"/>
                <w:szCs w:val="16"/>
                <w:color w:val="0000FF"/>
              </w:rPr>
              <w:t>Note 6 - Fair Value Measurements</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15</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340" w:type="dxa"/>
            <w:vAlign w:val="bottom"/>
            <w:gridSpan w:val="35"/>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7 - Leases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16</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gridSpan w:val="35"/>
          </w:tcPr>
          <w:p>
            <w:pPr>
              <w:ind w:left="340"/>
              <w:spacing w:after="0" w:line="175" w:lineRule="exact"/>
              <w:rPr>
                <w:sz w:val="20"/>
                <w:szCs w:val="20"/>
                <w:color w:val="auto"/>
              </w:rPr>
            </w:pPr>
            <w:r>
              <w:rPr>
                <w:rFonts w:ascii="Arial" w:cs="Arial" w:eastAsia="Arial" w:hAnsi="Arial"/>
                <w:sz w:val="16"/>
                <w:szCs w:val="16"/>
                <w:color w:val="0000FF"/>
              </w:rPr>
              <w:t>Note 8 - Investments in Unconsolidated Affiliates</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18</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340" w:type="dxa"/>
            <w:vAlign w:val="bottom"/>
            <w:gridSpan w:val="35"/>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9 - Business Realignment Activities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18</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gridSpan w:val="35"/>
          </w:tcPr>
          <w:p>
            <w:pPr>
              <w:ind w:left="340"/>
              <w:spacing w:after="0" w:line="175" w:lineRule="exact"/>
              <w:rPr>
                <w:sz w:val="20"/>
                <w:szCs w:val="20"/>
                <w:color w:val="auto"/>
              </w:rPr>
            </w:pPr>
            <w:r>
              <w:rPr>
                <w:rFonts w:ascii="Arial" w:cs="Arial" w:eastAsia="Arial" w:hAnsi="Arial"/>
                <w:sz w:val="16"/>
                <w:szCs w:val="16"/>
                <w:color w:val="0000FF"/>
              </w:rPr>
              <w:t>Note 10 - Income Taxes</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19</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340" w:type="dxa"/>
            <w:vAlign w:val="bottom"/>
            <w:gridSpan w:val="35"/>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11 - Pension and Other Post-Retirement Benefit Plans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20</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gridSpan w:val="35"/>
          </w:tcPr>
          <w:p>
            <w:pPr>
              <w:ind w:left="340"/>
              <w:spacing w:after="0" w:line="175" w:lineRule="exact"/>
              <w:rPr>
                <w:sz w:val="20"/>
                <w:szCs w:val="20"/>
                <w:color w:val="auto"/>
              </w:rPr>
            </w:pPr>
            <w:r>
              <w:rPr>
                <w:rFonts w:ascii="Arial" w:cs="Arial" w:eastAsia="Arial" w:hAnsi="Arial"/>
                <w:sz w:val="16"/>
                <w:szCs w:val="16"/>
                <w:color w:val="0000FF"/>
              </w:rPr>
              <w:t>Note 12 - Stock Compensation Plans</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21</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340" w:type="dxa"/>
            <w:vAlign w:val="bottom"/>
            <w:gridSpan w:val="35"/>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13 - Segment Information</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23</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gridSpan w:val="35"/>
          </w:tcPr>
          <w:p>
            <w:pPr>
              <w:ind w:left="340"/>
              <w:spacing w:after="0" w:line="175" w:lineRule="exact"/>
              <w:rPr>
                <w:sz w:val="20"/>
                <w:szCs w:val="20"/>
                <w:color w:val="auto"/>
              </w:rPr>
            </w:pPr>
            <w:r>
              <w:rPr>
                <w:rFonts w:ascii="Arial" w:cs="Arial" w:eastAsia="Arial" w:hAnsi="Arial"/>
                <w:sz w:val="16"/>
                <w:szCs w:val="16"/>
                <w:color w:val="0000FF"/>
              </w:rPr>
              <w:t>Note 14 - Treasury Stock Activity</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26</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340" w:type="dxa"/>
            <w:vAlign w:val="bottom"/>
            <w:gridSpan w:val="35"/>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15 - Contingencies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27</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gridSpan w:val="35"/>
          </w:tcPr>
          <w:p>
            <w:pPr>
              <w:ind w:left="340"/>
              <w:spacing w:after="0" w:line="175" w:lineRule="exact"/>
              <w:rPr>
                <w:sz w:val="20"/>
                <w:szCs w:val="20"/>
                <w:color w:val="auto"/>
              </w:rPr>
            </w:pPr>
            <w:r>
              <w:rPr>
                <w:rFonts w:ascii="Arial" w:cs="Arial" w:eastAsia="Arial" w:hAnsi="Arial"/>
                <w:sz w:val="16"/>
                <w:szCs w:val="16"/>
                <w:color w:val="0000FF"/>
              </w:rPr>
              <w:t>Note 16 - Earnings Per Share</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28</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340" w:type="dxa"/>
            <w:vAlign w:val="bottom"/>
            <w:gridSpan w:val="35"/>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17 - Other (Income) Expense, Net</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29</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gridSpan w:val="35"/>
          </w:tcPr>
          <w:p>
            <w:pPr>
              <w:ind w:left="340"/>
              <w:spacing w:after="0" w:line="175" w:lineRule="exact"/>
              <w:rPr>
                <w:sz w:val="20"/>
                <w:szCs w:val="20"/>
                <w:color w:val="auto"/>
              </w:rPr>
            </w:pPr>
            <w:r>
              <w:rPr>
                <w:rFonts w:ascii="Arial" w:cs="Arial" w:eastAsia="Arial" w:hAnsi="Arial"/>
                <w:sz w:val="16"/>
                <w:szCs w:val="16"/>
                <w:color w:val="0000FF"/>
              </w:rPr>
              <w:t>Note 18 - Supplemental Balance Sheet Information</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30</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20" w:type="dxa"/>
            <w:vAlign w:val="bottom"/>
            <w:gridSpan w:val="36"/>
            <w:shd w:val="clear" w:color="auto" w:fill="CCEEFF"/>
          </w:tcPr>
          <w:p>
            <w:pPr>
              <w:spacing w:after="0" w:line="175" w:lineRule="exact"/>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32</w:t>
            </w:r>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320" w:type="dxa"/>
            <w:vAlign w:val="bottom"/>
            <w:tcBorders>
              <w:top w:val="single" w:sz="8" w:color="0000FF"/>
            </w:tcBorders>
            <w:gridSpan w:val="32"/>
          </w:tcPr>
          <w:p>
            <w:pPr>
              <w:spacing w:after="0" w:line="175" w:lineRule="exact"/>
              <w:rPr>
                <w:sz w:val="20"/>
                <w:szCs w:val="20"/>
                <w:color w:val="auto"/>
              </w:rPr>
            </w:pPr>
            <w:r>
              <w:rPr>
                <w:rFonts w:ascii="Arial" w:cs="Arial" w:eastAsia="Arial" w:hAnsi="Arial"/>
                <w:sz w:val="16"/>
                <w:szCs w:val="16"/>
                <w:color w:val="0000FF"/>
              </w:rPr>
              <w:t>Item 3. Quantitative and Qualitative Disclosures About Market Risk</w:t>
            </w:r>
          </w:p>
        </w:tc>
        <w:tc>
          <w:tcPr>
            <w:tcW w:w="1100" w:type="dxa"/>
            <w:vAlign w:val="bottom"/>
            <w:tcBorders>
              <w:top w:val="single" w:sz="8" w:color="CCEEFF"/>
            </w:tcBorders>
            <w:gridSpan w:val="4"/>
          </w:tcPr>
          <w:p>
            <w:pPr>
              <w:spacing w:after="0"/>
              <w:rPr>
                <w:sz w:val="15"/>
                <w:szCs w:val="15"/>
                <w:color w:val="auto"/>
              </w:rPr>
            </w:pPr>
          </w:p>
        </w:tc>
        <w:tc>
          <w:tcPr>
            <w:tcW w:w="35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78"/>
              </w:rPr>
              <w:t>43</w:t>
            </w:r>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FF"/>
            </w:tcBorders>
            <w:gridSpan w:val="12"/>
            <w:shd w:val="clear" w:color="auto" w:fill="CCEEFF"/>
          </w:tcPr>
          <w:p>
            <w:pPr>
              <w:spacing w:after="0" w:line="175" w:lineRule="exact"/>
              <w:rPr>
                <w:sz w:val="20"/>
                <w:szCs w:val="20"/>
                <w:color w:val="auto"/>
              </w:rPr>
            </w:pPr>
            <w:r>
              <w:rPr>
                <w:rFonts w:ascii="Arial" w:cs="Arial" w:eastAsia="Arial" w:hAnsi="Arial"/>
                <w:sz w:val="16"/>
                <w:szCs w:val="16"/>
                <w:color w:val="0000FF"/>
                <w:w w:val="90"/>
              </w:rPr>
              <w:t>Item 4. Controls and Procedures</w:t>
            </w:r>
          </w:p>
        </w:tc>
        <w:tc>
          <w:tcPr>
            <w:tcW w:w="5320" w:type="dxa"/>
            <w:vAlign w:val="bottom"/>
            <w:tcBorders>
              <w:bottom w:val="single" w:sz="8" w:color="CCEEFF"/>
            </w:tcBorders>
            <w:gridSpan w:val="24"/>
            <w:shd w:val="clear" w:color="auto" w:fill="CCEEFF"/>
          </w:tcPr>
          <w:p>
            <w:pPr>
              <w:spacing w:after="0"/>
              <w:rPr>
                <w:sz w:val="17"/>
                <w:szCs w:val="17"/>
                <w:color w:val="auto"/>
              </w:rPr>
            </w:pPr>
          </w:p>
        </w:tc>
        <w:tc>
          <w:tcPr>
            <w:tcW w:w="3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44</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7540" w:type="dxa"/>
            <w:vAlign w:val="bottom"/>
            <w:gridSpan w:val="37"/>
          </w:tcPr>
          <w:p>
            <w:pPr>
              <w:spacing w:after="0" w:line="175" w:lineRule="exact"/>
              <w:rPr>
                <w:sz w:val="20"/>
                <w:szCs w:val="20"/>
                <w:color w:val="auto"/>
              </w:rPr>
            </w:pPr>
            <w:r>
              <w:rPr>
                <w:rFonts w:ascii="Arial" w:cs="Arial" w:eastAsia="Arial" w:hAnsi="Arial"/>
                <w:sz w:val="16"/>
                <w:szCs w:val="16"/>
                <w:color w:val="0000FF"/>
              </w:rPr>
              <w:t>PART II. OTHER INFORMATION</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45</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20" w:type="dxa"/>
            <w:vAlign w:val="bottom"/>
            <w:gridSpan w:val="36"/>
            <w:shd w:val="clear" w:color="auto" w:fill="CCEEFF"/>
          </w:tcPr>
          <w:p>
            <w:pPr>
              <w:spacing w:after="0" w:line="175" w:lineRule="exact"/>
              <w:rPr>
                <w:sz w:val="20"/>
                <w:szCs w:val="20"/>
                <w:color w:val="auto"/>
              </w:rPr>
            </w:pPr>
            <w:r>
              <w:rPr>
                <w:rFonts w:ascii="Arial" w:cs="Arial" w:eastAsia="Arial" w:hAnsi="Arial"/>
                <w:sz w:val="16"/>
                <w:szCs w:val="16"/>
                <w:color w:val="0000FF"/>
              </w:rPr>
              <w:t>Item 1. Legal Proceedings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45</w:t>
            </w:r>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700" w:type="dxa"/>
            <w:vAlign w:val="bottom"/>
            <w:tcBorders>
              <w:top w:val="single" w:sz="8" w:color="0000FF"/>
            </w:tcBorders>
            <w:gridSpan w:val="8"/>
          </w:tcPr>
          <w:p>
            <w:pPr>
              <w:spacing w:after="0" w:line="175" w:lineRule="exact"/>
              <w:rPr>
                <w:sz w:val="20"/>
                <w:szCs w:val="20"/>
                <w:color w:val="auto"/>
              </w:rPr>
            </w:pPr>
            <w:r>
              <w:rPr>
                <w:rFonts w:ascii="Arial" w:cs="Arial" w:eastAsia="Arial" w:hAnsi="Arial"/>
                <w:sz w:val="16"/>
                <w:szCs w:val="16"/>
                <w:color w:val="0000FF"/>
              </w:rPr>
              <w:t>Item 1A. Risk Factors</w:t>
            </w:r>
          </w:p>
        </w:tc>
        <w:tc>
          <w:tcPr>
            <w:tcW w:w="5720" w:type="dxa"/>
            <w:vAlign w:val="bottom"/>
            <w:tcBorders>
              <w:top w:val="single" w:sz="8" w:color="CCEEFF"/>
            </w:tcBorders>
            <w:gridSpan w:val="28"/>
          </w:tcPr>
          <w:p>
            <w:pPr>
              <w:spacing w:after="0"/>
              <w:rPr>
                <w:sz w:val="15"/>
                <w:szCs w:val="15"/>
                <w:color w:val="auto"/>
              </w:rPr>
            </w:pPr>
          </w:p>
        </w:tc>
        <w:tc>
          <w:tcPr>
            <w:tcW w:w="35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78"/>
              </w:rPr>
              <w:t>45</w:t>
            </w:r>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20" w:type="dxa"/>
            <w:vAlign w:val="bottom"/>
            <w:gridSpan w:val="36"/>
            <w:shd w:val="clear" w:color="auto" w:fill="CCEEFF"/>
          </w:tcPr>
          <w:p>
            <w:pPr>
              <w:spacing w:after="0" w:line="175" w:lineRule="exact"/>
              <w:rPr>
                <w:sz w:val="20"/>
                <w:szCs w:val="20"/>
                <w:color w:val="auto"/>
              </w:rPr>
            </w:pPr>
            <w:r>
              <w:rPr>
                <w:rFonts w:ascii="Arial" w:cs="Arial" w:eastAsia="Arial" w:hAnsi="Arial"/>
                <w:sz w:val="16"/>
                <w:szCs w:val="16"/>
                <w:color w:val="0000FF"/>
              </w:rPr>
              <w:t>Item 2. Unregistered Sales of Equity Securities and Use of Proceeds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45</w:t>
            </w:r>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20" w:type="dxa"/>
            <w:vAlign w:val="bottom"/>
            <w:tcBorders>
              <w:top w:val="single" w:sz="8" w:color="0000FF"/>
            </w:tcBorders>
            <w:gridSpan w:val="30"/>
          </w:tcPr>
          <w:p>
            <w:pPr>
              <w:spacing w:after="0" w:line="175" w:lineRule="exact"/>
              <w:rPr>
                <w:sz w:val="20"/>
                <w:szCs w:val="20"/>
                <w:color w:val="auto"/>
              </w:rPr>
            </w:pPr>
            <w:r>
              <w:rPr>
                <w:rFonts w:ascii="Arial" w:cs="Arial" w:eastAsia="Arial" w:hAnsi="Arial"/>
                <w:sz w:val="16"/>
                <w:szCs w:val="16"/>
                <w:color w:val="0000FF"/>
              </w:rPr>
              <w:t>Item 3. Defaults Upon Senior Securities</w:t>
            </w:r>
          </w:p>
        </w:tc>
        <w:tc>
          <w:tcPr>
            <w:tcW w:w="3000" w:type="dxa"/>
            <w:vAlign w:val="bottom"/>
            <w:tcBorders>
              <w:top w:val="single" w:sz="8" w:color="CCEEFF"/>
            </w:tcBorders>
            <w:gridSpan w:val="6"/>
          </w:tcPr>
          <w:p>
            <w:pPr>
              <w:spacing w:after="0"/>
              <w:rPr>
                <w:sz w:val="15"/>
                <w:szCs w:val="15"/>
                <w:color w:val="auto"/>
              </w:rPr>
            </w:pPr>
          </w:p>
        </w:tc>
        <w:tc>
          <w:tcPr>
            <w:tcW w:w="35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78"/>
              </w:rPr>
              <w:t>45</w:t>
            </w:r>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FF"/>
            </w:tcBorders>
            <w:gridSpan w:val="12"/>
            <w:shd w:val="clear" w:color="auto" w:fill="CCEEFF"/>
          </w:tcPr>
          <w:p>
            <w:pPr>
              <w:spacing w:after="0" w:line="175" w:lineRule="exact"/>
              <w:rPr>
                <w:sz w:val="20"/>
                <w:szCs w:val="20"/>
                <w:color w:val="auto"/>
              </w:rPr>
            </w:pPr>
            <w:r>
              <w:rPr>
                <w:rFonts w:ascii="Arial" w:cs="Arial" w:eastAsia="Arial" w:hAnsi="Arial"/>
                <w:sz w:val="16"/>
                <w:szCs w:val="16"/>
                <w:color w:val="0000FF"/>
                <w:w w:val="92"/>
              </w:rPr>
              <w:t>Item 4. Mine Safety Disclosures</w:t>
            </w:r>
          </w:p>
        </w:tc>
        <w:tc>
          <w:tcPr>
            <w:tcW w:w="5320" w:type="dxa"/>
            <w:vAlign w:val="bottom"/>
            <w:tcBorders>
              <w:bottom w:val="single" w:sz="8" w:color="CCEEFF"/>
            </w:tcBorders>
            <w:gridSpan w:val="24"/>
            <w:shd w:val="clear" w:color="auto" w:fill="CCEEFF"/>
          </w:tcPr>
          <w:p>
            <w:pPr>
              <w:spacing w:after="0"/>
              <w:rPr>
                <w:sz w:val="17"/>
                <w:szCs w:val="17"/>
                <w:color w:val="auto"/>
              </w:rPr>
            </w:pPr>
          </w:p>
        </w:tc>
        <w:tc>
          <w:tcPr>
            <w:tcW w:w="3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46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7540" w:type="dxa"/>
            <w:vAlign w:val="bottom"/>
            <w:gridSpan w:val="37"/>
          </w:tcPr>
          <w:p>
            <w:pPr>
              <w:ind w:left="120"/>
              <w:spacing w:after="0" w:line="175" w:lineRule="exact"/>
              <w:rPr>
                <w:sz w:val="20"/>
                <w:szCs w:val="20"/>
                <w:color w:val="auto"/>
              </w:rPr>
            </w:pPr>
            <w:r>
              <w:rPr>
                <w:rFonts w:ascii="Arial" w:cs="Arial" w:eastAsia="Arial" w:hAnsi="Arial"/>
                <w:sz w:val="16"/>
                <w:szCs w:val="16"/>
                <w:color w:val="0000FF"/>
              </w:rPr>
              <w:t>Item 5. Other Information</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46</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20" w:type="dxa"/>
            <w:vAlign w:val="bottom"/>
            <w:gridSpan w:val="36"/>
            <w:shd w:val="clear" w:color="auto" w:fill="CCEEFF"/>
          </w:tcPr>
          <w:p>
            <w:pPr>
              <w:spacing w:after="0" w:line="175" w:lineRule="exact"/>
              <w:rPr>
                <w:sz w:val="20"/>
                <w:szCs w:val="20"/>
                <w:color w:val="auto"/>
              </w:rPr>
            </w:pPr>
            <w:r>
              <w:rPr>
                <w:rFonts w:ascii="Arial" w:cs="Arial" w:eastAsia="Arial" w:hAnsi="Arial"/>
                <w:sz w:val="16"/>
                <w:szCs w:val="16"/>
                <w:color w:val="0000FF"/>
              </w:rPr>
              <w:t>Item 6. Exhibits</w:t>
            </w:r>
          </w:p>
        </w:tc>
        <w:tc>
          <w:tcPr>
            <w:tcW w:w="36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46</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540" w:type="dxa"/>
            <w:vAlign w:val="bottom"/>
            <w:gridSpan w:val="37"/>
          </w:tcPr>
          <w:p>
            <w:pPr>
              <w:spacing w:after="0" w:line="175" w:lineRule="exact"/>
              <w:rPr>
                <w:sz w:val="20"/>
                <w:szCs w:val="20"/>
                <w:color w:val="auto"/>
              </w:rPr>
            </w:pPr>
            <w:r>
              <w:rPr>
                <w:rFonts w:ascii="Arial" w:cs="Arial" w:eastAsia="Arial" w:hAnsi="Arial"/>
                <w:sz w:val="16"/>
                <w:szCs w:val="16"/>
                <w:color w:val="0000FF"/>
              </w:rPr>
              <w:t>Signatures</w:t>
            </w:r>
          </w:p>
        </w:tc>
        <w:tc>
          <w:tcPr>
            <w:tcW w:w="366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659765</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7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 2023</w:t>
            </w:r>
          </w:p>
        </w:tc>
        <w:tc>
          <w:tcPr>
            <w:tcW w:w="24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3, 2022</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2,987,614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2,666,221</w:t>
            </w:r>
          </w:p>
        </w:tc>
      </w:tr>
      <w:tr>
        <w:trPr>
          <w:trHeight w:val="230"/>
        </w:trPr>
        <w:tc>
          <w:tcPr>
            <w:tcW w:w="7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1,605,292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1,420,741</w:t>
            </w:r>
          </w:p>
        </w:tc>
      </w:tr>
      <w:tr>
        <w:trPr>
          <w:trHeight w:val="223"/>
        </w:trPr>
        <w:tc>
          <w:tcPr>
            <w:tcW w:w="7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1,245,480</w:t>
            </w:r>
          </w:p>
        </w:tc>
      </w:tr>
      <w:tr>
        <w:trPr>
          <w:trHeight w:val="229"/>
        </w:trPr>
        <w:tc>
          <w:tcPr>
            <w:tcW w:w="7180" w:type="dxa"/>
            <w:vAlign w:val="bottom"/>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581,587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524,216</w:t>
            </w:r>
          </w:p>
        </w:tc>
      </w:tr>
      <w:tr>
        <w:trPr>
          <w:trHeight w:val="230"/>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realignment costs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7180" w:type="dxa"/>
            <w:vAlign w:val="bottom"/>
          </w:tcPr>
          <w:p>
            <w:pPr>
              <w:ind w:left="6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799,924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720,990</w:t>
            </w:r>
          </w:p>
        </w:tc>
      </w:tr>
      <w:tr>
        <w:trPr>
          <w:trHeight w:val="230"/>
        </w:trPr>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33,179</w:t>
            </w:r>
          </w:p>
        </w:tc>
      </w:tr>
      <w:tr>
        <w:trPr>
          <w:trHeight w:val="229"/>
        </w:trPr>
        <w:tc>
          <w:tcPr>
            <w:tcW w:w="71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677,404</w:t>
            </w:r>
          </w:p>
        </w:tc>
      </w:tr>
      <w:tr>
        <w:trPr>
          <w:trHeight w:val="229"/>
        </w:trPr>
        <w:tc>
          <w:tcPr>
            <w:tcW w:w="71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143,926</w:t>
            </w:r>
          </w:p>
        </w:tc>
      </w:tr>
      <w:tr>
        <w:trPr>
          <w:trHeight w:val="248"/>
        </w:trPr>
        <w:tc>
          <w:tcPr>
            <w:tcW w:w="7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533,478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share—basic:</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1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70"/>
        </w:trPr>
        <w:tc>
          <w:tcPr>
            <w:tcW w:w="7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share—diluted:</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1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70"/>
        </w:trPr>
        <w:tc>
          <w:tcPr>
            <w:tcW w:w="7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paid per share: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1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0.901</w:t>
            </w:r>
          </w:p>
        </w:tc>
      </w:tr>
      <w:tr>
        <w:trPr>
          <w:trHeight w:val="230"/>
        </w:trPr>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0.819</w:t>
            </w: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5" w:right="4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4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6"/>
              </w:rPr>
              <w:t>April 2, 2023</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6"/>
              </w:rPr>
              <w:t>April 3, 2022</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3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Pre-Tax</w:t>
            </w:r>
          </w:p>
        </w:tc>
        <w:tc>
          <w:tcPr>
            <w:tcW w:w="104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2"/>
              </w:rPr>
              <w:t>Tax (Expense)</w:t>
            </w:r>
          </w:p>
        </w:tc>
        <w:tc>
          <w:tcPr>
            <w:tcW w:w="120" w:type="dxa"/>
            <w:vAlign w:val="bottom"/>
          </w:tcPr>
          <w:p>
            <w:pPr>
              <w:spacing w:after="0"/>
              <w:rPr>
                <w:sz w:val="12"/>
                <w:szCs w:val="12"/>
                <w:color w:val="auto"/>
              </w:rPr>
            </w:pPr>
          </w:p>
        </w:tc>
        <w:tc>
          <w:tcPr>
            <w:tcW w:w="8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7"/>
              </w:rPr>
              <w:t>After-Tax</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Pre-Tax</w:t>
            </w:r>
          </w:p>
        </w:tc>
        <w:tc>
          <w:tcPr>
            <w:tcW w:w="102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0"/>
              </w:rPr>
              <w:t>Tax (Expense)</w:t>
            </w:r>
          </w:p>
        </w:tc>
        <w:tc>
          <w:tcPr>
            <w:tcW w:w="140" w:type="dxa"/>
            <w:vAlign w:val="bottom"/>
          </w:tcPr>
          <w:p>
            <w:pPr>
              <w:spacing w:after="0"/>
              <w:rPr>
                <w:sz w:val="12"/>
                <w:szCs w:val="12"/>
                <w:color w:val="auto"/>
              </w:rPr>
            </w:pPr>
          </w:p>
        </w:tc>
        <w:tc>
          <w:tcPr>
            <w:tcW w:w="820" w:type="dxa"/>
            <w:vAlign w:val="bottom"/>
          </w:tcPr>
          <w:p>
            <w:pPr>
              <w:jc w:val="right"/>
              <w:ind w:right="108"/>
              <w:spacing w:after="0" w:line="139" w:lineRule="exact"/>
              <w:rPr>
                <w:sz w:val="20"/>
                <w:szCs w:val="20"/>
                <w:color w:val="auto"/>
              </w:rPr>
            </w:pPr>
            <w:r>
              <w:rPr>
                <w:rFonts w:ascii="Arial" w:cs="Arial" w:eastAsia="Arial" w:hAnsi="Arial"/>
                <w:sz w:val="14"/>
                <w:szCs w:val="14"/>
                <w:b w:val="1"/>
                <w:bCs w:val="1"/>
                <w:color w:val="auto"/>
              </w:rPr>
              <w:t>After-Tax</w:t>
            </w:r>
          </w:p>
        </w:tc>
      </w:tr>
      <w:tr>
        <w:trPr>
          <w:trHeight w:val="192"/>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r>
      <w:tr>
        <w:trPr>
          <w:trHeight w:val="202"/>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587,185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533,478</w:t>
            </w:r>
          </w:p>
        </w:tc>
      </w:tr>
      <w:tr>
        <w:trPr>
          <w:trHeight w:val="174"/>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net of tax:</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191"/>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82"/>
        </w:trPr>
        <w:tc>
          <w:tcPr>
            <w:tcW w:w="4980" w:type="dxa"/>
            <w:vAlign w:val="bottom"/>
          </w:tcPr>
          <w:p>
            <w:pPr>
              <w:ind w:left="220"/>
              <w:spacing w:after="0"/>
              <w:rPr>
                <w:sz w:val="20"/>
                <w:szCs w:val="20"/>
                <w:color w:val="auto"/>
              </w:rPr>
            </w:pPr>
            <w:r>
              <w:rPr>
                <w:rFonts w:ascii="Arial" w:cs="Arial" w:eastAsia="Arial" w:hAnsi="Arial"/>
                <w:sz w:val="14"/>
                <w:szCs w:val="14"/>
                <w:color w:val="auto"/>
              </w:rPr>
              <w:t>Foreign currency translation (losses) gains during period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8,940</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8,940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14,419</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14,419</w:t>
            </w: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Pension and post-retirement benefit plans: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82"/>
        </w:trPr>
        <w:tc>
          <w:tcPr>
            <w:tcW w:w="4980" w:type="dxa"/>
            <w:vAlign w:val="bottom"/>
          </w:tcPr>
          <w:p>
            <w:pPr>
              <w:ind w:left="220"/>
              <w:spacing w:after="0"/>
              <w:rPr>
                <w:sz w:val="20"/>
                <w:szCs w:val="20"/>
                <w:color w:val="auto"/>
              </w:rPr>
            </w:pPr>
            <w:r>
              <w:rPr>
                <w:rFonts w:ascii="Arial" w:cs="Arial" w:eastAsia="Arial" w:hAnsi="Arial"/>
                <w:sz w:val="14"/>
                <w:szCs w:val="14"/>
                <w:color w:val="auto"/>
              </w:rPr>
              <w:t>Net actuarial (loss) gain and service cost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(7,042)</w:t>
            </w: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Reclassification to earnings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3,010</w:t>
            </w:r>
          </w:p>
        </w:tc>
      </w:tr>
      <w:tr>
        <w:trPr>
          <w:trHeight w:val="182"/>
        </w:trPr>
        <w:tc>
          <w:tcPr>
            <w:tcW w:w="4980" w:type="dxa"/>
            <w:vAlign w:val="bottom"/>
          </w:tcPr>
          <w:p>
            <w:pPr>
              <w:ind w:left="14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Gains (losses) on cash flow hedging derivatives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(5,050)</w:t>
            </w:r>
          </w:p>
        </w:tc>
      </w:tr>
      <w:tr>
        <w:trPr>
          <w:trHeight w:val="182"/>
        </w:trPr>
        <w:tc>
          <w:tcPr>
            <w:tcW w:w="4980" w:type="dxa"/>
            <w:vAlign w:val="bottom"/>
          </w:tcPr>
          <w:p>
            <w:pPr>
              <w:ind w:left="220"/>
              <w:spacing w:after="0"/>
              <w:rPr>
                <w:sz w:val="20"/>
                <w:szCs w:val="20"/>
                <w:color w:val="auto"/>
              </w:rPr>
            </w:pPr>
            <w:r>
              <w:rPr>
                <w:rFonts w:ascii="Arial" w:cs="Arial" w:eastAsia="Arial" w:hAnsi="Arial"/>
                <w:sz w:val="14"/>
                <w:szCs w:val="14"/>
                <w:color w:val="auto"/>
              </w:rPr>
              <w:t>Reclassification to earnings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1,869</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comprehensive income,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15,641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14,326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7,206</w:t>
            </w:r>
          </w:p>
        </w:tc>
      </w:tr>
      <w:tr>
        <w:trPr>
          <w:trHeight w:val="163"/>
        </w:trPr>
        <w:tc>
          <w:tcPr>
            <w:tcW w:w="498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601,511</w:t>
            </w: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540,684</w:t>
            </w:r>
          </w:p>
        </w:tc>
      </w:tr>
      <w:tr>
        <w:trPr>
          <w:trHeight w:val="21"/>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291465</wp:posOffset>
            </wp:positionV>
            <wp:extent cx="1968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380"/>
        <w:spacing w:after="0"/>
        <w:tabs>
          <w:tab w:leader="none" w:pos="374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339725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55" w:right="439" w:bottom="1440" w:gutter="0" w:footer="0" w:header="0"/>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720" w:type="dxa"/>
            <w:vAlign w:val="bottom"/>
          </w:tcPr>
          <w:p>
            <w:pPr>
              <w:jc w:val="center"/>
              <w:ind w:left="4110"/>
              <w:spacing w:after="0"/>
              <w:rPr>
                <w:sz w:val="20"/>
                <w:szCs w:val="20"/>
                <w:color w:val="auto"/>
              </w:rPr>
            </w:pPr>
            <w:r>
              <w:rPr>
                <w:rFonts w:ascii="Arial" w:cs="Arial" w:eastAsia="Arial" w:hAnsi="Arial"/>
                <w:sz w:val="18"/>
                <w:szCs w:val="18"/>
                <w:b w:val="1"/>
                <w:bCs w:val="1"/>
                <w:color w:val="auto"/>
              </w:rPr>
              <w:t>THE HERSHEY COMPANY</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4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99"/>
              </w:rPr>
              <w:t>CONSOLIDATED BALANCE SHEETS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jc w:val="center"/>
              <w:ind w:left="4110"/>
              <w:spacing w:after="0"/>
              <w:rPr>
                <w:sz w:val="20"/>
                <w:szCs w:val="20"/>
                <w:color w:val="auto"/>
              </w:rPr>
            </w:pPr>
            <w:r>
              <w:rPr>
                <w:rFonts w:ascii="Arial" w:cs="Arial" w:eastAsia="Arial" w:hAnsi="Arial"/>
                <w:sz w:val="18"/>
                <w:szCs w:val="18"/>
                <w:b w:val="1"/>
                <w:bCs w:val="1"/>
                <w:color w:val="auto"/>
                <w:w w:val="88"/>
              </w:rPr>
              <w:t>(in thousands, except share data)</w:t>
            </w:r>
          </w:p>
        </w:tc>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 2023</w:t>
            </w:r>
          </w:p>
        </w:tc>
        <w:tc>
          <w:tcPr>
            <w:tcW w:w="220" w:type="dxa"/>
            <w:vAlign w:val="bottom"/>
          </w:tcPr>
          <w:p>
            <w:pPr>
              <w:spacing w:after="0"/>
              <w:rPr>
                <w:sz w:val="23"/>
                <w:szCs w:val="23"/>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December 31, 2022</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463,889</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Arial" w:cs="Arial" w:eastAsia="Arial" w:hAnsi="Arial"/>
                <w:sz w:val="18"/>
                <w:szCs w:val="18"/>
                <w:color w:val="auto"/>
              </w:rPr>
              <w:t>Accounts receivable—trade, net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856,841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711,203</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1,173,119</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272,195</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2,620,406</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2,822,238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2,769,702</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2,607,833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2,606,956</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Other intangibles</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1,947,584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1,966,269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944,989</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40,498</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11,111,518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10,948,820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1,004,907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970,558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832,518</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Accrued income taxes</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135,071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debt</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693,790</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753,578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3,281,348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3,257,154</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3,341,375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3,343,977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719,742</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328,403</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7,653,153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7,649,276</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60"/>
              <w:spacing w:after="0"/>
              <w:rPr>
                <w:sz w:val="20"/>
                <w:szCs w:val="20"/>
                <w:color w:val="auto"/>
              </w:rPr>
            </w:pPr>
            <w:r>
              <w:rPr>
                <w:rFonts w:ascii="Arial" w:cs="Arial" w:eastAsia="Arial" w:hAnsi="Arial"/>
                <w:sz w:val="18"/>
                <w:szCs w:val="18"/>
                <w:color w:val="auto"/>
              </w:rPr>
              <w:t>The Hershey Company stockholders’ equity</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Preferred stock, shares issued: none in 2023 and 2022</w:t>
            </w:r>
          </w:p>
        </w:tc>
        <w:tc>
          <w:tcPr>
            <w:tcW w:w="4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Arial" w:cs="Arial" w:eastAsia="Arial" w:hAnsi="Arial"/>
                <w:sz w:val="18"/>
                <w:szCs w:val="18"/>
                <w:color w:val="auto"/>
              </w:rPr>
              <w:t>Common stock, shares issued: 164,439,248 at April 2, 2023 and 163,439,248 at</w:t>
            </w: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Arial" w:cs="Arial" w:eastAsia="Arial" w:hAnsi="Arial"/>
                <w:sz w:val="18"/>
                <w:szCs w:val="18"/>
                <w:color w:val="auto"/>
              </w:rPr>
              <w:t>December 31, 2022</w:t>
            </w:r>
          </w:p>
        </w:tc>
        <w:tc>
          <w:tcPr>
            <w:tcW w:w="4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164,439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163,439</w:t>
            </w: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Class B common stock, shares issued: 57,113,777 at April 2, 2023 and 58,113,777 at</w:t>
            </w:r>
          </w:p>
        </w:tc>
        <w:tc>
          <w:tcPr>
            <w:tcW w:w="4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2022</w:t>
            </w:r>
          </w:p>
        </w:tc>
        <w:tc>
          <w:tcPr>
            <w:tcW w:w="4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58,114</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1,285,412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1,296,572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3,970,562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3,589,781</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Arial" w:cs="Arial" w:eastAsia="Arial" w:hAnsi="Arial"/>
                <w:sz w:val="18"/>
                <w:szCs w:val="18"/>
                <w:color w:val="auto"/>
                <w:w w:val="91"/>
              </w:rPr>
              <w:t>Treasury—common stock shares, at cost: 17,179,435 at April 2, 2023 and 16,588,308 at</w:t>
            </w: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Arial" w:cs="Arial" w:eastAsia="Arial" w:hAnsi="Arial"/>
                <w:sz w:val="18"/>
                <w:szCs w:val="18"/>
                <w:color w:val="auto"/>
              </w:rPr>
              <w:t>December 31, 2022</w:t>
            </w:r>
          </w:p>
        </w:tc>
        <w:tc>
          <w:tcPr>
            <w:tcW w:w="4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(1,781,155)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(1,556,029)</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(252,333)</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3,458,365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3,299,544</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11,111,518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10,948,820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291465</wp:posOffset>
            </wp:positionV>
            <wp:extent cx="196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339725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2, 2023</w:t>
            </w:r>
          </w:p>
        </w:tc>
        <w:tc>
          <w:tcPr>
            <w:tcW w:w="22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April 3, 2022</w:t>
            </w: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4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760" w:type="dxa"/>
            <w:vAlign w:val="bottom"/>
            <w:gridSpan w:val="2"/>
          </w:tcPr>
          <w:p>
            <w:pPr>
              <w:ind w:left="540"/>
              <w:spacing w:after="0"/>
              <w:rPr>
                <w:sz w:val="20"/>
                <w:szCs w:val="20"/>
                <w:color w:val="auto"/>
              </w:rPr>
            </w:pPr>
            <w:r>
              <w:rPr>
                <w:rFonts w:ascii="Arial" w:cs="Arial" w:eastAsia="Arial" w:hAnsi="Arial"/>
                <w:sz w:val="16"/>
                <w:szCs w:val="16"/>
                <w:color w:val="auto"/>
              </w:rPr>
              <w:t>Net income</w:t>
            </w:r>
          </w:p>
        </w:tc>
        <w:tc>
          <w:tcPr>
            <w:tcW w:w="43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587,185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533,478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60" w:type="dxa"/>
            <w:vAlign w:val="bottom"/>
            <w:gridSpan w:val="2"/>
          </w:tcPr>
          <w:p>
            <w:pPr>
              <w:ind w:left="780"/>
              <w:spacing w:after="0"/>
              <w:rPr>
                <w:sz w:val="20"/>
                <w:szCs w:val="20"/>
                <w:color w:val="auto"/>
              </w:rPr>
            </w:pPr>
            <w:r>
              <w:rPr>
                <w:rFonts w:ascii="Arial" w:cs="Arial" w:eastAsia="Arial" w:hAnsi="Arial"/>
                <w:sz w:val="16"/>
                <w:szCs w:val="16"/>
                <w:color w:val="auto"/>
              </w:rPr>
              <w:t>Depreciation and amortization</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91,036</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15,337</w:t>
            </w:r>
          </w:p>
        </w:tc>
      </w:tr>
      <w:tr>
        <w:trPr>
          <w:trHeight w:val="213"/>
        </w:trPr>
        <w:tc>
          <w:tcPr>
            <w:tcW w:w="20" w:type="dxa"/>
            <w:vAlign w:val="bottom"/>
          </w:tcPr>
          <w:p>
            <w:pPr>
              <w:spacing w:after="0"/>
              <w:rPr>
                <w:sz w:val="18"/>
                <w:szCs w:val="18"/>
                <w:color w:val="auto"/>
              </w:rPr>
            </w:pPr>
          </w:p>
        </w:tc>
        <w:tc>
          <w:tcPr>
            <w:tcW w:w="3760" w:type="dxa"/>
            <w:vAlign w:val="bottom"/>
            <w:gridSpan w:val="2"/>
          </w:tcPr>
          <w:p>
            <w:pPr>
              <w:ind w:left="780"/>
              <w:spacing w:after="0"/>
              <w:rPr>
                <w:sz w:val="20"/>
                <w:szCs w:val="20"/>
                <w:color w:val="auto"/>
              </w:rPr>
            </w:pPr>
            <w:r>
              <w:rPr>
                <w:rFonts w:ascii="Arial" w:cs="Arial" w:eastAsia="Arial" w:hAnsi="Arial"/>
                <w:sz w:val="16"/>
                <w:szCs w:val="16"/>
                <w:color w:val="auto"/>
              </w:rPr>
              <w:t>Deferred income taxes</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5,064</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Write-down of equity investments</w:t>
            </w:r>
          </w:p>
        </w:tc>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12,592</w:t>
            </w:r>
          </w:p>
        </w:tc>
      </w:tr>
      <w:tr>
        <w:trPr>
          <w:trHeight w:val="213"/>
        </w:trPr>
        <w:tc>
          <w:tcPr>
            <w:tcW w:w="20" w:type="dxa"/>
            <w:vAlign w:val="bottom"/>
          </w:tcPr>
          <w:p>
            <w:pPr>
              <w:spacing w:after="0"/>
              <w:rPr>
                <w:sz w:val="18"/>
                <w:szCs w:val="18"/>
                <w:color w:val="auto"/>
              </w:rPr>
            </w:pPr>
          </w:p>
        </w:tc>
        <w:tc>
          <w:tcPr>
            <w:tcW w:w="3760" w:type="dxa"/>
            <w:vAlign w:val="bottom"/>
            <w:gridSpan w:val="2"/>
          </w:tcPr>
          <w:p>
            <w:pPr>
              <w:ind w:left="780"/>
              <w:spacing w:after="0"/>
              <w:rPr>
                <w:sz w:val="20"/>
                <w:szCs w:val="20"/>
                <w:color w:val="auto"/>
              </w:rPr>
            </w:pPr>
            <w:r>
              <w:rPr>
                <w:rFonts w:ascii="Arial" w:cs="Arial" w:eastAsia="Arial" w:hAnsi="Arial"/>
                <w:sz w:val="16"/>
                <w:szCs w:val="16"/>
                <w:color w:val="auto"/>
              </w:rPr>
              <w:t>Other</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24,043</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Changes in assets and liabilities:</w:t>
            </w:r>
          </w:p>
        </w:tc>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60" w:type="dxa"/>
            <w:vAlign w:val="bottom"/>
            <w:gridSpan w:val="2"/>
          </w:tcPr>
          <w:p>
            <w:pPr>
              <w:ind w:left="980"/>
              <w:spacing w:after="0"/>
              <w:rPr>
                <w:sz w:val="20"/>
                <w:szCs w:val="20"/>
                <w:color w:val="auto"/>
              </w:rPr>
            </w:pPr>
            <w:r>
              <w:rPr>
                <w:rFonts w:ascii="Arial" w:cs="Arial" w:eastAsia="Arial" w:hAnsi="Arial"/>
                <w:sz w:val="16"/>
                <w:szCs w:val="16"/>
                <w:color w:val="auto"/>
              </w:rPr>
              <w:t>Accounts receivable—trade, net</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(140,962)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(189,621)</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Inventories</w:t>
            </w:r>
          </w:p>
        </w:tc>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(37,320)</w:t>
            </w:r>
          </w:p>
        </w:tc>
      </w:tr>
      <w:tr>
        <w:trPr>
          <w:trHeight w:val="213"/>
        </w:trPr>
        <w:tc>
          <w:tcPr>
            <w:tcW w:w="20" w:type="dxa"/>
            <w:vAlign w:val="bottom"/>
          </w:tcPr>
          <w:p>
            <w:pPr>
              <w:spacing w:after="0"/>
              <w:rPr>
                <w:sz w:val="18"/>
                <w:szCs w:val="18"/>
                <w:color w:val="auto"/>
              </w:rPr>
            </w:pPr>
          </w:p>
        </w:tc>
        <w:tc>
          <w:tcPr>
            <w:tcW w:w="3760" w:type="dxa"/>
            <w:vAlign w:val="bottom"/>
            <w:gridSpan w:val="2"/>
          </w:tcPr>
          <w:p>
            <w:pPr>
              <w:ind w:left="980"/>
              <w:spacing w:after="0"/>
              <w:rPr>
                <w:sz w:val="20"/>
                <w:szCs w:val="20"/>
                <w:color w:val="auto"/>
              </w:rPr>
            </w:pPr>
            <w:r>
              <w:rPr>
                <w:rFonts w:ascii="Arial" w:cs="Arial" w:eastAsia="Arial" w:hAnsi="Arial"/>
                <w:sz w:val="16"/>
                <w:szCs w:val="16"/>
                <w:color w:val="auto"/>
                <w:w w:val="90"/>
              </w:rPr>
              <w:t>Prepaid expenses and other current assets</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(11,251)</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w w:val="97"/>
              </w:rPr>
              <w:t>Accounts payable and accrued liabilities</w:t>
            </w:r>
          </w:p>
        </w:tc>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98,027</w:t>
            </w:r>
          </w:p>
        </w:tc>
      </w:tr>
      <w:tr>
        <w:trPr>
          <w:trHeight w:val="213"/>
        </w:trPr>
        <w:tc>
          <w:tcPr>
            <w:tcW w:w="20" w:type="dxa"/>
            <w:vAlign w:val="bottom"/>
          </w:tcPr>
          <w:p>
            <w:pPr>
              <w:spacing w:after="0"/>
              <w:rPr>
                <w:sz w:val="18"/>
                <w:szCs w:val="18"/>
                <w:color w:val="auto"/>
              </w:rPr>
            </w:pPr>
          </w:p>
        </w:tc>
        <w:tc>
          <w:tcPr>
            <w:tcW w:w="3760" w:type="dxa"/>
            <w:vAlign w:val="bottom"/>
            <w:gridSpan w:val="2"/>
          </w:tcPr>
          <w:p>
            <w:pPr>
              <w:ind w:left="980"/>
              <w:spacing w:after="0"/>
              <w:rPr>
                <w:sz w:val="20"/>
                <w:szCs w:val="20"/>
                <w:color w:val="auto"/>
              </w:rPr>
            </w:pPr>
            <w:r>
              <w:rPr>
                <w:rFonts w:ascii="Arial" w:cs="Arial" w:eastAsia="Arial" w:hAnsi="Arial"/>
                <w:sz w:val="16"/>
                <w:szCs w:val="16"/>
                <w:color w:val="auto"/>
              </w:rPr>
              <w:t>Accrued income taxes</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174,201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127,258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980"/>
              <w:spacing w:after="0"/>
              <w:rPr>
                <w:sz w:val="20"/>
                <w:szCs w:val="20"/>
                <w:color w:val="auto"/>
              </w:rPr>
            </w:pPr>
            <w:r>
              <w:rPr>
                <w:rFonts w:ascii="Arial" w:cs="Arial" w:eastAsia="Arial" w:hAnsi="Arial"/>
                <w:sz w:val="16"/>
                <w:szCs w:val="16"/>
                <w:color w:val="auto"/>
              </w:rPr>
              <w:t>Contributions to pension and other benefit plans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(8,458)</w:t>
            </w:r>
          </w:p>
        </w:tc>
      </w:tr>
      <w:tr>
        <w:trPr>
          <w:trHeight w:val="213"/>
        </w:trPr>
        <w:tc>
          <w:tcPr>
            <w:tcW w:w="2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gridSpan w:val="2"/>
          </w:tcPr>
          <w:p>
            <w:pPr>
              <w:ind w:left="980"/>
              <w:spacing w:after="0"/>
              <w:rPr>
                <w:sz w:val="20"/>
                <w:szCs w:val="20"/>
                <w:color w:val="auto"/>
              </w:rPr>
            </w:pPr>
            <w:r>
              <w:rPr>
                <w:rFonts w:ascii="Arial" w:cs="Arial" w:eastAsia="Arial" w:hAnsi="Arial"/>
                <w:sz w:val="16"/>
                <w:szCs w:val="16"/>
                <w:color w:val="auto"/>
              </w:rPr>
              <w:t>Other assets and liabilities</w:t>
            </w:r>
          </w:p>
        </w:tc>
        <w:tc>
          <w:tcPr>
            <w:tcW w:w="4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w:t>
            </w:r>
          </w:p>
        </w:tc>
      </w:tr>
      <w:tr>
        <w:trPr>
          <w:trHeight w:val="213"/>
        </w:trPr>
        <w:tc>
          <w:tcPr>
            <w:tcW w:w="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4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755,397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656,467</w:t>
            </w:r>
          </w:p>
        </w:tc>
      </w:tr>
      <w:tr>
        <w:trPr>
          <w:trHeight w:val="193"/>
        </w:trPr>
        <w:tc>
          <w:tcPr>
            <w:tcW w:w="20" w:type="dxa"/>
            <w:vAlign w:val="bottom"/>
          </w:tcPr>
          <w:p>
            <w:pPr>
              <w:spacing w:after="0"/>
              <w:rPr>
                <w:sz w:val="16"/>
                <w:szCs w:val="16"/>
                <w:color w:val="auto"/>
              </w:rPr>
            </w:pPr>
          </w:p>
        </w:tc>
        <w:tc>
          <w:tcPr>
            <w:tcW w:w="3760" w:type="dxa"/>
            <w:vAlign w:val="bottom"/>
            <w:gridSpan w:val="2"/>
          </w:tcPr>
          <w:p>
            <w:pPr>
              <w:ind w:left="200"/>
              <w:spacing w:after="0"/>
              <w:rPr>
                <w:sz w:val="20"/>
                <w:szCs w:val="20"/>
                <w:color w:val="auto"/>
              </w:rPr>
            </w:pPr>
            <w:r>
              <w:rPr>
                <w:rFonts w:ascii="Arial" w:cs="Arial" w:eastAsia="Arial" w:hAnsi="Arial"/>
                <w:sz w:val="16"/>
                <w:szCs w:val="16"/>
                <w:b w:val="1"/>
                <w:bCs w:val="1"/>
                <w:color w:val="auto"/>
              </w:rPr>
              <w:t>Investing Activities</w:t>
            </w:r>
          </w:p>
        </w:tc>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Capital additions (including software)</w:t>
            </w:r>
          </w:p>
        </w:tc>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(141,063)</w:t>
            </w:r>
          </w:p>
        </w:tc>
      </w:tr>
      <w:tr>
        <w:trPr>
          <w:trHeight w:val="213"/>
        </w:trPr>
        <w:tc>
          <w:tcPr>
            <w:tcW w:w="20" w:type="dxa"/>
            <w:vAlign w:val="bottom"/>
          </w:tcPr>
          <w:p>
            <w:pPr>
              <w:spacing w:after="0"/>
              <w:rPr>
                <w:sz w:val="18"/>
                <w:szCs w:val="18"/>
                <w:color w:val="auto"/>
              </w:rPr>
            </w:pPr>
          </w:p>
        </w:tc>
        <w:tc>
          <w:tcPr>
            <w:tcW w:w="8080" w:type="dxa"/>
            <w:vAlign w:val="bottom"/>
            <w:gridSpan w:val="3"/>
          </w:tcPr>
          <w:p>
            <w:pPr>
              <w:ind w:left="540"/>
              <w:spacing w:after="0"/>
              <w:rPr>
                <w:sz w:val="20"/>
                <w:szCs w:val="20"/>
                <w:color w:val="auto"/>
              </w:rPr>
            </w:pPr>
            <w:r>
              <w:rPr>
                <w:rFonts w:ascii="Arial" w:cs="Arial" w:eastAsia="Arial" w:hAnsi="Arial"/>
                <w:sz w:val="16"/>
                <w:szCs w:val="16"/>
                <w:color w:val="auto"/>
              </w:rPr>
              <w:t>Equity investments in tax credit qualifying partnerships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(22,503)</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Other investing activities</w:t>
            </w:r>
          </w:p>
        </w:tc>
        <w:tc>
          <w:tcPr>
            <w:tcW w:w="4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06"/>
        </w:trPr>
        <w:tc>
          <w:tcPr>
            <w:tcW w:w="2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4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(163,966)</w:t>
            </w:r>
          </w:p>
        </w:tc>
      </w:tr>
      <w:tr>
        <w:trPr>
          <w:trHeight w:val="199"/>
        </w:trPr>
        <w:tc>
          <w:tcPr>
            <w:tcW w:w="20" w:type="dxa"/>
            <w:vAlign w:val="bottom"/>
            <w:shd w:val="clear" w:color="auto" w:fill="CCEEFF"/>
          </w:tcPr>
          <w:p>
            <w:pPr>
              <w:spacing w:after="0"/>
              <w:rPr>
                <w:sz w:val="17"/>
                <w:szCs w:val="17"/>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Financing Activities</w:t>
            </w:r>
          </w:p>
        </w:tc>
        <w:tc>
          <w:tcPr>
            <w:tcW w:w="4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760" w:type="dxa"/>
            <w:vAlign w:val="bottom"/>
            <w:gridSpan w:val="2"/>
          </w:tcPr>
          <w:p>
            <w:pPr>
              <w:ind w:left="540"/>
              <w:spacing w:after="0"/>
              <w:rPr>
                <w:sz w:val="20"/>
                <w:szCs w:val="20"/>
                <w:color w:val="auto"/>
              </w:rPr>
            </w:pPr>
            <w:r>
              <w:rPr>
                <w:rFonts w:ascii="Arial" w:cs="Arial" w:eastAsia="Arial" w:hAnsi="Arial"/>
                <w:sz w:val="16"/>
                <w:szCs w:val="16"/>
                <w:color w:val="auto"/>
              </w:rPr>
              <w:t>Net decrease in short-term debt</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(90,700)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(65,640)</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w w:val="92"/>
              </w:rPr>
              <w:t>Repayment of long-term debt and finance leases</w:t>
            </w:r>
          </w:p>
        </w:tc>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213"/>
        </w:trPr>
        <w:tc>
          <w:tcPr>
            <w:tcW w:w="20" w:type="dxa"/>
            <w:vAlign w:val="bottom"/>
          </w:tcPr>
          <w:p>
            <w:pPr>
              <w:spacing w:after="0"/>
              <w:rPr>
                <w:sz w:val="18"/>
                <w:szCs w:val="18"/>
                <w:color w:val="auto"/>
              </w:rPr>
            </w:pPr>
          </w:p>
        </w:tc>
        <w:tc>
          <w:tcPr>
            <w:tcW w:w="3760" w:type="dxa"/>
            <w:vAlign w:val="bottom"/>
            <w:gridSpan w:val="2"/>
          </w:tcPr>
          <w:p>
            <w:pPr>
              <w:ind w:left="540"/>
              <w:spacing w:after="0"/>
              <w:rPr>
                <w:sz w:val="20"/>
                <w:szCs w:val="20"/>
                <w:color w:val="auto"/>
              </w:rPr>
            </w:pPr>
            <w:r>
              <w:rPr>
                <w:rFonts w:ascii="Arial" w:cs="Arial" w:eastAsia="Arial" w:hAnsi="Arial"/>
                <w:sz w:val="16"/>
                <w:szCs w:val="16"/>
                <w:color w:val="auto"/>
              </w:rPr>
              <w:t>Cash dividends paid</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(207,356)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(181,084)</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Repurchase of common stock</w:t>
            </w:r>
          </w:p>
        </w:tc>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(203,350)</w:t>
            </w:r>
          </w:p>
        </w:tc>
      </w:tr>
      <w:tr>
        <w:trPr>
          <w:trHeight w:val="213"/>
        </w:trPr>
        <w:tc>
          <w:tcPr>
            <w:tcW w:w="20" w:type="dxa"/>
            <w:vAlign w:val="bottom"/>
          </w:tcPr>
          <w:p>
            <w:pPr>
              <w:spacing w:after="0"/>
              <w:rPr>
                <w:sz w:val="18"/>
                <w:szCs w:val="18"/>
                <w:color w:val="auto"/>
              </w:rPr>
            </w:pPr>
          </w:p>
        </w:tc>
        <w:tc>
          <w:tcPr>
            <w:tcW w:w="3760" w:type="dxa"/>
            <w:vAlign w:val="bottom"/>
            <w:gridSpan w:val="2"/>
          </w:tcPr>
          <w:p>
            <w:pPr>
              <w:ind w:left="540"/>
              <w:spacing w:after="0"/>
              <w:rPr>
                <w:sz w:val="20"/>
                <w:szCs w:val="20"/>
                <w:color w:val="auto"/>
              </w:rPr>
            </w:pPr>
            <w:r>
              <w:rPr>
                <w:rFonts w:ascii="Arial" w:cs="Arial" w:eastAsia="Arial" w:hAnsi="Arial"/>
                <w:sz w:val="16"/>
                <w:szCs w:val="16"/>
                <w:color w:val="auto"/>
              </w:rPr>
              <w:t>Proceeds from exercised stock options</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16,711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Taxes withheld and paid on employee stock awards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(29,041)</w:t>
            </w:r>
          </w:p>
        </w:tc>
      </w:tr>
      <w:tr>
        <w:trPr>
          <w:trHeight w:val="206"/>
        </w:trPr>
        <w:tc>
          <w:tcPr>
            <w:tcW w:w="2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used in financing activities</w:t>
            </w:r>
          </w:p>
        </w:tc>
        <w:tc>
          <w:tcPr>
            <w:tcW w:w="4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(552,248)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(463,454)</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(20,258)</w:t>
            </w:r>
          </w:p>
        </w:tc>
      </w:tr>
      <w:tr>
        <w:trPr>
          <w:trHeight w:val="207"/>
        </w:trPr>
        <w:tc>
          <w:tcPr>
            <w:tcW w:w="2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6"/>
                <w:szCs w:val="16"/>
                <w:color w:val="auto"/>
                <w:w w:val="98"/>
              </w:rPr>
              <w:t>Net (decrease) increase in cash and cash equivalents</w:t>
            </w:r>
          </w:p>
        </w:tc>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8,789</w:t>
            </w: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4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463,889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329,266</w:t>
            </w:r>
          </w:p>
        </w:tc>
      </w:tr>
      <w:tr>
        <w:trPr>
          <w:trHeight w:val="213"/>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43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460,346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Supplemental Disclosure</w:t>
            </w:r>
          </w:p>
        </w:tc>
        <w:tc>
          <w:tcPr>
            <w:tcW w:w="4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43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32,987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24,782</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10,023</w:t>
            </w:r>
          </w:p>
        </w:tc>
      </w:tr>
      <w:tr>
        <w:trPr>
          <w:trHeight w:val="55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920" w:type="dxa"/>
            <w:vAlign w:val="bottom"/>
            <w:gridSpan w:val="2"/>
          </w:tcPr>
          <w:p>
            <w:pPr>
              <w:jc w:val="center"/>
              <w:ind w:left="1890"/>
              <w:spacing w:after="0"/>
              <w:rPr>
                <w:sz w:val="20"/>
                <w:szCs w:val="20"/>
                <w:color w:val="auto"/>
              </w:rPr>
            </w:pPr>
            <w:r>
              <w:rPr>
                <w:rFonts w:ascii="Arial" w:cs="Arial" w:eastAsia="Arial" w:hAnsi="Arial"/>
                <w:sz w:val="18"/>
                <w:szCs w:val="18"/>
                <w:b w:val="1"/>
                <w:bCs w:val="1"/>
                <w:color w:val="auto"/>
                <w:w w:val="88"/>
              </w:rPr>
              <w:t>See Notes to Unaudited Consolidated Financial Statements.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75"/>
        </w:trPr>
        <w:tc>
          <w:tcPr>
            <w:tcW w:w="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4320" w:type="dxa"/>
            <w:vAlign w:val="bottom"/>
          </w:tcPr>
          <w:p>
            <w:pPr>
              <w:jc w:val="center"/>
              <w:ind w:right="559"/>
              <w:spacing w:after="0"/>
              <w:rPr>
                <w:sz w:val="20"/>
                <w:szCs w:val="20"/>
                <w:color w:val="auto"/>
              </w:rPr>
            </w:pPr>
            <w:r>
              <w:rPr>
                <w:rFonts w:ascii="Arial" w:cs="Arial" w:eastAsia="Arial" w:hAnsi="Arial"/>
                <w:sz w:val="16"/>
                <w:szCs w:val="16"/>
                <w:color w:val="auto"/>
                <w:w w:val="90"/>
              </w:rPr>
              <w:t>The Hershey Company | Q1 2023 Form 10-Q | Page 5</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HERSHEY COMPANY</w:t>
      </w:r>
    </w:p>
    <w:p>
      <w:pPr>
        <w:jc w:val="center"/>
        <w:ind w:right="-119"/>
        <w:spacing w:after="0" w:line="219"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119"/>
        <w:spacing w:after="0" w:line="203" w:lineRule="auto"/>
        <w:rPr>
          <w:sz w:val="20"/>
          <w:szCs w:val="20"/>
          <w:color w:val="auto"/>
        </w:rPr>
      </w:pPr>
      <w:r>
        <w:rPr>
          <w:rFonts w:ascii="Arial" w:cs="Arial" w:eastAsia="Arial" w:hAnsi="Arial"/>
          <w:sz w:val="18"/>
          <w:szCs w:val="18"/>
          <w:b w:val="1"/>
          <w:bCs w:val="1"/>
          <w:color w:val="auto"/>
        </w:rPr>
        <w:t>For the Three Months Ended April 2, 2023 and April 3, 2022</w:t>
      </w:r>
    </w:p>
    <w:p>
      <w:pPr>
        <w:ind w:left="5140"/>
        <w:spacing w:after="0" w:line="204" w:lineRule="auto"/>
        <w:rPr>
          <w:sz w:val="20"/>
          <w:szCs w:val="20"/>
          <w:color w:val="auto"/>
        </w:rPr>
      </w:pPr>
      <w:r>
        <w:rPr>
          <w:rFonts w:ascii="Arial" w:cs="Arial" w:eastAsia="Arial" w:hAnsi="Arial"/>
          <w:sz w:val="18"/>
          <w:szCs w:val="18"/>
          <w:b w:val="1"/>
          <w:bCs w:val="1"/>
          <w:color w:val="auto"/>
        </w:rPr>
        <w:t>(in thousands)</w:t>
      </w: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8"/>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Earnings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(Loss) Income</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163,439</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58,114</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1,296,572</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3,589,781</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(1,556,029)</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(252,333)</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3,299,544</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587,185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587,185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14,326</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14,326</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Common Stock, $1.036 per share</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(152,603)</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(152,603)</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180"/>
              <w:spacing w:after="0"/>
              <w:rPr>
                <w:sz w:val="20"/>
                <w:szCs w:val="20"/>
                <w:color w:val="auto"/>
              </w:rPr>
            </w:pPr>
            <w:r>
              <w:rPr>
                <w:rFonts w:ascii="Arial" w:cs="Arial" w:eastAsia="Arial" w:hAnsi="Arial"/>
                <w:sz w:val="14"/>
                <w:szCs w:val="14"/>
                <w:color w:val="auto"/>
              </w:rPr>
              <w:t>Class B Common Stock, $0.942 per share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(53,801)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(53,801)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5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Conversion of Class B Common Stock into Common</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(1,000)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18,948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6"/>
              </w:rPr>
              <w:t>Exercise of stock options and incentive-based transactions</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(30,108)</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17,013</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(13,095)</w:t>
            </w:r>
          </w:p>
        </w:tc>
        <w:tc>
          <w:tcPr>
            <w:tcW w:w="0" w:type="dxa"/>
            <w:vAlign w:val="bottom"/>
          </w:tcPr>
          <w:p>
            <w:pPr>
              <w:spacing w:after="0"/>
              <w:rPr>
                <w:sz w:val="1"/>
                <w:szCs w:val="1"/>
                <w:color w:val="auto"/>
              </w:rPr>
            </w:pPr>
          </w:p>
        </w:tc>
      </w:tr>
      <w:tr>
        <w:trPr>
          <w:trHeight w:val="182"/>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Repurchase of common stock (including excise tax)</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(242,139)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(242,139)</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April 2, 2023</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164,439</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57,114</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1,285,412</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3,970,562</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(1,781,155)</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(238,007)</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3,458,365</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Class B</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Treasury</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2"/>
                <w:szCs w:val="12"/>
                <w:color w:val="auto"/>
              </w:rPr>
            </w:pPr>
          </w:p>
        </w:tc>
        <w:tc>
          <w:tcPr>
            <w:tcW w:w="1040" w:type="dxa"/>
            <w:vAlign w:val="bottom"/>
            <w:gridSpan w:val="4"/>
          </w:tcPr>
          <w:p>
            <w:pPr>
              <w:ind w:left="20"/>
              <w:spacing w:after="0" w:line="145" w:lineRule="exact"/>
              <w:rPr>
                <w:sz w:val="20"/>
                <w:szCs w:val="20"/>
                <w:color w:val="auto"/>
              </w:rPr>
            </w:pPr>
            <w:r>
              <w:rPr>
                <w:rFonts w:ascii="Arial" w:cs="Arial" w:eastAsia="Arial" w:hAnsi="Arial"/>
                <w:sz w:val="14"/>
                <w:szCs w:val="14"/>
                <w:b w:val="1"/>
                <w:bCs w:val="1"/>
                <w:color w:val="auto"/>
                <w:w w:val="95"/>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(Loss) Income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160,939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60,614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1,260,331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2,719,936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(1,195,376)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(249,215)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2,757,229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533,478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533,478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7,206</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Common Stock, $0.901 per share</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(133,174)</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220"/>
              <w:spacing w:after="0"/>
              <w:rPr>
                <w:sz w:val="20"/>
                <w:szCs w:val="20"/>
                <w:color w:val="auto"/>
              </w:rPr>
            </w:pPr>
            <w:r>
              <w:rPr>
                <w:rFonts w:ascii="Arial" w:cs="Arial" w:eastAsia="Arial" w:hAnsi="Arial"/>
                <w:sz w:val="14"/>
                <w:szCs w:val="14"/>
                <w:color w:val="auto"/>
              </w:rPr>
              <w:t>Class B Common Stock, $0.819 per share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(48,824)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35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Conversion of Class B Common Stock into Common</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15,314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15,314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Exercise of stock options and incentive-based transactions</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(32,405)</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20,075</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(203,350)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(203,350)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April 3, 2022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161,939</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59,614</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1,243,240</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3,071,416</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(1,378,651)</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(242,009)</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2,915,549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591820</wp:posOffset>
            </wp:positionV>
            <wp:extent cx="196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50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results for the quarter ended April 2, 2023 may not be indicative of the results that may be expected for the year ending December 31, 2023 because of seasonal effects on our business. These financial statements should be read in conjunction with our Annual Report on Form 10-K for the year ended December 31, 2022 (our “2022 Annual Report on Form 10-K”), which provides a more complete understanding of our accounting policies, financial position, operating results and other matters.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March 2020, the Financial Accounting Standards Board (“FASB”) issued Accounting Standards Update (“ASU”) No.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848): Facilitation of the Effects of Reference Rate Reform on Financial Reporting</w:t>
      </w:r>
      <w:r>
        <w:rPr>
          <w:rFonts w:ascii="Arial" w:cs="Arial" w:eastAsia="Arial" w:hAnsi="Arial"/>
          <w:sz w:val="17"/>
          <w:szCs w:val="17"/>
          <w:color w:val="auto"/>
        </w:rPr>
        <w:t>. The ASU is intended to provide temporary optional expedients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exceptions to the GAAP guidance on contract modifications and hedge accounting to ease the financial reporting burdens related to the expected market transition from the London Interbank Offered Rate (LIBOR) and other interbank offered rates to alternative reference rates. Entities may apply this ASU upon issuance through December 31, 2022 on a prospective basis. We early adopted the provisions of this ASU in the first quarter of 2022. Adoption of the new standard did not have a material impact on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September 2022, the FASB issued ASU No. 2022-04, </w:t>
      </w:r>
      <w:r>
        <w:rPr>
          <w:rFonts w:ascii="Arial" w:cs="Arial" w:eastAsia="Arial" w:hAnsi="Arial"/>
          <w:sz w:val="18"/>
          <w:szCs w:val="18"/>
          <w:i w:val="1"/>
          <w:iCs w:val="1"/>
          <w:color w:val="auto"/>
        </w:rPr>
        <w:t>Liabilities—Supplier Finance Programs (Subtopic 405-50):</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Disclosure of Supplier Finance Program Obligations</w:t>
      </w:r>
      <w:r>
        <w:rPr>
          <w:rFonts w:ascii="Arial" w:cs="Arial" w:eastAsia="Arial" w:hAnsi="Arial"/>
          <w:sz w:val="17"/>
          <w:szCs w:val="17"/>
          <w:color w:val="auto"/>
        </w:rPr>
        <w:t>. This ASU requires a buyer in a supplier finance program to disclose qualitative and quantitative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the program including the program’s nature, activity during the period, changes from period to period and potential magnitude. ASU 2022-04 is effective for annual periods beginning after December 15, 2022 and interim periods within those annual periods. A rollforward of obligations during the annual period, including the amount of obligations confirmed and obligations subsequently paid, is effective for annual periods beginning after December 15, 2023 with early adoption permitted. This ASU should be applied retrospectively to each period in which a balance sheet is presented, except for the amendment on rollforward information, which should be applied prospectively. We early adopted provisions of this ASU in the fourth quarter of 2022, with the exception of the amendment on rollforward information, which will be adopted in the fourth quarter of 2023. As a result of the adoption of this new standard, we made the required disclosures in the consolidated financial statements.</w:t>
      </w:r>
    </w:p>
    <w:p>
      <w:pPr>
        <w:spacing w:after="0" w:line="1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This ASU requires an acquirer to recognize and measure contract assets and contract liabilities acquired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combination in accordance with </w:t>
      </w:r>
      <w:r>
        <w:rPr>
          <w:rFonts w:ascii="Arial" w:cs="Arial" w:eastAsia="Arial" w:hAnsi="Arial"/>
          <w:sz w:val="18"/>
          <w:szCs w:val="18"/>
          <w:i w:val="1"/>
          <w:iCs w:val="1"/>
          <w:color w:val="auto"/>
        </w:rPr>
        <w:t>Revenue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Contracts with Customers (Topic 606) </w:t>
      </w:r>
      <w:r>
        <w:rPr>
          <w:rFonts w:ascii="Arial" w:cs="Arial" w:eastAsia="Arial" w:hAnsi="Arial"/>
          <w:sz w:val="18"/>
          <w:szCs w:val="18"/>
          <w:color w:val="auto"/>
        </w:rPr>
        <w:t>rather than adjust them to fair value at the acquisition date. ASU 2021-08 is effective for annual periods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after December 15, 2022 and interim periods within those annual periods. This ASU should be applied prospectively to business combinations occurring on or after the date of adoption. As a result, we adopted the provisions of this ASU in the first quarter of 2023. This new standard will be applied in relevant future acquisitions.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March 2023, the FASB issued ASU No. 2023-02, </w:t>
      </w:r>
      <w:r>
        <w:rPr>
          <w:rFonts w:ascii="Arial" w:cs="Arial" w:eastAsia="Arial" w:hAnsi="Arial"/>
          <w:sz w:val="16"/>
          <w:szCs w:val="16"/>
          <w:i w:val="1"/>
          <w:iCs w:val="1"/>
          <w:color w:val="auto"/>
        </w:rPr>
        <w:t>Investments - Equity Method and Joint Ventures (Topic 323): Accounting for Investments in tax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structures using the proportional amortization method. </w:t>
      </w:r>
      <w:r>
        <w:rPr>
          <w:rFonts w:ascii="Arial" w:cs="Arial" w:eastAsia="Arial" w:hAnsi="Arial"/>
          <w:sz w:val="16"/>
          <w:szCs w:val="16"/>
          <w:color w:val="auto"/>
        </w:rPr>
        <w:t>This ASU allows entities to elect the proportional amortization method for all tax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regardless of how the tax credits are received as long as certain criteria are met. This ASU may be applied in a modified retrospective or retrospective basis and an entity must evaluate the investments in which it still expects to receive tax credits or other income tax benefits as of the beginning of the earliest period presented. ASU 2023-02 is effective for annual periods beginning after December 15, 2023 and interim periods within those annual periods. We are currently evaluating the impact of the new standard on our consolidated financial statements and related disclosures.</w:t>
      </w:r>
    </w:p>
    <w:p>
      <w:pPr>
        <w:spacing w:after="0" w:line="1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 Capacity</w:t>
      </w:r>
    </w:p>
    <w:p>
      <w:pPr>
        <w:spacing w:after="0" w:line="15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 xml:space="preserve">On April 14, 2023, we entered into a definitive agreement to acquire certain assets that provide additional manufacturing capacity from Weaver Popcorn Manufacturing, Inc., a leader in the production and co-packing of microwave popcorn and ready-to-eat popcorn, and a co-manufacturer of the Company’s </w:t>
      </w:r>
      <w:r>
        <w:rPr>
          <w:rFonts w:ascii="Arial" w:cs="Arial" w:eastAsia="Arial" w:hAnsi="Arial"/>
          <w:sz w:val="16"/>
          <w:szCs w:val="16"/>
          <w:i w:val="1"/>
          <w:iCs w:val="1"/>
          <w:color w:val="auto"/>
        </w:rPr>
        <w:t xml:space="preserve">SkinnyPop </w:t>
      </w:r>
      <w:r>
        <w:rPr>
          <w:rFonts w:ascii="Arial" w:cs="Arial" w:eastAsia="Arial" w:hAnsi="Arial"/>
          <w:sz w:val="16"/>
          <w:szCs w:val="16"/>
          <w:color w:val="auto"/>
        </w:rPr>
        <w:t>brand. Through the transaction, the Company will mainly acquire property, plant and equipment, as well as leased manufacturing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Indiana and Pennsylvania. The purchase consideration totaled approximately $164,000 and will be financed with cash on hand and short-term borrowings. The acquisition is subject to customary regulatory approvals and is expected to close during the second quarter of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Pretzels Inc.</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December 14,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The cash consideration paid for Pretzels totaled $304,334 and consisted of cash on hand and short-term borrowings. Acquisition-related costs for the Pretzels acquisition were immaterial.</w:t>
      </w:r>
    </w:p>
    <w:p>
      <w:pPr>
        <w:spacing w:after="0" w:line="11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Pretzels has been included within the North America Salty Snacks segment from the date of acquisition. The purchase consideration was allocated to assets acquired and liabilities assumed based on their respective fair values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166,191</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26,100</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acquired</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30,835</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100,716</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primarily operating lease ROU assets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111,787</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 acquired</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(22,713)</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 primarily operating lease liabilities</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(109,355)</w:t>
            </w:r>
          </w:p>
        </w:tc>
      </w:tr>
      <w:tr>
        <w:trPr>
          <w:trHeight w:val="248"/>
        </w:trPr>
        <w:tc>
          <w:tcPr>
            <w:tcW w:w="9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304,334</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purchase price allocation presented above has been finalized as of the third quarter of 2022. The measurement period adjustments to the initial allocation were immaterial and based on more detailed information obtained about the specific assets acquired and liabilities assumed, specifically, post-closing adjustments to the working capital acquired including certain holdbacks.</w:t>
      </w:r>
    </w:p>
    <w:p>
      <w:pPr>
        <w:spacing w:after="0" w:line="13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A portion of goodwill derived from this acquisition is deductible for tax purposes and reflects the value of leveraging our brand building expertise, supply chain capabilities and retail relationships to accelerate growth and access to the portfolio of Pretzels’ products.</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intangible assets include trademarks valued at $5,700 and customer relationships valued at $20,400. Trademarks were assigned an estimated useful life of five years and customer relationships were assigned an estimated useful life of 19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Dot's Pretzels, LLC</w:t>
      </w:r>
    </w:p>
    <w:p>
      <w:pPr>
        <w:spacing w:after="0" w:line="17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On December 13, 2021, we completed the acquisition of Dot’s Pretzels, LLC (“Dot’s”), previously a privately held company that produces and sells pretzels and other snack food products to retailers and distributors in the United States, with </w:t>
      </w:r>
      <w:r>
        <w:rPr>
          <w:rFonts w:ascii="Arial" w:cs="Arial" w:eastAsia="Arial" w:hAnsi="Arial"/>
          <w:sz w:val="16"/>
          <w:szCs w:val="16"/>
          <w:i w:val="1"/>
          <w:iCs w:val="1"/>
          <w:color w:val="auto"/>
        </w:rPr>
        <w:t>Dot’s Homestyle Pretzels</w:t>
      </w:r>
      <w:r>
        <w:rPr>
          <w:rFonts w:ascii="Arial" w:cs="Arial" w:eastAsia="Arial" w:hAnsi="Arial"/>
          <w:sz w:val="16"/>
          <w:szCs w:val="16"/>
          <w:color w:val="auto"/>
        </w:rPr>
        <w:t xml:space="preserve"> snacks as its primary product. Dot’s is the fastest-growing scale brand in the pretzel category and complements Hershey’s snacks portfolio. The cash consideration paid for Dot’s totaled $891,169 and consisted of cash on hand and short-term borrowings. Acquisition-related costs for the Dot’s acquisition were immaterial.</w:t>
      </w:r>
    </w:p>
    <w:p>
      <w:pPr>
        <w:spacing w:after="0" w:line="10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Dot’s has been included within the North America Salty Snacks segment from the date of acquisition. The purchase consideration was allocated to assets acquired and liabilities assumed based on their respective fair values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284,427</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543,100</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acquired</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51,121</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40,266</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 assumed, primarily current liabilities</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(29,946)</w:t>
            </w:r>
          </w:p>
        </w:tc>
      </w:tr>
      <w:tr>
        <w:trPr>
          <w:trHeight w:val="248"/>
        </w:trPr>
        <w:tc>
          <w:tcPr>
            <w:tcW w:w="9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assets acquired</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891,169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purchase price allocation presented above has been finalized as of the third quarter of 2022. The measurement period adjustments to the initial allocation were immaterial and based on more detailed information obtained about the specific assets acquired and liabilities assumed, specifically, the refinement of certain assumptions in the value of customer relationships based on an analysis of historical customer-specific data and post-closing adjustments to the working capital acquired including certain holdbacks.</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The goodwill derived from this acquisition is deductible for tax purposes and reflects the value of leveraging our brand building expertise, supply chain capabilities and retail relationships to accelerate growth and access to the portfolio of Dot’s products.</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intangible assets include trademarks valued at $336,600 and customer relationships valued at $206,500. Trademarks were assigned an estimated useful life of 33 years and customer relationships were assigned an estimated useful life of 18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three months ended April 2, 2023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North America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6"/>
          </w:tcPr>
          <w:p>
            <w:pPr>
              <w:ind w:left="20"/>
              <w:spacing w:after="0"/>
              <w:rPr>
                <w:sz w:val="20"/>
                <w:szCs w:val="20"/>
                <w:color w:val="auto"/>
              </w:rPr>
            </w:pPr>
            <w:r>
              <w:rPr>
                <w:rFonts w:ascii="Arial" w:cs="Arial" w:eastAsia="Arial" w:hAnsi="Arial"/>
                <w:sz w:val="18"/>
                <w:szCs w:val="18"/>
                <w:b w:val="1"/>
                <w:bCs w:val="1"/>
                <w:color w:val="auto"/>
              </w:rPr>
              <w:t>North America Salty</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Confectionery</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gridSpan w:val="5"/>
          </w:tcPr>
          <w:p>
            <w:pPr>
              <w:ind w:left="40"/>
              <w:spacing w:after="0"/>
              <w:rPr>
                <w:sz w:val="20"/>
                <w:szCs w:val="20"/>
                <w:color w:val="auto"/>
              </w:rPr>
            </w:pPr>
            <w:r>
              <w:rPr>
                <w:rFonts w:ascii="Arial" w:cs="Arial" w:eastAsia="Arial" w:hAnsi="Arial"/>
                <w:sz w:val="18"/>
                <w:szCs w:val="18"/>
                <w:b w:val="1"/>
                <w:bCs w:val="1"/>
                <w:color w:val="auto"/>
              </w:rPr>
              <w:t>Snacks</w:t>
            </w:r>
          </w:p>
        </w:tc>
        <w:tc>
          <w:tcPr>
            <w:tcW w:w="380" w:type="dxa"/>
            <w:vAlign w:val="bottom"/>
          </w:tcPr>
          <w:p>
            <w:pPr>
              <w:spacing w:after="0"/>
              <w:rPr>
                <w:sz w:val="21"/>
                <w:szCs w:val="21"/>
                <w:color w:val="auto"/>
              </w:rPr>
            </w:pPr>
          </w:p>
        </w:tc>
        <w:tc>
          <w:tcPr>
            <w:tcW w:w="1540" w:type="dxa"/>
            <w:vAlign w:val="bottom"/>
            <w:gridSpan w:val="5"/>
          </w:tcPr>
          <w:p>
            <w:pPr>
              <w:spacing w:after="0"/>
              <w:rPr>
                <w:sz w:val="20"/>
                <w:szCs w:val="20"/>
                <w:color w:val="auto"/>
              </w:rPr>
            </w:pPr>
            <w:r>
              <w:rPr>
                <w:rFonts w:ascii="Arial" w:cs="Arial" w:eastAsia="Arial" w:hAnsi="Arial"/>
                <w:sz w:val="18"/>
                <w:szCs w:val="18"/>
                <w:b w:val="1"/>
                <w:bCs w:val="1"/>
                <w:color w:val="auto"/>
              </w:rPr>
              <w:t>International</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2,018,430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571,770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2,606,956</w:t>
            </w: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April 2,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2,018,473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2,607,833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9440" w:type="dxa"/>
            <w:vAlign w:val="bottom"/>
            <w:gridSpan w:val="20"/>
          </w:tcPr>
          <w:p>
            <w:pPr>
              <w:spacing w:after="0"/>
              <w:rPr>
                <w:sz w:val="20"/>
                <w:szCs w:val="20"/>
                <w:color w:val="auto"/>
              </w:rPr>
            </w:pPr>
            <w:r>
              <w:rPr>
                <w:rFonts w:ascii="Arial" w:cs="Arial" w:eastAsia="Arial" w:hAnsi="Arial"/>
                <w:sz w:val="18"/>
                <w:szCs w:val="18"/>
                <w:color w:val="auto"/>
                <w:w w:val="93"/>
              </w:rPr>
              <w:t>The following table provides the gross carrying amount and accumulated amortization for each major class of intangible asset: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6"/>
          </w:tcPr>
          <w:p>
            <w:pPr>
              <w:ind w:left="220"/>
              <w:spacing w:after="0"/>
              <w:rPr>
                <w:sz w:val="20"/>
                <w:szCs w:val="20"/>
                <w:color w:val="auto"/>
              </w:rPr>
            </w:pPr>
            <w:r>
              <w:rPr>
                <w:rFonts w:ascii="Arial" w:cs="Arial" w:eastAsia="Arial" w:hAnsi="Arial"/>
                <w:sz w:val="18"/>
                <w:szCs w:val="18"/>
                <w:b w:val="1"/>
                <w:bCs w:val="1"/>
                <w:color w:val="auto"/>
              </w:rPr>
              <w:t>April 2, 2023</w:t>
            </w: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6"/>
          </w:tcPr>
          <w:p>
            <w:pPr>
              <w:jc w:val="right"/>
              <w:ind w:right="790"/>
              <w:spacing w:after="0"/>
              <w:rPr>
                <w:sz w:val="20"/>
                <w:szCs w:val="20"/>
                <w:color w:val="auto"/>
              </w:rPr>
            </w:pPr>
            <w:r>
              <w:rPr>
                <w:rFonts w:ascii="Arial" w:cs="Arial" w:eastAsia="Arial" w:hAnsi="Arial"/>
                <w:sz w:val="18"/>
                <w:szCs w:val="18"/>
                <w:b w:val="1"/>
                <w:bCs w:val="1"/>
                <w:color w:val="auto"/>
              </w:rPr>
              <w:t>December 31, 2022</w:t>
            </w: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gridSpan w:val="4"/>
          </w:tcPr>
          <w:p>
            <w:pPr>
              <w:jc w:val="right"/>
              <w:ind w:right="30"/>
              <w:spacing w:after="0" w:line="177" w:lineRule="exact"/>
              <w:rPr>
                <w:sz w:val="20"/>
                <w:szCs w:val="20"/>
                <w:color w:val="auto"/>
              </w:rPr>
            </w:pPr>
            <w:r>
              <w:rPr>
                <w:rFonts w:ascii="Arial" w:cs="Arial" w:eastAsia="Arial" w:hAnsi="Arial"/>
                <w:sz w:val="18"/>
                <w:szCs w:val="18"/>
                <w:b w:val="1"/>
                <w:bCs w:val="1"/>
                <w:color w:val="auto"/>
              </w:rPr>
              <w:t>Gross Carrying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right"/>
              <w:ind w:right="150"/>
              <w:spacing w:after="0" w:line="177" w:lineRule="exact"/>
              <w:rPr>
                <w:sz w:val="20"/>
                <w:szCs w:val="20"/>
                <w:color w:val="auto"/>
              </w:rPr>
            </w:pPr>
            <w:r>
              <w:rPr>
                <w:rFonts w:ascii="Arial" w:cs="Arial" w:eastAsia="Arial" w:hAnsi="Arial"/>
                <w:sz w:val="18"/>
                <w:szCs w:val="18"/>
                <w:b w:val="1"/>
                <w:bCs w:val="1"/>
                <w:color w:val="auto"/>
                <w:w w:val="95"/>
              </w:rPr>
              <w:t>Accumulated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w w:val="95"/>
              </w:rPr>
              <w:t>Accumulated</w:t>
            </w:r>
          </w:p>
        </w:tc>
      </w:tr>
      <w:tr>
        <w:trPr>
          <w:trHeight w:val="234"/>
        </w:trPr>
        <w:tc>
          <w:tcPr>
            <w:tcW w:w="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r>
      <w:tr>
        <w:trPr>
          <w:trHeight w:val="210"/>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ind w:left="340"/>
              <w:spacing w:after="0"/>
              <w:rPr>
                <w:sz w:val="20"/>
                <w:szCs w:val="20"/>
                <w:color w:val="auto"/>
              </w:rPr>
            </w:pPr>
            <w:r>
              <w:rPr>
                <w:rFonts w:ascii="Arial" w:cs="Arial" w:eastAsia="Arial" w:hAnsi="Arial"/>
                <w:sz w:val="18"/>
                <w:szCs w:val="18"/>
                <w:color w:val="auto"/>
              </w:rPr>
              <w:t>Trademarks</w:t>
            </w:r>
          </w:p>
        </w:tc>
        <w:tc>
          <w:tcPr>
            <w:tcW w:w="140" w:type="dxa"/>
            <w:vAlign w:val="bottom"/>
          </w:tcPr>
          <w:p>
            <w:pPr>
              <w:spacing w:after="0"/>
              <w:rPr>
                <w:sz w:val="19"/>
                <w:szCs w:val="19"/>
                <w:color w:val="auto"/>
              </w:rPr>
            </w:pPr>
          </w:p>
        </w:tc>
        <w:tc>
          <w:tcPr>
            <w:tcW w:w="16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89"/>
              </w:rPr>
              <w:t>1,701,953</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(202,045)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1,701,932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(190,045)</w:t>
            </w:r>
          </w:p>
        </w:tc>
      </w:tr>
      <w:tr>
        <w:trPr>
          <w:trHeight w:val="230"/>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Customer-related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513,201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(100,650)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513,188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(93,495)</w:t>
            </w:r>
          </w:p>
        </w:tc>
      </w:tr>
      <w:tr>
        <w:trPr>
          <w:trHeight w:val="229"/>
        </w:trPr>
        <w:tc>
          <w:tcPr>
            <w:tcW w:w="2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Patents</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8,056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(8,056)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8,053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w:t>
            </w:r>
          </w:p>
        </w:tc>
      </w:tr>
      <w:tr>
        <w:trPr>
          <w:trHeight w:val="223"/>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2,223,210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(310,751)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2,223,173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(291,593)</w:t>
            </w:r>
          </w:p>
        </w:tc>
      </w:tr>
      <w:tr>
        <w:trPr>
          <w:trHeight w:val="270"/>
        </w:trPr>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Trademarks</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35,125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34,689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1,947,584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1,966,269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3"/>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744"/>
        </w:trPr>
        <w:tc>
          <w:tcPr>
            <w:tcW w:w="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40" w:type="dxa"/>
            <w:vAlign w:val="bottom"/>
          </w:tcPr>
          <w:p>
            <w:pPr>
              <w:spacing w:after="0"/>
              <w:rPr>
                <w:sz w:val="24"/>
                <w:szCs w:val="24"/>
                <w:color w:val="auto"/>
              </w:rPr>
            </w:pPr>
          </w:p>
        </w:tc>
        <w:tc>
          <w:tcPr>
            <w:tcW w:w="3720" w:type="dxa"/>
            <w:vAlign w:val="bottom"/>
            <w:gridSpan w:val="10"/>
          </w:tcPr>
          <w:p>
            <w:pPr>
              <w:ind w:left="40"/>
              <w:spacing w:after="0"/>
              <w:rPr>
                <w:sz w:val="20"/>
                <w:szCs w:val="20"/>
                <w:color w:val="auto"/>
              </w:rPr>
            </w:pPr>
            <w:r>
              <w:rPr>
                <w:rFonts w:ascii="Arial" w:cs="Arial" w:eastAsia="Arial" w:hAnsi="Arial"/>
                <w:sz w:val="16"/>
                <w:szCs w:val="16"/>
                <w:color w:val="auto"/>
                <w:w w:val="93"/>
              </w:rPr>
              <w:t>The Hershey Company | Q1 2023 Form 10-Q | Page 10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three months ended April 2, 2023 and April 3, 2022 was $19,177 and $19,859,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As of April 2, 2023, we maintained a $1.5 billion unsecured revolving credit facility (the “prior credit facility”). On April 26, 2023, we terminated the prior credit facility, which was scheduled to expire in July 2024, and entered into a new unsecured revolving credit facility (the “new credit facility”). The new credit facility allows the Company to borrow up to $1.35 billion with the option to increase borrowings by an additional $500 million with the consent of the lenders. The new credit facility is scheduled to expire on April 26, 2028; however, we may extend the termination date for up to two additional one-year periods upon notice to the administrative agent under the facility.</w:t>
      </w:r>
    </w:p>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credit agreements governing the prior credit facility and the new credit facility contains certain financial and other covenants, customary representations, warranties and events of default. As of April 2, 2023, we were in compliance with all covenants pertaining to the prior credit facility, and we had no significant compensating balance agreements that legally restricted these funds. For more information, refer to the Consolidated Financial Statements included in our 2022 Annual Report on Form 10-K.</w:t>
      </w:r>
    </w:p>
    <w:p>
      <w:pPr>
        <w:spacing w:after="0" w:line="29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Arial" w:cs="Arial" w:eastAsia="Arial" w:hAnsi="Arial"/>
                <w:sz w:val="16"/>
                <w:szCs w:val="16"/>
                <w:b w:val="1"/>
                <w:bCs w:val="1"/>
                <w:color w:val="auto"/>
              </w:rPr>
              <w:t>April 2, 2023</w:t>
            </w:r>
          </w:p>
        </w:tc>
        <w:tc>
          <w:tcPr>
            <w:tcW w:w="280" w:type="dxa"/>
            <w:vAlign w:val="bottom"/>
          </w:tcPr>
          <w:p>
            <w:pPr>
              <w:spacing w:after="0"/>
              <w:rPr>
                <w:sz w:val="18"/>
                <w:szCs w:val="18"/>
                <w:color w:val="auto"/>
              </w:rPr>
            </w:pPr>
          </w:p>
        </w:tc>
        <w:tc>
          <w:tcPr>
            <w:tcW w:w="194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foreign bank borrowings against lines of credit</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143,081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135,555</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commercial paper</w:t>
            </w: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460,008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558,235</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603,089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693,790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interest rate on outstanding commercial paper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jc w:val="right"/>
              <w:spacing w:after="0" w:line="204" w:lineRule="exact"/>
              <w:rPr>
                <w:sz w:val="20"/>
                <w:szCs w:val="20"/>
                <w:color w:val="auto"/>
              </w:rPr>
            </w:pPr>
            <w:r>
              <w:rPr>
                <w:rFonts w:ascii="Arial" w:cs="Arial" w:eastAsia="Arial" w:hAnsi="Arial"/>
                <w:sz w:val="18"/>
                <w:szCs w:val="18"/>
                <w:color w:val="auto"/>
              </w:rPr>
              <w:t>4.8 %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right"/>
              <w:spacing w:after="0" w:line="204"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gridSpan w:val="6"/>
          </w:tcPr>
          <w:p>
            <w:pPr>
              <w:spacing w:after="0"/>
              <w:rPr>
                <w:sz w:val="20"/>
                <w:szCs w:val="20"/>
                <w:color w:val="auto"/>
              </w:rPr>
            </w:pPr>
            <w:r>
              <w:rPr>
                <w:rFonts w:ascii="Arial" w:cs="Arial" w:eastAsia="Arial" w:hAnsi="Arial"/>
                <w:sz w:val="16"/>
                <w:szCs w:val="16"/>
                <w:b w:val="1"/>
                <w:bCs w:val="1"/>
                <w:color w:val="auto"/>
              </w:rPr>
              <w:t>Debt Type and Rate</w:t>
            </w:r>
          </w:p>
        </w:tc>
        <w:tc>
          <w:tcPr>
            <w:tcW w:w="2540" w:type="dxa"/>
            <w:vAlign w:val="bottom"/>
            <w:gridSpan w:val="4"/>
          </w:tcPr>
          <w:p>
            <w:pPr>
              <w:jc w:val="right"/>
              <w:ind w:right="1010"/>
              <w:spacing w:after="0"/>
              <w:rPr>
                <w:sz w:val="20"/>
                <w:szCs w:val="20"/>
                <w:color w:val="auto"/>
              </w:rPr>
            </w:pPr>
            <w:r>
              <w:rPr>
                <w:rFonts w:ascii="Arial" w:cs="Arial" w:eastAsia="Arial" w:hAnsi="Arial"/>
                <w:sz w:val="16"/>
                <w:szCs w:val="16"/>
                <w:b w:val="1"/>
                <w:bCs w:val="1"/>
                <w:color w:val="auto"/>
              </w:rPr>
              <w:t>Maturity Date</w:t>
            </w:r>
          </w:p>
        </w:tc>
        <w:tc>
          <w:tcPr>
            <w:tcW w:w="1740" w:type="dxa"/>
            <w:vAlign w:val="bottom"/>
            <w:gridSpan w:val="2"/>
          </w:tcPr>
          <w:p>
            <w:pPr>
              <w:ind w:left="260"/>
              <w:spacing w:after="0"/>
              <w:rPr>
                <w:sz w:val="20"/>
                <w:szCs w:val="20"/>
                <w:color w:val="auto"/>
              </w:rPr>
            </w:pPr>
            <w:r>
              <w:rPr>
                <w:rFonts w:ascii="Arial" w:cs="Arial" w:eastAsia="Arial" w:hAnsi="Arial"/>
                <w:sz w:val="16"/>
                <w:szCs w:val="16"/>
                <w:b w:val="1"/>
                <w:bCs w:val="1"/>
                <w:color w:val="auto"/>
              </w:rPr>
              <w:t>April 2, 2023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2.625%</w:t>
            </w:r>
          </w:p>
        </w:tc>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1, 2023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40" w:type="dxa"/>
            <w:vAlign w:val="bottom"/>
            <w:gridSpan w:val="4"/>
          </w:tcPr>
          <w:p>
            <w:pPr>
              <w:jc w:val="center"/>
              <w:ind w:right="330"/>
              <w:spacing w:after="0"/>
              <w:rPr>
                <w:sz w:val="20"/>
                <w:szCs w:val="20"/>
                <w:color w:val="auto"/>
              </w:rPr>
            </w:pPr>
            <w:r>
              <w:rPr>
                <w:rFonts w:ascii="Arial" w:cs="Arial" w:eastAsia="Arial" w:hAnsi="Arial"/>
                <w:sz w:val="18"/>
                <w:szCs w:val="18"/>
                <w:color w:val="auto"/>
                <w:w w:val="91"/>
              </w:rPr>
              <w:t>May 15, 2023</w:t>
            </w:r>
          </w:p>
        </w:tc>
        <w:tc>
          <w:tcPr>
            <w:tcW w:w="1700" w:type="dxa"/>
            <w:vAlign w:val="bottom"/>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2.050%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540" w:type="dxa"/>
            <w:vAlign w:val="bottom"/>
            <w:gridSpan w:val="4"/>
            <w:shd w:val="clear" w:color="auto" w:fill="CCEEFF"/>
          </w:tcPr>
          <w:p>
            <w:pPr>
              <w:jc w:val="center"/>
              <w:ind w:right="330"/>
              <w:spacing w:after="0"/>
              <w:rPr>
                <w:sz w:val="20"/>
                <w:szCs w:val="20"/>
                <w:color w:val="auto"/>
              </w:rPr>
            </w:pPr>
            <w:r>
              <w:rPr>
                <w:rFonts w:ascii="Arial" w:cs="Arial" w:eastAsia="Arial" w:hAnsi="Arial"/>
                <w:sz w:val="18"/>
                <w:szCs w:val="18"/>
                <w:color w:val="auto"/>
                <w:w w:val="91"/>
              </w:rPr>
              <w:t>November 15, 2024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0.900%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40" w:type="dxa"/>
            <w:vAlign w:val="bottom"/>
            <w:gridSpan w:val="4"/>
          </w:tcPr>
          <w:p>
            <w:pPr>
              <w:jc w:val="center"/>
              <w:ind w:right="330"/>
              <w:spacing w:after="0"/>
              <w:rPr>
                <w:sz w:val="20"/>
                <w:szCs w:val="20"/>
                <w:color w:val="auto"/>
              </w:rPr>
            </w:pPr>
            <w:r>
              <w:rPr>
                <w:rFonts w:ascii="Arial" w:cs="Arial" w:eastAsia="Arial" w:hAnsi="Arial"/>
                <w:sz w:val="18"/>
                <w:szCs w:val="18"/>
                <w:color w:val="auto"/>
                <w:w w:val="88"/>
              </w:rPr>
              <w:t>June 1, 2025</w:t>
            </w:r>
          </w:p>
        </w:tc>
        <w:tc>
          <w:tcPr>
            <w:tcW w:w="170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540" w:type="dxa"/>
            <w:vAlign w:val="bottom"/>
            <w:gridSpan w:val="4"/>
            <w:shd w:val="clear" w:color="auto" w:fill="CCEEFF"/>
          </w:tcPr>
          <w:p>
            <w:pPr>
              <w:jc w:val="center"/>
              <w:ind w:right="330"/>
              <w:spacing w:after="0"/>
              <w:rPr>
                <w:sz w:val="20"/>
                <w:szCs w:val="20"/>
                <w:color w:val="auto"/>
              </w:rPr>
            </w:pPr>
            <w:r>
              <w:rPr>
                <w:rFonts w:ascii="Arial" w:cs="Arial" w:eastAsia="Arial" w:hAnsi="Arial"/>
                <w:sz w:val="18"/>
                <w:szCs w:val="18"/>
                <w:color w:val="auto"/>
                <w:w w:val="91"/>
              </w:rPr>
              <w:t>August 21, 2025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2.300%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40" w:type="dxa"/>
            <w:vAlign w:val="bottom"/>
            <w:gridSpan w:val="4"/>
          </w:tcPr>
          <w:p>
            <w:pPr>
              <w:jc w:val="center"/>
              <w:ind w:right="330"/>
              <w:spacing w:after="0"/>
              <w:rPr>
                <w:sz w:val="20"/>
                <w:szCs w:val="20"/>
                <w:color w:val="auto"/>
              </w:rPr>
            </w:pPr>
            <w:r>
              <w:rPr>
                <w:rFonts w:ascii="Arial" w:cs="Arial" w:eastAsia="Arial" w:hAnsi="Arial"/>
                <w:sz w:val="18"/>
                <w:szCs w:val="18"/>
                <w:color w:val="auto"/>
                <w:w w:val="91"/>
              </w:rPr>
              <w:t>August 15, 2026</w:t>
            </w:r>
          </w:p>
        </w:tc>
        <w:tc>
          <w:tcPr>
            <w:tcW w:w="1700" w:type="dxa"/>
            <w:vAlign w:val="bottom"/>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540" w:type="dxa"/>
            <w:vAlign w:val="bottom"/>
            <w:gridSpan w:val="4"/>
            <w:shd w:val="clear" w:color="auto" w:fill="CCEEFF"/>
          </w:tcPr>
          <w:p>
            <w:pPr>
              <w:jc w:val="center"/>
              <w:ind w:right="330"/>
              <w:spacing w:after="0"/>
              <w:rPr>
                <w:sz w:val="20"/>
                <w:szCs w:val="20"/>
                <w:color w:val="auto"/>
              </w:rPr>
            </w:pPr>
            <w:r>
              <w:rPr>
                <w:rFonts w:ascii="Arial" w:cs="Arial" w:eastAsia="Arial" w:hAnsi="Arial"/>
                <w:sz w:val="18"/>
                <w:szCs w:val="18"/>
                <w:color w:val="auto"/>
                <w:w w:val="91"/>
              </w:rPr>
              <w:t>August 15, 2027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2.450%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40" w:type="dxa"/>
            <w:vAlign w:val="bottom"/>
            <w:gridSpan w:val="4"/>
          </w:tcPr>
          <w:p>
            <w:pPr>
              <w:jc w:val="center"/>
              <w:ind w:right="330"/>
              <w:spacing w:after="0"/>
              <w:rPr>
                <w:sz w:val="20"/>
                <w:szCs w:val="20"/>
                <w:color w:val="auto"/>
              </w:rPr>
            </w:pPr>
            <w:r>
              <w:rPr>
                <w:rFonts w:ascii="Arial" w:cs="Arial" w:eastAsia="Arial" w:hAnsi="Arial"/>
                <w:sz w:val="18"/>
                <w:szCs w:val="18"/>
                <w:color w:val="auto"/>
                <w:w w:val="91"/>
              </w:rPr>
              <w:t>November 15, 2029</w:t>
            </w:r>
          </w:p>
        </w:tc>
        <w:tc>
          <w:tcPr>
            <w:tcW w:w="170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1.700%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540" w:type="dxa"/>
            <w:vAlign w:val="bottom"/>
            <w:gridSpan w:val="4"/>
            <w:shd w:val="clear" w:color="auto" w:fill="CCEEFF"/>
          </w:tcPr>
          <w:p>
            <w:pPr>
              <w:jc w:val="center"/>
              <w:ind w:right="330"/>
              <w:spacing w:after="0"/>
              <w:rPr>
                <w:sz w:val="20"/>
                <w:szCs w:val="20"/>
                <w:color w:val="auto"/>
              </w:rPr>
            </w:pPr>
            <w:r>
              <w:rPr>
                <w:rFonts w:ascii="Arial" w:cs="Arial" w:eastAsia="Arial" w:hAnsi="Arial"/>
                <w:sz w:val="18"/>
                <w:szCs w:val="18"/>
                <w:color w:val="auto"/>
                <w:w w:val="88"/>
              </w:rPr>
              <w:t>June 1, 2030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40" w:type="dxa"/>
            <w:vAlign w:val="bottom"/>
            <w:gridSpan w:val="4"/>
          </w:tcPr>
          <w:p>
            <w:pPr>
              <w:jc w:val="center"/>
              <w:ind w:right="330"/>
              <w:spacing w:after="0"/>
              <w:rPr>
                <w:sz w:val="20"/>
                <w:szCs w:val="20"/>
                <w:color w:val="auto"/>
              </w:rPr>
            </w:pPr>
            <w:r>
              <w:rPr>
                <w:rFonts w:ascii="Arial" w:cs="Arial" w:eastAsia="Arial" w:hAnsi="Arial"/>
                <w:sz w:val="18"/>
                <w:szCs w:val="18"/>
                <w:color w:val="auto"/>
                <w:w w:val="91"/>
              </w:rPr>
              <w:t>August 15, 2046</w:t>
            </w:r>
          </w:p>
        </w:tc>
        <w:tc>
          <w:tcPr>
            <w:tcW w:w="170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540" w:type="dxa"/>
            <w:vAlign w:val="bottom"/>
            <w:gridSpan w:val="4"/>
            <w:shd w:val="clear" w:color="auto" w:fill="CCEEFF"/>
          </w:tcPr>
          <w:p>
            <w:pPr>
              <w:jc w:val="center"/>
              <w:ind w:right="330"/>
              <w:spacing w:after="0"/>
              <w:rPr>
                <w:sz w:val="20"/>
                <w:szCs w:val="20"/>
                <w:color w:val="auto"/>
              </w:rPr>
            </w:pPr>
            <w:r>
              <w:rPr>
                <w:rFonts w:ascii="Arial" w:cs="Arial" w:eastAsia="Arial" w:hAnsi="Arial"/>
                <w:sz w:val="18"/>
                <w:szCs w:val="18"/>
                <w:color w:val="auto"/>
                <w:w w:val="91"/>
              </w:rPr>
              <w:t>November 15, 2049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2.650%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40" w:type="dxa"/>
            <w:vAlign w:val="bottom"/>
            <w:gridSpan w:val="4"/>
          </w:tcPr>
          <w:p>
            <w:pPr>
              <w:jc w:val="center"/>
              <w:ind w:right="330"/>
              <w:spacing w:after="0"/>
              <w:rPr>
                <w:sz w:val="20"/>
                <w:szCs w:val="20"/>
                <w:color w:val="auto"/>
              </w:rPr>
            </w:pPr>
            <w:r>
              <w:rPr>
                <w:rFonts w:ascii="Arial" w:cs="Arial" w:eastAsia="Arial" w:hAnsi="Arial"/>
                <w:sz w:val="18"/>
                <w:szCs w:val="18"/>
                <w:color w:val="auto"/>
                <w:w w:val="88"/>
              </w:rPr>
              <w:t>June 1, 2050</w:t>
            </w:r>
          </w:p>
        </w:tc>
        <w:tc>
          <w:tcPr>
            <w:tcW w:w="1700" w:type="dxa"/>
            <w:vAlign w:val="bottom"/>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4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Finance lease obligations (see </w:t>
            </w:r>
            <w:r>
              <w:rPr>
                <w:rFonts w:ascii="Arial" w:cs="Arial" w:eastAsia="Arial" w:hAnsi="Arial"/>
                <w:sz w:val="18"/>
                <w:szCs w:val="18"/>
                <w:color w:val="0000FF"/>
              </w:rPr>
              <w:t>Note 7</w:t>
            </w:r>
            <w:r>
              <w:rPr>
                <w:rFonts w:ascii="Arial" w:cs="Arial" w:eastAsia="Arial" w:hAnsi="Arial"/>
                <w:sz w:val="18"/>
                <w:szCs w:val="18"/>
                <w:color w:val="auto"/>
              </w:rPr>
              <w:t>)</w:t>
            </w:r>
          </w:p>
        </w:tc>
        <w:tc>
          <w:tcPr>
            <w:tcW w:w="2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74,319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11"/>
              <w:spacing w:after="0" w:line="189" w:lineRule="exact"/>
              <w:rPr>
                <w:sz w:val="20"/>
                <w:szCs w:val="20"/>
                <w:color w:val="auto"/>
              </w:rPr>
            </w:pPr>
            <w:r>
              <w:rPr>
                <w:rFonts w:ascii="Arial" w:cs="Arial" w:eastAsia="Arial" w:hAnsi="Arial"/>
                <w:sz w:val="18"/>
                <w:szCs w:val="18"/>
                <w:color w:val="auto"/>
              </w:rPr>
              <w:t>73,479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Net impact of interest rate swaps, debt issuance costs and</w:t>
            </w: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unamortized debt discounts</w:t>
            </w:r>
          </w:p>
        </w:tc>
        <w:tc>
          <w:tcPr>
            <w:tcW w:w="2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(18,497)</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4,099,461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Less—current portion</w:t>
            </w:r>
          </w:p>
        </w:tc>
        <w:tc>
          <w:tcPr>
            <w:tcW w:w="2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758,086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753,578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3,341,375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3,343,977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b w:val="1"/>
                <w:bCs w:val="1"/>
                <w:color w:val="auto"/>
              </w:rPr>
              <w:t>Interest Expense</w:t>
            </w:r>
          </w:p>
        </w:tc>
        <w:tc>
          <w:tcPr>
            <w:tcW w:w="2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4740" w:type="dxa"/>
            <w:vAlign w:val="bottom"/>
            <w:gridSpan w:val="5"/>
            <w:vMerge w:val="continue"/>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Net interest expense consists of the following:</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331"/>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2, 2023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ind w:right="511"/>
              <w:spacing w:after="0"/>
              <w:rPr>
                <w:sz w:val="20"/>
                <w:szCs w:val="20"/>
                <w:color w:val="auto"/>
              </w:rPr>
            </w:pPr>
            <w:r>
              <w:rPr>
                <w:rFonts w:ascii="Arial" w:cs="Arial" w:eastAsia="Arial" w:hAnsi="Arial"/>
                <w:sz w:val="16"/>
                <w:szCs w:val="16"/>
                <w:b w:val="1"/>
                <w:bCs w:val="1"/>
                <w:color w:val="auto"/>
              </w:rPr>
              <w:t>April 3,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140" w:type="dxa"/>
            <w:vAlign w:val="bottom"/>
            <w:tcBorders>
              <w:top w:val="single" w:sz="8" w:color="CCEEFF"/>
            </w:tcBorders>
            <w:gridSpan w:val="2"/>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Capitalized interest</w:t>
            </w:r>
          </w:p>
        </w:tc>
        <w:tc>
          <w:tcPr>
            <w:tcW w:w="2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Interest income</w:t>
            </w:r>
          </w:p>
        </w:tc>
        <w:tc>
          <w:tcPr>
            <w:tcW w:w="2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14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805815</wp:posOffset>
            </wp:positionV>
            <wp:extent cx="1968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tabs>
          <w:tab w:leader="none" w:pos="384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$172,299 as of April 2, 2023 and $243,009 as of December 31, 2022.</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Arial" w:cs="Arial" w:eastAsia="Arial" w:hAnsi="Arial"/>
          <w:sz w:val="18"/>
          <w:szCs w:val="18"/>
          <w:u w:val="single" w:color="auto"/>
          <w:color w:val="0000FF"/>
        </w:rPr>
        <w:t>Note 13</w:t>
      </w:r>
      <w:r>
        <w:rPr>
          <w:rFonts w:ascii="Arial" w:cs="Arial" w:eastAsia="Arial" w:hAnsi="Arial"/>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$30,781 at April 2, 2023 and $59,448 at December 31, 2022.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$19,172 at April 2, 2023 and $1,843 at December 31, 2022. The change in fair value on these instruments is recorded directly in cost of sales or selling, marketing and administrative expense, depending on the nature of the underlying exposure.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 We had interest rate swap agreements in a cash flow hedging relationship with a notional amount of $750,000 at April 2, 2023 and none at December 31,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0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240665</wp:posOffset>
            </wp:positionV>
            <wp:extent cx="1968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marketing and administrative expense, together with the change in the related liabilities. The notional amount of the contracts outstanding at April 2, 2023 and December 31, 2022 was $20,224 and $18,803,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April 2,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860"/>
              <w:spacing w:after="0"/>
              <w:rPr>
                <w:sz w:val="20"/>
                <w:szCs w:val="20"/>
                <w:color w:val="auto"/>
              </w:rPr>
            </w:pPr>
            <w:r>
              <w:rPr>
                <w:rFonts w:ascii="Arial" w:cs="Arial" w:eastAsia="Arial" w:hAnsi="Arial"/>
                <w:sz w:val="18"/>
                <w:szCs w:val="18"/>
                <w:b w:val="1"/>
                <w:bCs w:val="1"/>
                <w:color w:val="auto"/>
              </w:rPr>
              <w:t>April 2, 2023</w:t>
            </w:r>
          </w:p>
        </w:tc>
        <w:tc>
          <w:tcPr>
            <w:tcW w:w="26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Liabilities (1)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Liabilities (1)</w:t>
            </w:r>
          </w:p>
        </w:tc>
      </w:tr>
      <w:tr>
        <w:trPr>
          <w:trHeight w:val="210"/>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70"/>
        </w:trPr>
        <w:tc>
          <w:tcPr>
            <w:tcW w:w="4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20" w:hanging="330"/>
        <w:spacing w:after="0" w:line="277" w:lineRule="auto"/>
        <w:tabs>
          <w:tab w:leader="none" w:pos="494"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8" w:lineRule="exact"/>
        <w:rPr>
          <w:rFonts w:ascii="Arial" w:cs="Arial" w:eastAsia="Arial" w:hAnsi="Arial"/>
          <w:sz w:val="18"/>
          <w:szCs w:val="18"/>
          <w:color w:val="auto"/>
        </w:rPr>
      </w:pPr>
    </w:p>
    <w:p>
      <w:pPr>
        <w:ind w:left="500" w:right="80" w:hanging="330"/>
        <w:spacing w:after="0" w:line="257" w:lineRule="auto"/>
        <w:tabs>
          <w:tab w:leader="none" w:pos="494"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April 2, 2023, amounts reflected on a net basis in liabilities were assets of $23,357 and liabilities of $21,415, which are associated with cash transfers receivable or payable on commodities futures contracts reflecting the change in quoted market prices on the last trading day for the period. The comparable amounts reflected on a net basis in liabilities at December 31, 2022 were assets of $25,308 and liabilities of $25,296. At April 2, 2023 and December 31, 2022, the remaining amount reflected in assets and liabilities related to the fair value of other non-exchange traded derivative instruments,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April 2, 2023 and April 3, 2022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6"/>
                <w:szCs w:val="16"/>
                <w:b w:val="1"/>
                <w:bCs w:val="1"/>
                <w:color w:val="auto"/>
                <w:w w:val="97"/>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260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auto"/>
                <w:w w:val="92"/>
              </w:rPr>
              <w:t>Gains (losses) recognized in income</w:t>
            </w:r>
          </w:p>
        </w:tc>
        <w:tc>
          <w:tcPr>
            <w:tcW w:w="260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87"/>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Arial" w:cs="Arial" w:eastAsia="Arial" w:hAnsi="Arial"/>
                <w:sz w:val="16"/>
                <w:szCs w:val="16"/>
                <w:b w:val="1"/>
                <w:bCs w:val="1"/>
                <w:color w:val="auto"/>
                <w:w w:val="88"/>
              </w:rPr>
              <w:t>Gains (losses) reclassified from</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Arial" w:cs="Arial" w:eastAsia="Arial" w:hAnsi="Arial"/>
                <w:sz w:val="16"/>
                <w:szCs w:val="16"/>
                <w:b w:val="1"/>
                <w:bCs w:val="1"/>
                <w:color w:val="auto"/>
                <w:w w:val="95"/>
              </w:rPr>
              <w:t>accumulated OCI (“AOCI”) into</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Arial" w:cs="Arial" w:eastAsia="Arial" w:hAnsi="Arial"/>
                <w:sz w:val="16"/>
                <w:szCs w:val="16"/>
                <w:b w:val="1"/>
                <w:bCs w:val="1"/>
                <w:color w:val="auto"/>
                <w:w w:val="91"/>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Arial" w:cs="Arial" w:eastAsia="Arial" w:hAnsi="Arial"/>
                <w:sz w:val="18"/>
                <w:szCs w:val="18"/>
                <w:color w:val="auto"/>
                <w:w w:val="91"/>
              </w:rPr>
              <w:t>(5,924)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1"/>
              </w:rPr>
              <w:t>(5,924)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340" w:right="20" w:hanging="332"/>
        <w:spacing w:after="0" w:line="263" w:lineRule="auto"/>
        <w:tabs>
          <w:tab w:leader="none" w:pos="337"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35" w:lineRule="exact"/>
        <w:rPr>
          <w:sz w:val="20"/>
          <w:szCs w:val="20"/>
          <w:color w:val="auto"/>
        </w:rPr>
      </w:pPr>
    </w:p>
    <w:p>
      <w:pPr>
        <w:ind w:left="340" w:right="840" w:hanging="332"/>
        <w:spacing w:after="0" w:line="342" w:lineRule="auto"/>
        <w:tabs>
          <w:tab w:leader="none" w:pos="334"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$10,305 as of April 2, 2023. This amount is primarily associated with interest rate swap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80"/>
        <w:spacing w:after="0" w:line="24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 participant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66"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April 2, 2023 and December 31, 2022:</w:t>
      </w: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Assets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388"/>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April 2, 2023:</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2,483</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rate swap agreements (2)</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r>
      <w:tr>
        <w:trPr>
          <w:trHeight w:val="230"/>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479"/>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4,167</w:t>
            </w:r>
          </w:p>
        </w:tc>
      </w:tr>
      <w:tr>
        <w:trPr>
          <w:trHeight w:val="229"/>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bl>
    <w:p>
      <w:pPr>
        <w:spacing w:after="0" w:line="67" w:lineRule="exact"/>
        <w:rPr>
          <w:sz w:val="20"/>
          <w:szCs w:val="20"/>
          <w:color w:val="auto"/>
        </w:rPr>
      </w:pPr>
    </w:p>
    <w:p>
      <w:pPr>
        <w:ind w:left="660" w:right="20" w:hanging="328"/>
        <w:spacing w:after="0" w:line="286" w:lineRule="auto"/>
        <w:tabs>
          <w:tab w:leader="none" w:pos="65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97" w:lineRule="exact"/>
        <w:rPr>
          <w:rFonts w:ascii="Arial" w:cs="Arial" w:eastAsia="Arial" w:hAnsi="Arial"/>
          <w:sz w:val="17"/>
          <w:szCs w:val="17"/>
          <w:color w:val="auto"/>
        </w:rPr>
      </w:pPr>
    </w:p>
    <w:p>
      <w:pPr>
        <w:ind w:left="660" w:right="260" w:hanging="328"/>
        <w:spacing w:after="0" w:line="263"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356870</wp:posOffset>
            </wp:positionV>
            <wp:extent cx="1968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April 2, 2023 and December 31, 2022 because of the relatively short maturity of these instruments.</w:t>
      </w:r>
    </w:p>
    <w:p>
      <w:pPr>
        <w:spacing w:after="0" w:line="103"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80" w:type="dxa"/>
            <w:vAlign w:val="bottom"/>
            <w:gridSpan w:val="5"/>
          </w:tcPr>
          <w:p>
            <w:pPr>
              <w:ind w:left="1260"/>
              <w:spacing w:after="0"/>
              <w:rPr>
                <w:sz w:val="20"/>
                <w:szCs w:val="20"/>
                <w:color w:val="auto"/>
              </w:rPr>
            </w:pPr>
            <w:r>
              <w:rPr>
                <w:rFonts w:ascii="Arial" w:cs="Arial" w:eastAsia="Arial" w:hAnsi="Arial"/>
                <w:sz w:val="16"/>
                <w:szCs w:val="16"/>
                <w:b w:val="1"/>
                <w:bCs w:val="1"/>
                <w:color w:val="auto"/>
              </w:rPr>
              <w:t>Fair Value</w:t>
            </w:r>
          </w:p>
        </w:tc>
        <w:tc>
          <w:tcPr>
            <w:tcW w:w="320" w:type="dxa"/>
            <w:vAlign w:val="bottom"/>
          </w:tcPr>
          <w:p>
            <w:pPr>
              <w:spacing w:after="0"/>
              <w:rPr>
                <w:sz w:val="18"/>
                <w:szCs w:val="18"/>
                <w:color w:val="auto"/>
              </w:rPr>
            </w:pPr>
          </w:p>
        </w:tc>
        <w:tc>
          <w:tcPr>
            <w:tcW w:w="3560" w:type="dxa"/>
            <w:vAlign w:val="bottom"/>
            <w:gridSpan w:val="4"/>
          </w:tcPr>
          <w:p>
            <w:pPr>
              <w:jc w:val="right"/>
              <w:ind w:right="1312"/>
              <w:spacing w:after="0"/>
              <w:rPr>
                <w:sz w:val="20"/>
                <w:szCs w:val="20"/>
                <w:color w:val="auto"/>
              </w:rPr>
            </w:pPr>
            <w:r>
              <w:rPr>
                <w:rFonts w:ascii="Arial" w:cs="Arial" w:eastAsia="Arial" w:hAnsi="Arial"/>
                <w:sz w:val="16"/>
                <w:szCs w:val="16"/>
                <w:b w:val="1"/>
                <w:bCs w:val="1"/>
                <w:color w:val="auto"/>
              </w:rPr>
              <w:t>Carrying Value</w:t>
            </w:r>
          </w:p>
        </w:tc>
      </w:tr>
      <w:tr>
        <w:trPr>
          <w:trHeight w:val="210"/>
        </w:trPr>
        <w:tc>
          <w:tcPr>
            <w:tcW w:w="3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April 2, 2023</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April 2, 2023</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756,114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749,345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753,578</w:t>
            </w:r>
          </w:p>
        </w:tc>
      </w:tr>
      <w:tr>
        <w:trPr>
          <w:trHeight w:val="22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2,937,295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2,854,165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3,341,375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3,343,977</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3,603,510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4,097,555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connection with the acquisitions of Pretzels and Dot’s in December 2021 and subsequent measurement period adjustments through the third quarter of 2022, as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10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600075</wp:posOffset>
            </wp:positionV>
            <wp:extent cx="1968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April 2, 2023 and April 3, 2022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30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2, 2023</w:t>
            </w:r>
          </w:p>
        </w:tc>
        <w:tc>
          <w:tcPr>
            <w:tcW w:w="320" w:type="dxa"/>
            <w:vAlign w:val="bottom"/>
          </w:tcPr>
          <w:p>
            <w:pPr>
              <w:spacing w:after="0"/>
              <w:rPr>
                <w:sz w:val="18"/>
                <w:szCs w:val="18"/>
                <w:color w:val="auto"/>
              </w:rPr>
            </w:pPr>
          </w:p>
        </w:tc>
        <w:tc>
          <w:tcPr>
            <w:tcW w:w="1620" w:type="dxa"/>
            <w:vAlign w:val="bottom"/>
          </w:tcPr>
          <w:p>
            <w:pPr>
              <w:jc w:val="right"/>
              <w:ind w:right="432"/>
              <w:spacing w:after="0"/>
              <w:rPr>
                <w:sz w:val="20"/>
                <w:szCs w:val="20"/>
                <w:color w:val="auto"/>
              </w:rPr>
            </w:pPr>
            <w:r>
              <w:rPr>
                <w:rFonts w:ascii="Arial" w:cs="Arial" w:eastAsia="Arial" w:hAnsi="Arial"/>
                <w:sz w:val="16"/>
                <w:szCs w:val="16"/>
                <w:b w:val="1"/>
                <w:bCs w:val="1"/>
                <w:color w:val="auto"/>
              </w:rPr>
              <w:t>April 3, 2022</w:t>
            </w:r>
          </w:p>
        </w:tc>
      </w:tr>
      <w:tr>
        <w:trPr>
          <w:trHeight w:val="226"/>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w:t>
            </w: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15,486</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right="2280" w:firstLine="170"/>
        <w:spacing w:after="0" w:line="30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 Information regarding our lease terms and discount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w w:val="97"/>
              </w:rPr>
              <w:t>April 2, 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85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70"/>
        </w:trPr>
        <w:tc>
          <w:tcPr>
            <w:tcW w:w="70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85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Leases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ROU assets</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Finance lease ROU assets, at cost</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amortization</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Finance lease ROU assets, net</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Classification</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April 2, 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r>
      <w:tr>
        <w:trPr>
          <w:trHeight w:val="456"/>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321,284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326,472</w:t>
            </w:r>
          </w:p>
        </w:tc>
      </w:tr>
      <w:tr>
        <w:trPr>
          <w:trHeight w:val="49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gross</w:t>
            </w: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87,117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86,703</w:t>
            </w: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(14,543)</w:t>
            </w:r>
          </w:p>
        </w:tc>
      </w:tr>
      <w:tr>
        <w:trPr>
          <w:trHeight w:val="224"/>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71,712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72,160</w:t>
            </w:r>
          </w:p>
        </w:tc>
      </w:tr>
      <w:tr>
        <w:trPr>
          <w:trHeight w:val="269"/>
        </w:trPr>
        <w:tc>
          <w:tcPr>
            <w:tcW w:w="3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r>
      <w:tr>
        <w:trPr>
          <w:trHeight w:val="223"/>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398,632</w:t>
            </w: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-976630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-659765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-16510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300355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-1276985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32,842</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31,787</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4,285</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289,351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294,849</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69,495</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69,194</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396,512</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400,115</w:t>
            </w:r>
          </w:p>
        </w:tc>
      </w:tr>
      <w:tr>
        <w:trPr>
          <w:trHeight w:val="21"/>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-770890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-479425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-187960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4683760</wp:posOffset>
            </wp:positionH>
            <wp:positionV relativeFrom="paragraph">
              <wp:posOffset>488950</wp:posOffset>
            </wp:positionV>
            <wp:extent cx="19685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April 2, 2023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ind w:left="240"/>
              <w:spacing w:after="0"/>
              <w:rPr>
                <w:sz w:val="20"/>
                <w:szCs w:val="20"/>
                <w:color w:val="auto"/>
              </w:rPr>
            </w:pPr>
            <w:r>
              <w:rPr>
                <w:rFonts w:ascii="Arial" w:cs="Arial" w:eastAsia="Arial" w:hAnsi="Arial"/>
                <w:sz w:val="16"/>
                <w:szCs w:val="16"/>
                <w:b w:val="1"/>
                <w:bCs w:val="1"/>
                <w:color w:val="auto"/>
              </w:rPr>
              <w:t>Operating leases</w:t>
            </w:r>
          </w:p>
        </w:tc>
        <w:tc>
          <w:tcPr>
            <w:tcW w:w="400" w:type="dxa"/>
            <w:vAlign w:val="bottom"/>
          </w:tcPr>
          <w:p>
            <w:pPr>
              <w:spacing w:after="0"/>
              <w:rPr>
                <w:sz w:val="18"/>
                <w:szCs w:val="18"/>
                <w:color w:val="auto"/>
              </w:rPr>
            </w:pPr>
          </w:p>
        </w:tc>
        <w:tc>
          <w:tcPr>
            <w:tcW w:w="1880" w:type="dxa"/>
            <w:vAlign w:val="bottom"/>
            <w:gridSpan w:val="3"/>
          </w:tcPr>
          <w:p>
            <w:pPr>
              <w:jc w:val="right"/>
              <w:ind w:right="532"/>
              <w:spacing w:after="0"/>
              <w:rPr>
                <w:sz w:val="20"/>
                <w:szCs w:val="20"/>
                <w:color w:val="auto"/>
              </w:rPr>
            </w:pPr>
            <w:r>
              <w:rPr>
                <w:rFonts w:ascii="Arial" w:cs="Arial" w:eastAsia="Arial" w:hAnsi="Arial"/>
                <w:sz w:val="16"/>
                <w:szCs w:val="16"/>
                <w:b w:val="1"/>
                <w:bCs w:val="1"/>
                <w:color w:val="auto"/>
              </w:rPr>
              <w:t>Finance leases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ind w:right="911"/>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(rest of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39,184</w:t>
            </w:r>
          </w:p>
        </w:tc>
        <w:tc>
          <w:tcPr>
            <w:tcW w:w="40" w:type="dxa"/>
            <w:vAlign w:val="bottom"/>
          </w:tcPr>
          <w:p>
            <w:pPr>
              <w:spacing w:after="0"/>
              <w:rPr>
                <w:sz w:val="19"/>
                <w:szCs w:val="19"/>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41,087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49,341</w:t>
            </w:r>
          </w:p>
        </w:tc>
        <w:tc>
          <w:tcPr>
            <w:tcW w:w="40" w:type="dxa"/>
            <w:vAlign w:val="bottom"/>
          </w:tcPr>
          <w:p>
            <w:pPr>
              <w:spacing w:after="0"/>
              <w:rPr>
                <w:sz w:val="19"/>
                <w:szCs w:val="1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34,009</w:t>
            </w:r>
          </w:p>
        </w:tc>
        <w:tc>
          <w:tcPr>
            <w:tcW w:w="40" w:type="dxa"/>
            <w:vAlign w:val="bottom"/>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23,698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27,752</w:t>
            </w:r>
          </w:p>
        </w:tc>
        <w:tc>
          <w:tcPr>
            <w:tcW w:w="40" w:type="dxa"/>
            <w:vAlign w:val="bottom"/>
          </w:tcPr>
          <w:p>
            <w:pPr>
              <w:spacing w:after="0"/>
              <w:rPr>
                <w:sz w:val="19"/>
                <w:szCs w:val="1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w:t>
            </w:r>
          </w:p>
        </w:tc>
        <w:tc>
          <w:tcPr>
            <w:tcW w:w="40" w:type="dxa"/>
            <w:vAlign w:val="bottom"/>
          </w:tcPr>
          <w:p>
            <w:pPr>
              <w:spacing w:after="0"/>
              <w:rPr>
                <w:sz w:val="19"/>
                <w:szCs w:val="19"/>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406,580</w:t>
            </w:r>
          </w:p>
        </w:tc>
        <w:tc>
          <w:tcPr>
            <w:tcW w:w="40" w:type="dxa"/>
            <w:vAlign w:val="bottom"/>
          </w:tcPr>
          <w:p>
            <w:pPr>
              <w:spacing w:after="0"/>
              <w:rPr>
                <w:sz w:val="19"/>
                <w:szCs w:val="19"/>
                <w:color w:val="auto"/>
              </w:rPr>
            </w:pPr>
          </w:p>
        </w:tc>
      </w:tr>
      <w:tr>
        <w:trPr>
          <w:trHeight w:val="223"/>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171,331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584,701</w:t>
            </w:r>
          </w:p>
        </w:tc>
        <w:tc>
          <w:tcPr>
            <w:tcW w:w="40" w:type="dxa"/>
            <w:vAlign w:val="bottom"/>
          </w:tcPr>
          <w:p>
            <w:pPr>
              <w:spacing w:after="0"/>
              <w:rPr>
                <w:sz w:val="19"/>
                <w:szCs w:val="19"/>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97,012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188,189</w:t>
            </w:r>
          </w:p>
        </w:tc>
        <w:tc>
          <w:tcPr>
            <w:tcW w:w="40" w:type="dxa"/>
            <w:vAlign w:val="bottom"/>
          </w:tcPr>
          <w:p>
            <w:pPr>
              <w:spacing w:after="0"/>
              <w:rPr>
                <w:sz w:val="19"/>
                <w:szCs w:val="19"/>
                <w:color w:val="auto"/>
              </w:rPr>
            </w:pPr>
          </w:p>
        </w:tc>
      </w:tr>
      <w:tr>
        <w:trPr>
          <w:trHeight w:val="248"/>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396,512</w:t>
            </w:r>
          </w:p>
        </w:tc>
        <w:tc>
          <w:tcPr>
            <w:tcW w:w="40" w:type="dxa"/>
            <w:vAlign w:val="bottom"/>
          </w:tcPr>
          <w:p>
            <w:pPr>
              <w:spacing w:after="0"/>
              <w:rPr>
                <w:sz w:val="21"/>
                <w:szCs w:val="2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8"/>
        </w:trPr>
        <w:tc>
          <w:tcPr>
            <w:tcW w:w="6400" w:type="dxa"/>
            <w:vAlign w:val="bottom"/>
            <w:gridSpan w:val="4"/>
          </w:tcPr>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3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7"/>
          </w:tcPr>
          <w:p>
            <w:pPr>
              <w:jc w:val="right"/>
              <w:ind w:right="1151"/>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Borders>
              <w:bottom w:val="single" w:sz="8" w:color="auto"/>
            </w:tcBorders>
          </w:tcPr>
          <w:p>
            <w:pPr>
              <w:spacing w:after="0"/>
              <w:rPr>
                <w:sz w:val="20"/>
                <w:szCs w:val="20"/>
                <w:color w:val="auto"/>
              </w:rPr>
            </w:pPr>
          </w:p>
        </w:tc>
      </w:tr>
      <w:tr>
        <w:trPr>
          <w:trHeight w:val="210"/>
        </w:trPr>
        <w:tc>
          <w:tcPr>
            <w:tcW w:w="39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2, 2023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April 3, 2022</w:t>
            </w:r>
          </w:p>
        </w:tc>
        <w:tc>
          <w:tcPr>
            <w:tcW w:w="40" w:type="dxa"/>
            <w:vAlign w:val="bottom"/>
            <w:tcBorders>
              <w:bottom w:val="single" w:sz="8" w:color="auto"/>
            </w:tcBorders>
          </w:tcPr>
          <w:p>
            <w:pPr>
              <w:spacing w:after="0"/>
              <w:rPr>
                <w:sz w:val="18"/>
                <w:szCs w:val="18"/>
                <w:color w:val="auto"/>
              </w:rPr>
            </w:pPr>
          </w:p>
        </w:tc>
      </w:tr>
      <w:tr>
        <w:trPr>
          <w:trHeight w:val="212"/>
        </w:trPr>
        <w:tc>
          <w:tcPr>
            <w:tcW w:w="6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11,896</w:t>
            </w:r>
          </w:p>
        </w:tc>
        <w:tc>
          <w:tcPr>
            <w:tcW w:w="4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4"/>
              </w:rPr>
              <w:t>1,183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1,050</w:t>
            </w:r>
          </w:p>
        </w:tc>
        <w:tc>
          <w:tcPr>
            <w:tcW w:w="40" w:type="dxa"/>
            <w:vAlign w:val="bottom"/>
          </w:tcPr>
          <w:p>
            <w:pPr>
              <w:spacing w:after="0"/>
              <w:rPr>
                <w:sz w:val="19"/>
                <w:szCs w:val="19"/>
                <w:color w:val="auto"/>
              </w:rPr>
            </w:pPr>
          </w:p>
        </w:tc>
      </w:tr>
      <w:tr>
        <w:trPr>
          <w:trHeight w:val="270"/>
        </w:trPr>
        <w:tc>
          <w:tcPr>
            <w:tcW w:w="3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w w:val="92"/>
              </w:rPr>
              <w:t>ROU assets obtained in exchange for lease liabilities:</w:t>
            </w: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3,735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4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473</w:t>
            </w:r>
          </w:p>
        </w:tc>
        <w:tc>
          <w:tcPr>
            <w:tcW w:w="40" w:type="dxa"/>
            <w:vAlign w:val="bottom"/>
          </w:tcPr>
          <w:p>
            <w:pPr>
              <w:spacing w:after="0"/>
              <w:rPr>
                <w:sz w:val="20"/>
                <w:szCs w:val="20"/>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IN UNCONSOLIDATED AFFILIATES</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Arial" w:cs="Arial" w:eastAsia="Arial" w:hAnsi="Arial"/>
          <w:sz w:val="18"/>
          <w:szCs w:val="18"/>
          <w:u w:val="single" w:color="auto"/>
          <w:color w:val="0000FF"/>
        </w:rPr>
        <w:t>Note 17</w:t>
      </w:r>
      <w:r>
        <w:rPr>
          <w:rFonts w:ascii="Arial" w:cs="Arial" w:eastAsia="Arial" w:hAnsi="Arial"/>
          <w:sz w:val="18"/>
          <w:szCs w:val="18"/>
          <w:color w:val="auto"/>
        </w:rPr>
        <w:t>).</w:t>
      </w:r>
    </w:p>
    <w:p>
      <w:pPr>
        <w:spacing w:after="0" w:line="2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03"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$145,338 and $133,029 as of April 2, 2023 and December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575945</wp:posOffset>
            </wp:positionV>
            <wp:extent cx="19685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2, 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 2022</w:t>
            </w:r>
          </w:p>
        </w:tc>
        <w:tc>
          <w:tcPr>
            <w:tcW w:w="500" w:type="dxa"/>
            <w:vAlign w:val="bottom"/>
            <w:tcBorders>
              <w:bottom w:val="single" w:sz="8" w:color="auto"/>
            </w:tcBorders>
          </w:tcPr>
          <w:p>
            <w:pPr>
              <w:spacing w:after="0"/>
              <w:rPr>
                <w:sz w:val="18"/>
                <w:szCs w:val="18"/>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42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Selling, marketing and administrative expense</w:t>
            </w:r>
          </w:p>
        </w:tc>
        <w:tc>
          <w:tcPr>
            <w:tcW w:w="1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realignment costs</w:t>
            </w:r>
          </w:p>
        </w:tc>
        <w:tc>
          <w:tcPr>
            <w:tcW w:w="14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1420" w:type="dxa"/>
            <w:vAlign w:val="bottom"/>
            <w:tcBorders>
              <w:bottom w:val="single" w:sz="8" w:color="auto"/>
            </w:tcBorders>
          </w:tcPr>
          <w:p>
            <w:pPr>
              <w:jc w:val="right"/>
              <w:ind w:right="123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2,349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23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1,281</w:t>
            </w:r>
          </w:p>
        </w:tc>
      </w:tr>
      <w:tr>
        <w:trPr>
          <w:trHeight w:val="21"/>
        </w:trPr>
        <w:tc>
          <w:tcPr>
            <w:tcW w:w="7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by program during the three months ended April 2, 2023 and April 3, 2022 related to these activities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2, 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 2022</w:t>
            </w:r>
          </w:p>
        </w:tc>
        <w:tc>
          <w:tcPr>
            <w:tcW w:w="500" w:type="dxa"/>
            <w:vAlign w:val="bottom"/>
            <w:tcBorders>
              <w:bottom w:val="single" w:sz="8" w:color="auto"/>
            </w:tcBorders>
          </w:tcPr>
          <w:p>
            <w:pPr>
              <w:spacing w:after="0"/>
              <w:rPr>
                <w:sz w:val="18"/>
                <w:szCs w:val="18"/>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Optimization Program:</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Severance and employee benefit costs</w:t>
            </w:r>
          </w:p>
        </w:tc>
        <w:tc>
          <w:tcPr>
            <w:tcW w:w="1420" w:type="dxa"/>
            <w:vAlign w:val="bottom"/>
          </w:tcPr>
          <w:p>
            <w:pPr>
              <w:jc w:val="right"/>
              <w:ind w:right="123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1440" w:type="dxa"/>
            <w:vAlign w:val="bottom"/>
          </w:tcPr>
          <w:p>
            <w:pPr>
              <w:jc w:val="right"/>
              <w:ind w:right="123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program costs</w:t>
            </w:r>
          </w:p>
        </w:tc>
        <w:tc>
          <w:tcPr>
            <w:tcW w:w="14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1,538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1,001</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23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2,349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23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1,281</w:t>
            </w:r>
          </w:p>
        </w:tc>
      </w:tr>
      <w:tr>
        <w:trPr>
          <w:trHeight w:val="21"/>
        </w:trPr>
        <w:tc>
          <w:tcPr>
            <w:tcW w:w="7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Amounts classified as liabilities qualifying as exit and disposal costs primarily represent employee-related and certain third-party service provider charges, however, such amounts at April 2, 2023 are not significant.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International Optimization Program</w:t>
      </w:r>
    </w:p>
    <w:p>
      <w:pPr>
        <w:spacing w:after="0" w:line="171"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International Optimization Program is expected to be completed by the end of 2023, with total pre-tax costs anticipated to be $50,000 to $75,000. Cash costs are expected to be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segment. However, segment operating results do not include these business realignment expenses because we evaluate segment performance excluding such costs.</w:t>
      </w:r>
    </w:p>
    <w:p>
      <w:pPr>
        <w:spacing w:after="0" w:line="13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For the three months ended April 2, 2023 and April 3, 2022, we recognized total costs associated with the International Optimization Program of $2,349 and $1,281, respectively. These charges predominantly included third-party charges in support of our initiative to transform our China operating model, as well as severance and employee benefit costs. Since inception, we have incurred pre-tax charges to execute the program totaling $52,708.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558165</wp:posOffset>
            </wp:positionV>
            <wp:extent cx="1968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majority of our taxable income is generated in the United States and taxed at the United States statutory rate of 21%. The effective tax rates for the three months ended April 2, 2023 and April 3, 2022 were 22.7% and 21.2%, respectively. Relative to the statutory rate, the 2023 effective tax rate was primarily impacted by state taxes, partially offset by employee share-based payments.</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China, Canada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$22,796 within the next 12 months because of the expiration of statutes of limitations and settlements of tax audits.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Inflation Reduction Act</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16, 2022, the Inflation Reduction Act (“IRA”) was signed into law. The IRA enacted a 15% corporate minimum tax on certain corporations and an excise tax on share repurchases after December 31, 2022, and created and extended certain energy-related tax credits and incentives. We currently do not expect the tax-related provisions of the IRA to have a material impact on our consolidated financial statements, including our annual effective tax rate, or on our liquidity. We will continue to monitor and assess the impact the IRA may have on our business and financial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April 2, 2023 and April 3, 2022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5"/>
          </w:tcPr>
          <w:p>
            <w:pPr>
              <w:ind w:left="800"/>
              <w:spacing w:after="0"/>
              <w:rPr>
                <w:sz w:val="20"/>
                <w:szCs w:val="20"/>
                <w:color w:val="auto"/>
              </w:rPr>
            </w:pPr>
            <w:r>
              <w:rPr>
                <w:rFonts w:ascii="Arial" w:cs="Arial" w:eastAsia="Arial" w:hAnsi="Arial"/>
                <w:sz w:val="16"/>
                <w:szCs w:val="16"/>
                <w:b w:val="1"/>
                <w:bCs w:val="1"/>
                <w:color w:val="auto"/>
              </w:rPr>
              <w:t>Pension Benefits</w:t>
            </w:r>
          </w:p>
        </w:tc>
        <w:tc>
          <w:tcPr>
            <w:tcW w:w="220" w:type="dxa"/>
            <w:vAlign w:val="bottom"/>
          </w:tcPr>
          <w:p>
            <w:pPr>
              <w:spacing w:after="0"/>
              <w:rPr>
                <w:sz w:val="18"/>
                <w:szCs w:val="18"/>
                <w:color w:val="auto"/>
              </w:rPr>
            </w:pPr>
          </w:p>
        </w:tc>
        <w:tc>
          <w:tcPr>
            <w:tcW w:w="2960" w:type="dxa"/>
            <w:vAlign w:val="bottom"/>
            <w:gridSpan w:val="4"/>
          </w:tcPr>
          <w:p>
            <w:pPr>
              <w:jc w:val="right"/>
              <w:ind w:right="991"/>
              <w:spacing w:after="0"/>
              <w:rPr>
                <w:sz w:val="20"/>
                <w:szCs w:val="20"/>
                <w:color w:val="auto"/>
              </w:rPr>
            </w:pPr>
            <w:r>
              <w:rPr>
                <w:rFonts w:ascii="Arial" w:cs="Arial" w:eastAsia="Arial" w:hAnsi="Arial"/>
                <w:sz w:val="16"/>
                <w:szCs w:val="16"/>
                <w:b w:val="1"/>
                <w:bCs w:val="1"/>
                <w:color w:val="auto"/>
              </w:rPr>
              <w:t>Other Benefits</w:t>
            </w:r>
          </w:p>
        </w:tc>
      </w:tr>
      <w:tr>
        <w:trPr>
          <w:trHeight w:val="210"/>
        </w:trPr>
        <w:tc>
          <w:tcPr>
            <w:tcW w:w="47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2, 2023</w:t>
            </w:r>
          </w:p>
        </w:tc>
        <w:tc>
          <w:tcPr>
            <w:tcW w:w="22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April 3, 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2, 2023</w:t>
            </w:r>
          </w:p>
        </w:tc>
        <w:tc>
          <w:tcPr>
            <w:tcW w:w="22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April 3, 2022</w:t>
            </w: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3,753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made contributions of $833 and $5,699 to the pension plans and other benefits plans, respectively, during the first three months of 2023. In the first three months of 2022, we made contributions of $3,467 and $4,991 to our pension plans and other benefit plans, respectively. The contributions in 2023 and 2022 also included benefit payments from our non-qualified pension plans and post-retirement benefit plans.</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r>
        <w:rPr>
          <w:rFonts w:ascii="Arial" w:cs="Arial" w:eastAsia="Arial" w:hAnsi="Arial"/>
          <w:sz w:val="18"/>
          <w:szCs w:val="18"/>
          <w:u w:val="single" w:color="auto"/>
          <w:color w:val="0000FF"/>
        </w:rPr>
        <w:t>Note 17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3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Non-qualified stock options (“stock options”);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Performance stock units (“PSUs”) and performance stock;</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Stock appreciation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Restricted stock units (“RSUs”) and restricted stock;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Other stock-based awards.</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3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3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1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17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2, 2023</w:t>
            </w:r>
          </w:p>
        </w:tc>
        <w:tc>
          <w:tcPr>
            <w:tcW w:w="320" w:type="dxa"/>
            <w:vAlign w:val="bottom"/>
          </w:tcPr>
          <w:p>
            <w:pPr>
              <w:spacing w:after="0"/>
              <w:rPr>
                <w:sz w:val="18"/>
                <w:szCs w:val="18"/>
                <w:color w:val="auto"/>
              </w:rPr>
            </w:pPr>
          </w:p>
        </w:tc>
        <w:tc>
          <w:tcPr>
            <w:tcW w:w="1620" w:type="dxa"/>
            <w:vAlign w:val="bottom"/>
          </w:tcPr>
          <w:p>
            <w:pPr>
              <w:jc w:val="right"/>
              <w:ind w:right="433"/>
              <w:spacing w:after="0"/>
              <w:rPr>
                <w:sz w:val="20"/>
                <w:szCs w:val="20"/>
                <w:color w:val="auto"/>
              </w:rPr>
            </w:pPr>
            <w:r>
              <w:rPr>
                <w:rFonts w:ascii="Arial" w:cs="Arial" w:eastAsia="Arial" w:hAnsi="Arial"/>
                <w:sz w:val="16"/>
                <w:szCs w:val="16"/>
                <w:b w:val="1"/>
                <w:bCs w:val="1"/>
                <w:color w:val="auto"/>
              </w:rPr>
              <w:t>April 3, 2022</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compensation expense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15,337</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Related income tax benefit</w:t>
            </w: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3,251</w:t>
            </w:r>
          </w:p>
        </w:tc>
      </w:tr>
    </w:tbl>
    <w:p>
      <w:pPr>
        <w:spacing w:after="0" w:line="24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Compensation expenses for stock compensation plans are primarily included in SM&amp;A expense. As of April 2, 2023, total stock-based compensation expense related to non-vested awards not yet recognized was $130,091 and the weighted-average period over which this amount is expected to be recognized was approximately 2.2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497840</wp:posOffset>
            </wp:positionV>
            <wp:extent cx="19685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3"/>
          </w:tcPr>
          <w:p>
            <w:pPr>
              <w:spacing w:after="0"/>
              <w:rPr>
                <w:sz w:val="20"/>
                <w:szCs w:val="20"/>
                <w:color w:val="auto"/>
              </w:rPr>
            </w:pPr>
            <w:r>
              <w:rPr>
                <w:rFonts w:ascii="Arial" w:cs="Arial" w:eastAsia="Arial" w:hAnsi="Arial"/>
                <w:sz w:val="18"/>
                <w:szCs w:val="18"/>
                <w:color w:val="auto"/>
                <w:w w:val="96"/>
              </w:rPr>
              <w:t>A summary of activity relating to grants of stock options for the period ended April 2, 2023 is as follows:</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Weighted-Average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Weighted-Average</w:t>
            </w:r>
          </w:p>
        </w:tc>
        <w:tc>
          <w:tcPr>
            <w:tcW w:w="17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ind w:left="120"/>
              <w:spacing w:after="0" w:line="176" w:lineRule="exact"/>
              <w:rPr>
                <w:sz w:val="20"/>
                <w:szCs w:val="20"/>
                <w:color w:val="auto"/>
              </w:rPr>
            </w:pPr>
            <w:r>
              <w:rPr>
                <w:rFonts w:ascii="Arial" w:cs="Arial" w:eastAsia="Arial" w:hAnsi="Arial"/>
                <w:sz w:val="18"/>
                <w:szCs w:val="18"/>
                <w:b w:val="1"/>
                <w:bCs w:val="1"/>
                <w:color w:val="auto"/>
                <w:w w:val="99"/>
              </w:rPr>
              <w:t>Exercise Price (per</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Stock Options</w:t>
            </w:r>
          </w:p>
        </w:tc>
        <w:tc>
          <w:tcPr>
            <w:tcW w:w="1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the period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976,634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5,215</w:t>
            </w:r>
          </w:p>
        </w:tc>
        <w:tc>
          <w:tcPr>
            <w:tcW w:w="1760" w:type="dxa"/>
            <w:vAlign w:val="bottom"/>
          </w:tcPr>
          <w:p>
            <w:pPr>
              <w:jc w:val="right"/>
              <w:spacing w:after="0"/>
              <w:rPr>
                <w:sz w:val="20"/>
                <w:szCs w:val="20"/>
                <w:color w:val="auto"/>
              </w:rPr>
            </w:pPr>
            <w:r>
              <w:rPr>
                <w:rFonts w:ascii="Arial" w:cs="Arial" w:eastAsia="Arial" w:hAnsi="Arial"/>
                <w:sz w:val="18"/>
                <w:szCs w:val="18"/>
                <w:color w:val="auto"/>
              </w:rPr>
              <w:t>$240.90</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Outstanding as of April 2, 2023</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832,529</w:t>
            </w:r>
          </w:p>
        </w:tc>
        <w:tc>
          <w:tcPr>
            <w:tcW w:w="1760" w:type="dxa"/>
            <w:vAlign w:val="bottom"/>
          </w:tcPr>
          <w:p>
            <w:pPr>
              <w:jc w:val="right"/>
              <w:spacing w:after="0"/>
              <w:rPr>
                <w:sz w:val="20"/>
                <w:szCs w:val="20"/>
                <w:color w:val="auto"/>
              </w:rPr>
            </w:pPr>
            <w:r>
              <w:rPr>
                <w:rFonts w:ascii="Arial" w:cs="Arial" w:eastAsia="Arial" w:hAnsi="Arial"/>
                <w:sz w:val="18"/>
                <w:szCs w:val="18"/>
                <w:color w:val="auto"/>
              </w:rPr>
              <w:t>$105.50</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3.9 years</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123,975</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as of April 2,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806,474</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121,886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fair value of options granted was $57.65 and $37.28 per share for the periods ended April 2, 2023 and April 3,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was estimated on the date of grant using a Black-Scholes option-pricing model and the following weighted-average assumptions:</w:t>
      </w:r>
    </w:p>
    <w:p>
      <w:pPr>
        <w:spacing w:after="0" w:line="47"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Borders>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b w:val="1"/>
                <w:bCs w:val="1"/>
                <w:color w:val="auto"/>
              </w:rPr>
              <w:t>April 2, 2023</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April 3, 2022</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yields</w:t>
            </w:r>
          </w:p>
        </w:tc>
        <w:tc>
          <w:tcPr>
            <w:tcW w:w="16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20.9 %</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$20,566 and $18,814 for the periods ended April 2, 2023 and April 3, 2022,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three months ended April 2, 2023 and April 3, 2022 can range from 0% to 250% of the targeted amounts.</w:t>
      </w:r>
    </w:p>
    <w:p>
      <w:pPr>
        <w:spacing w:after="0" w:line="1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April 2, 2023 and April 3, 2022, we awarded RSUs to certain executive officers and other key employees under the EICP.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awarded RSUs to non-employee directors.</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 the compensation expenses associated with employee RSUs over a specified award vesting period based on the grant date fair value of our Common Stock. We recognize expense for employee RSUs based on the straight-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line method. The compensation expenses associated with non-employee director RSUs is recognized ratably over the vesting period, net of estimated forfeitures.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April 2, 2023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Arial" w:cs="Arial" w:eastAsia="Arial" w:hAnsi="Arial"/>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3"/>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Arial" w:cs="Arial" w:eastAsia="Arial" w:hAnsi="Arial"/>
                <w:sz w:val="16"/>
                <w:szCs w:val="16"/>
                <w:b w:val="1"/>
                <w:bCs w:val="1"/>
                <w:color w:val="auto"/>
              </w:rPr>
              <w:t>equity awards (per unit)</w:t>
            </w:r>
          </w:p>
        </w:tc>
        <w:tc>
          <w:tcPr>
            <w:tcW w:w="0" w:type="dxa"/>
            <w:vAlign w:val="bottom"/>
          </w:tcPr>
          <w:p>
            <w:pPr>
              <w:spacing w:after="0"/>
              <w:rPr>
                <w:sz w:val="1"/>
                <w:szCs w:val="1"/>
                <w:color w:val="auto"/>
              </w:rPr>
            </w:pPr>
          </w:p>
        </w:tc>
      </w:tr>
      <w:tr>
        <w:trPr>
          <w:trHeight w:val="226"/>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1,141,679</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$181.91</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278,578</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$249.74</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75,977</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$295.81</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tcPr>
          <w:p>
            <w:pPr>
              <w:jc w:val="right"/>
              <w:spacing w:after="0"/>
              <w:rPr>
                <w:sz w:val="20"/>
                <w:szCs w:val="20"/>
                <w:color w:val="auto"/>
              </w:rPr>
            </w:pPr>
            <w:r>
              <w:rPr>
                <w:rFonts w:ascii="Arial" w:cs="Arial" w:eastAsia="Arial" w:hAnsi="Arial"/>
                <w:sz w:val="18"/>
                <w:szCs w:val="18"/>
                <w:color w:val="auto"/>
              </w:rPr>
              <w:t>(404,264)</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$171.93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Outstanding as of April 2, 2023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1,085,967</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$210.94</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Three Months Ended</w:t>
            </w: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2, 2023</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w w:val="95"/>
              </w:rPr>
              <w:t>April 3, 2022</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granted</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278,578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285,563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Weighted-average fair value at date of grant</w:t>
            </w:r>
          </w:p>
        </w:tc>
        <w:tc>
          <w:tcPr>
            <w:tcW w:w="1660" w:type="dxa"/>
            <w:vAlign w:val="bottom"/>
            <w:vMerge w:val="restart"/>
          </w:tcPr>
          <w:p>
            <w:pPr>
              <w:jc w:val="right"/>
              <w:ind w:right="1453"/>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249.74</w:t>
            </w:r>
          </w:p>
        </w:tc>
        <w:tc>
          <w:tcPr>
            <w:tcW w:w="120" w:type="dxa"/>
            <w:vAlign w:val="bottom"/>
          </w:tcPr>
          <w:p>
            <w:pPr>
              <w:spacing w:after="0"/>
              <w:rPr>
                <w:sz w:val="20"/>
                <w:szCs w:val="20"/>
                <w:color w:val="auto"/>
              </w:rPr>
            </w:pPr>
          </w:p>
        </w:tc>
        <w:tc>
          <w:tcPr>
            <w:tcW w:w="720" w:type="dxa"/>
            <w:vAlign w:val="bottom"/>
            <w:vMerge w:val="restart"/>
          </w:tcPr>
          <w:p>
            <w:pPr>
              <w:jc w:val="right"/>
              <w:ind w:right="530"/>
              <w:spacing w:after="0"/>
              <w:rPr>
                <w:sz w:val="20"/>
                <w:szCs w:val="20"/>
                <w:color w:val="auto"/>
              </w:rPr>
            </w:pPr>
            <w:r>
              <w:rPr>
                <w:rFonts w:ascii="Arial" w:cs="Arial" w:eastAsia="Arial" w:hAnsi="Arial"/>
                <w:sz w:val="18"/>
                <w:szCs w:val="18"/>
                <w:color w:val="auto"/>
                <w:w w:val="79"/>
              </w:rPr>
              <w:t>$</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210.42</w:t>
            </w:r>
          </w:p>
        </w:tc>
        <w:tc>
          <w:tcPr>
            <w:tcW w:w="0" w:type="dxa"/>
            <w:vAlign w:val="bottom"/>
          </w:tcPr>
          <w:p>
            <w:pPr>
              <w:spacing w:after="0"/>
              <w:rPr>
                <w:sz w:val="1"/>
                <w:szCs w:val="1"/>
                <w:color w:val="auto"/>
              </w:rPr>
            </w:pPr>
          </w:p>
        </w:tc>
      </w:tr>
      <w:tr>
        <w:trPr>
          <w:trHeight w:val="94"/>
        </w:trPr>
        <w:tc>
          <w:tcPr>
            <w:tcW w:w="636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Monte Carlo simulation assumptions:</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1660" w:type="dxa"/>
            <w:vAlign w:val="bottom"/>
          </w:tcPr>
          <w:p>
            <w:pPr>
              <w:jc w:val="right"/>
              <w:ind w:right="145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118.90</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$97,304 and $97,803 for the periods ended April 2, 2023 and April 3, 2022, respectively.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270,694 units as of April 2, 2023.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571500</wp:posOffset>
            </wp:positionV>
            <wp:extent cx="19685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81"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The Company reports its operations through three reportable segments: (i) North America Confectionery, (ii) North America Salty Snacks and (iii) International. This organizational structure aligns with how our Chief Operating Decision Maker (“CODM”) manages our business, including resource allocation and performance assessment, and further aligns with our product categories and the key markets we serve.</w:t>
      </w:r>
    </w:p>
    <w:p>
      <w:pPr>
        <w:spacing w:after="0" w:line="106" w:lineRule="exact"/>
        <w:rPr>
          <w:sz w:val="20"/>
          <w:szCs w:val="20"/>
          <w:color w:val="auto"/>
        </w:rPr>
      </w:pPr>
    </w:p>
    <w:p>
      <w:pPr>
        <w:ind w:left="660" w:right="100" w:hanging="328"/>
        <w:spacing w:after="0" w:line="280" w:lineRule="auto"/>
        <w:tabs>
          <w:tab w:leader="none" w:pos="655"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North America Confectionery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segment is responsible for our traditional chocolate and non-chocolate confectionery market position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14" w:lineRule="exact"/>
        <w:rPr>
          <w:rFonts w:ascii="Arial" w:cs="Arial" w:eastAsia="Arial" w:hAnsi="Arial"/>
          <w:sz w:val="16"/>
          <w:szCs w:val="16"/>
          <w:b w:val="1"/>
          <w:bCs w:val="1"/>
          <w:i w:val="1"/>
          <w:iCs w:val="1"/>
          <w:color w:val="auto"/>
        </w:rPr>
      </w:pPr>
    </w:p>
    <w:p>
      <w:pPr>
        <w:ind w:left="660" w:right="580" w:hanging="328"/>
        <w:spacing w:after="0" w:line="282"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Salty Snacks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salty snacking products in the United States. This includes ready-to-eat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popcorn, baked and trans fat free snacks, pretzels and other snacks.</w:t>
      </w:r>
    </w:p>
    <w:p>
      <w:pPr>
        <w:spacing w:after="0" w:line="107" w:lineRule="exact"/>
        <w:rPr>
          <w:rFonts w:ascii="Arial" w:cs="Arial" w:eastAsia="Arial" w:hAnsi="Arial"/>
          <w:sz w:val="18"/>
          <w:szCs w:val="18"/>
          <w:b w:val="1"/>
          <w:bCs w:val="1"/>
          <w:i w:val="1"/>
          <w:iCs w:val="1"/>
          <w:color w:val="auto"/>
        </w:rPr>
      </w:pPr>
    </w:p>
    <w:p>
      <w:pPr>
        <w:ind w:left="660" w:right="140" w:hanging="328"/>
        <w:spacing w:after="0" w:line="261"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is a combination of all other operating segments that are not individually material, including those geographic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5</w:t>
      </w:r>
      <w:r>
        <w:rPr>
          <w:rFonts w:ascii="Arial" w:cs="Arial" w:eastAsia="Arial" w:hAnsi="Arial"/>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2, 2023</w:t>
            </w:r>
          </w:p>
        </w:tc>
        <w:tc>
          <w:tcPr>
            <w:tcW w:w="300" w:type="dxa"/>
            <w:vAlign w:val="bottom"/>
          </w:tcPr>
          <w:p>
            <w:pPr>
              <w:spacing w:after="0"/>
              <w:rPr>
                <w:sz w:val="18"/>
                <w:szCs w:val="18"/>
                <w:color w:val="auto"/>
              </w:rPr>
            </w:pPr>
          </w:p>
        </w:tc>
        <w:tc>
          <w:tcPr>
            <w:tcW w:w="1580" w:type="dxa"/>
            <w:vAlign w:val="bottom"/>
          </w:tcPr>
          <w:p>
            <w:pPr>
              <w:jc w:val="right"/>
              <w:ind w:right="411"/>
              <w:spacing w:after="0"/>
              <w:rPr>
                <w:sz w:val="20"/>
                <w:szCs w:val="20"/>
                <w:color w:val="auto"/>
              </w:rPr>
            </w:pPr>
            <w:r>
              <w:rPr>
                <w:rFonts w:ascii="Arial" w:cs="Arial" w:eastAsia="Arial" w:hAnsi="Arial"/>
                <w:sz w:val="16"/>
                <w:szCs w:val="16"/>
                <w:b w:val="1"/>
                <w:bCs w:val="1"/>
                <w:color w:val="auto"/>
              </w:rPr>
              <w:t>April 3, 2022</w:t>
            </w:r>
          </w:p>
        </w:tc>
      </w:tr>
      <w:tr>
        <w:trPr>
          <w:trHeight w:val="212"/>
        </w:trPr>
        <w:tc>
          <w:tcPr>
            <w:tcW w:w="7360" w:type="dxa"/>
            <w:vAlign w:val="bottom"/>
            <w:tcBorders>
              <w:top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7360" w:type="dxa"/>
            <w:vAlign w:val="bottom"/>
            <w:gridSpan w:val="7"/>
          </w:tcPr>
          <w:p>
            <w:pPr>
              <w:ind w:left="180"/>
              <w:spacing w:after="0"/>
              <w:rPr>
                <w:sz w:val="20"/>
                <w:szCs w:val="20"/>
                <w:color w:val="auto"/>
              </w:rPr>
            </w:pPr>
            <w:r>
              <w:rPr>
                <w:rFonts w:ascii="Arial" w:cs="Arial" w:eastAsia="Arial" w:hAnsi="Arial"/>
                <w:sz w:val="18"/>
                <w:szCs w:val="18"/>
                <w:color w:val="auto"/>
              </w:rPr>
              <w:t>North America Confectionery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2,452,165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2,217,044</w:t>
            </w:r>
          </w:p>
        </w:tc>
      </w:tr>
      <w:tr>
        <w:trPr>
          <w:trHeight w:val="229"/>
        </w:trPr>
        <w:tc>
          <w:tcPr>
            <w:tcW w:w="73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North America Salty Snacks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226,122</w:t>
            </w:r>
          </w:p>
        </w:tc>
      </w:tr>
      <w:tr>
        <w:trPr>
          <w:trHeight w:val="230"/>
        </w:trPr>
        <w:tc>
          <w:tcPr>
            <w:tcW w:w="7360" w:type="dxa"/>
            <w:vAlign w:val="bottom"/>
            <w:tcBorders>
              <w:bottom w:val="single" w:sz="8" w:color="CCEEFF"/>
            </w:tcBorders>
            <w:gridSpan w:val="7"/>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223,055</w:t>
            </w:r>
          </w:p>
        </w:tc>
      </w:tr>
      <w:tr>
        <w:trPr>
          <w:trHeight w:val="248"/>
        </w:trPr>
        <w:tc>
          <w:tcPr>
            <w:tcW w:w="73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2,666,221</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9"/>
        </w:trPr>
        <w:tc>
          <w:tcPr>
            <w:tcW w:w="73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360" w:type="dxa"/>
            <w:vAlign w:val="bottom"/>
            <w:gridSpan w:val="7"/>
          </w:tcPr>
          <w:p>
            <w:pPr>
              <w:ind w:left="180"/>
              <w:spacing w:after="0"/>
              <w:rPr>
                <w:sz w:val="20"/>
                <w:szCs w:val="20"/>
                <w:color w:val="auto"/>
              </w:rPr>
            </w:pPr>
            <w:r>
              <w:rPr>
                <w:rFonts w:ascii="Arial" w:cs="Arial" w:eastAsia="Arial" w:hAnsi="Arial"/>
                <w:sz w:val="18"/>
                <w:szCs w:val="18"/>
                <w:color w:val="auto"/>
              </w:rPr>
              <w:t>North America Confectionery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887,750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781,885</w:t>
            </w:r>
          </w:p>
        </w:tc>
      </w:tr>
      <w:tr>
        <w:trPr>
          <w:trHeight w:val="230"/>
        </w:trPr>
        <w:tc>
          <w:tcPr>
            <w:tcW w:w="73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North America Salty Snacks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w:t>
            </w:r>
          </w:p>
        </w:tc>
      </w:tr>
      <w:tr>
        <w:trPr>
          <w:trHeight w:val="229"/>
        </w:trPr>
        <w:tc>
          <w:tcPr>
            <w:tcW w:w="7360" w:type="dxa"/>
            <w:vAlign w:val="bottom"/>
            <w:tcBorders>
              <w:bottom w:val="single" w:sz="8" w:color="CCEEFF"/>
            </w:tcBorders>
            <w:gridSpan w:val="7"/>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41,979</w:t>
            </w:r>
          </w:p>
        </w:tc>
      </w:tr>
      <w:tr>
        <w:trPr>
          <w:trHeight w:val="223"/>
        </w:trPr>
        <w:tc>
          <w:tcPr>
            <w:tcW w:w="73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845,165</w:t>
            </w:r>
          </w:p>
        </w:tc>
      </w:tr>
      <w:tr>
        <w:trPr>
          <w:trHeight w:val="229"/>
        </w:trPr>
        <w:tc>
          <w:tcPr>
            <w:tcW w:w="7360" w:type="dxa"/>
            <w:vAlign w:val="bottom"/>
            <w:gridSpan w:val="7"/>
          </w:tcPr>
          <w:p>
            <w:pPr>
              <w:ind w:left="20"/>
              <w:spacing w:after="0"/>
              <w:rPr>
                <w:sz w:val="20"/>
                <w:szCs w:val="20"/>
                <w:color w:val="auto"/>
              </w:rPr>
            </w:pPr>
            <w:r>
              <w:rPr>
                <w:rFonts w:ascii="Arial" w:cs="Arial" w:eastAsia="Arial" w:hAnsi="Arial"/>
                <w:sz w:val="18"/>
                <w:szCs w:val="18"/>
                <w:color w:val="auto"/>
              </w:rPr>
              <w:t>Unallocated corporate expense (1)</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177,074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150,273</w:t>
            </w:r>
          </w:p>
        </w:tc>
      </w:tr>
      <w:tr>
        <w:trPr>
          <w:trHeight w:val="229"/>
        </w:trPr>
        <w:tc>
          <w:tcPr>
            <w:tcW w:w="73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Unallocated mark-to-market losses (gains) on commodity derivatives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(27,379)</w:t>
            </w:r>
          </w:p>
        </w:tc>
      </w:tr>
      <w:tr>
        <w:trPr>
          <w:trHeight w:val="189"/>
        </w:trPr>
        <w:tc>
          <w:tcPr>
            <w:tcW w:w="7360" w:type="dxa"/>
            <w:vAlign w:val="bottom"/>
            <w:gridSpan w:val="7"/>
          </w:tcPr>
          <w:p>
            <w:pPr>
              <w:ind w:left="20"/>
              <w:spacing w:after="0" w:line="189" w:lineRule="exact"/>
              <w:rPr>
                <w:sz w:val="20"/>
                <w:szCs w:val="20"/>
                <w:color w:val="auto"/>
              </w:rPr>
            </w:pPr>
            <w:r>
              <w:rPr>
                <w:rFonts w:ascii="Arial" w:cs="Arial" w:eastAsia="Arial" w:hAnsi="Arial"/>
                <w:sz w:val="18"/>
                <w:szCs w:val="18"/>
                <w:color w:val="auto"/>
              </w:rPr>
              <w:t xml:space="preserve">Costs associated with business realignment activities (see </w:t>
            </w:r>
            <w:r>
              <w:rPr>
                <w:rFonts w:ascii="Arial" w:cs="Arial" w:eastAsia="Arial" w:hAnsi="Arial"/>
                <w:sz w:val="18"/>
                <w:szCs w:val="18"/>
                <w:color w:val="0000FF"/>
              </w:rPr>
              <w:t>Note 9</w:t>
            </w: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Arial" w:cs="Arial" w:eastAsia="Arial" w:hAnsi="Arial"/>
                <w:sz w:val="18"/>
                <w:szCs w:val="18"/>
                <w:color w:val="auto"/>
              </w:rPr>
              <w:t>2,349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1,281</w:t>
            </w:r>
          </w:p>
        </w:tc>
      </w:tr>
      <w:tr>
        <w:trPr>
          <w:trHeight w:val="21"/>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0000FF"/>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73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720,990</w:t>
            </w:r>
          </w:p>
        </w:tc>
      </w:tr>
      <w:tr>
        <w:trPr>
          <w:trHeight w:val="189"/>
        </w:trPr>
        <w:tc>
          <w:tcPr>
            <w:tcW w:w="7360" w:type="dxa"/>
            <w:vAlign w:val="bottom"/>
            <w:gridSpan w:val="7"/>
          </w:tcPr>
          <w:p>
            <w:pPr>
              <w:ind w:left="20"/>
              <w:spacing w:after="0" w:line="189" w:lineRule="exact"/>
              <w:rPr>
                <w:sz w:val="20"/>
                <w:szCs w:val="20"/>
                <w:color w:val="auto"/>
              </w:rPr>
            </w:pPr>
            <w:r>
              <w:rPr>
                <w:rFonts w:ascii="Arial" w:cs="Arial" w:eastAsia="Arial" w:hAnsi="Arial"/>
                <w:sz w:val="18"/>
                <w:szCs w:val="18"/>
                <w:color w:val="auto"/>
              </w:rPr>
              <w:t xml:space="preserve">Interest expense, net (see </w:t>
            </w:r>
            <w:r>
              <w:rPr>
                <w:rFonts w:ascii="Arial" w:cs="Arial" w:eastAsia="Arial" w:hAnsi="Arial"/>
                <w:sz w:val="18"/>
                <w:szCs w:val="18"/>
                <w:color w:val="0000FF"/>
              </w:rPr>
              <w:t>Note 4</w:t>
            </w: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Arial" w:cs="Arial" w:eastAsia="Arial" w:hAnsi="Arial"/>
                <w:sz w:val="18"/>
                <w:szCs w:val="18"/>
                <w:color w:val="auto"/>
              </w:rPr>
              <w:t>37,685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33,179</w:t>
            </w:r>
          </w:p>
        </w:tc>
      </w:tr>
      <w:tr>
        <w:trPr>
          <w:trHeight w:val="21"/>
        </w:trPr>
        <w:tc>
          <w:tcPr>
            <w:tcW w:w="18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9"/>
        </w:trPr>
        <w:tc>
          <w:tcPr>
            <w:tcW w:w="7360" w:type="dxa"/>
            <w:vAlign w:val="bottom"/>
            <w:gridSpan w:val="7"/>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Other (income) expense, net (see </w:t>
            </w:r>
            <w:r>
              <w:rPr>
                <w:rFonts w:ascii="Arial" w:cs="Arial" w:eastAsia="Arial" w:hAnsi="Arial"/>
                <w:sz w:val="18"/>
                <w:szCs w:val="18"/>
                <w:color w:val="0000FF"/>
              </w:rPr>
              <w:t>Note 17</w:t>
            </w: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10,407</w:t>
            </w:r>
          </w:p>
        </w:tc>
      </w:tr>
      <w:tr>
        <w:trPr>
          <w:trHeight w:val="223"/>
        </w:trPr>
        <w:tc>
          <w:tcPr>
            <w:tcW w:w="244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580" w:type="dxa"/>
            <w:vAlign w:val="bottom"/>
            <w:tcBorders>
              <w:top w:val="single" w:sz="8" w:color="0000FF"/>
            </w:tcBorders>
          </w:tcPr>
          <w:p>
            <w:pPr>
              <w:spacing w:after="0"/>
              <w:rPr>
                <w:sz w:val="19"/>
                <w:szCs w:val="19"/>
                <w:color w:val="auto"/>
              </w:rPr>
            </w:pPr>
          </w:p>
        </w:tc>
        <w:tc>
          <w:tcPr>
            <w:tcW w:w="434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759,256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677,404</w:t>
            </w:r>
          </w:p>
        </w:tc>
      </w:tr>
      <w:tr>
        <w:trPr>
          <w:trHeight w:val="20"/>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right="160" w:hanging="332"/>
        <w:spacing w:after="0" w:line="259"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adjustment for commodity derivatives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2, 2023</w:t>
            </w:r>
          </w:p>
        </w:tc>
        <w:tc>
          <w:tcPr>
            <w:tcW w:w="32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6"/>
                <w:szCs w:val="16"/>
                <w:b w:val="1"/>
                <w:bCs w:val="1"/>
                <w:color w:val="auto"/>
              </w:rPr>
              <w:t>April 3, 2022</w:t>
            </w:r>
          </w:p>
        </w:tc>
        <w:tc>
          <w:tcPr>
            <w:tcW w:w="0" w:type="dxa"/>
            <w:vAlign w:val="bottom"/>
          </w:tcPr>
          <w:p>
            <w:pPr>
              <w:spacing w:after="0"/>
              <w:rPr>
                <w:sz w:val="1"/>
                <w:szCs w:val="1"/>
                <w:color w:val="auto"/>
              </w:rPr>
            </w:pPr>
          </w:p>
        </w:tc>
      </w:tr>
      <w:tr>
        <w:trPr>
          <w:trHeight w:val="158"/>
        </w:trPr>
        <w:tc>
          <w:tcPr>
            <w:tcW w:w="73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6"/>
              </w:rPr>
              <w:t>Net losses (gains) on mark-to-market valuation of commodity derivative positions recognized in</w:t>
            </w:r>
          </w:p>
        </w:tc>
        <w:tc>
          <w:tcPr>
            <w:tcW w:w="30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center"/>
              <w:ind w:left="832"/>
              <w:spacing w:after="0"/>
              <w:rPr>
                <w:sz w:val="20"/>
                <w:szCs w:val="20"/>
                <w:color w:val="auto"/>
              </w:rPr>
            </w:pPr>
            <w:r>
              <w:rPr>
                <w:rFonts w:ascii="Arial" w:cs="Arial" w:eastAsia="Arial" w:hAnsi="Arial"/>
                <w:sz w:val="18"/>
                <w:szCs w:val="18"/>
                <w:color w:val="auto"/>
                <w:w w:val="92"/>
              </w:rPr>
              <w:t>(50,825)</w:t>
            </w:r>
          </w:p>
        </w:tc>
        <w:tc>
          <w:tcPr>
            <w:tcW w:w="0" w:type="dxa"/>
            <w:vAlign w:val="bottom"/>
          </w:tcPr>
          <w:p>
            <w:pPr>
              <w:spacing w:after="0"/>
              <w:rPr>
                <w:sz w:val="1"/>
                <w:szCs w:val="1"/>
                <w:color w:val="auto"/>
              </w:rPr>
            </w:pPr>
          </w:p>
        </w:tc>
      </w:tr>
      <w:tr>
        <w:trPr>
          <w:trHeight w:val="175"/>
        </w:trPr>
        <w:tc>
          <w:tcPr>
            <w:tcW w:w="7360" w:type="dxa"/>
            <w:vAlign w:val="bottom"/>
          </w:tcPr>
          <w:p>
            <w:pPr>
              <w:ind w:left="20"/>
              <w:spacing w:after="0" w:line="176" w:lineRule="exact"/>
              <w:rPr>
                <w:sz w:val="20"/>
                <w:szCs w:val="20"/>
                <w:color w:val="auto"/>
              </w:rPr>
            </w:pPr>
            <w:r>
              <w:rPr>
                <w:rFonts w:ascii="Arial" w:cs="Arial" w:eastAsia="Arial" w:hAnsi="Arial"/>
                <w:sz w:val="18"/>
                <w:szCs w:val="18"/>
                <w:color w:val="auto"/>
                <w:w w:val="98"/>
              </w:rPr>
              <w:t>Net (losses) gains on commodity derivative positions reclassified from unallocated to segment</w:t>
            </w: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w:t>
            </w: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left="852"/>
              <w:spacing w:after="0"/>
              <w:rPr>
                <w:sz w:val="20"/>
                <w:szCs w:val="20"/>
                <w:color w:val="auto"/>
              </w:rPr>
            </w:pPr>
            <w:r>
              <w:rPr>
                <w:rFonts w:ascii="Arial" w:cs="Arial" w:eastAsia="Arial" w:hAnsi="Arial"/>
                <w:sz w:val="18"/>
                <w:szCs w:val="18"/>
                <w:color w:val="auto"/>
                <w:w w:val="87"/>
              </w:rPr>
              <w:t>23,446</w:t>
            </w:r>
          </w:p>
        </w:tc>
        <w:tc>
          <w:tcPr>
            <w:tcW w:w="0" w:type="dxa"/>
            <w:vAlign w:val="bottom"/>
          </w:tcPr>
          <w:p>
            <w:pPr>
              <w:spacing w:after="0"/>
              <w:rPr>
                <w:sz w:val="1"/>
                <w:szCs w:val="1"/>
                <w:color w:val="auto"/>
              </w:rPr>
            </w:pPr>
          </w:p>
        </w:tc>
      </w:tr>
      <w:tr>
        <w:trPr>
          <w:trHeight w:val="156"/>
        </w:trPr>
        <w:tc>
          <w:tcPr>
            <w:tcW w:w="7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Net losses (gains) on mark-to-market valuation of commodity derivative positions recognized in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center"/>
              <w:ind w:left="832"/>
              <w:spacing w:after="0"/>
              <w:rPr>
                <w:sz w:val="20"/>
                <w:szCs w:val="20"/>
                <w:color w:val="auto"/>
              </w:rPr>
            </w:pPr>
            <w:r>
              <w:rPr>
                <w:rFonts w:ascii="Arial" w:cs="Arial" w:eastAsia="Arial" w:hAnsi="Arial"/>
                <w:sz w:val="18"/>
                <w:szCs w:val="18"/>
                <w:color w:val="auto"/>
                <w:w w:val="92"/>
              </w:rPr>
              <w:t>(27,379)</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derivative (gains) losses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As of April 2, 2023, the cumulative amount of mark-to-market gains on commodity derivatives that have been recognized in our consolidated cost of sales and not yet allocated to reportable segments was $1,511. Based on our forecasts of the timing of the recognition of the underlying hedged items, we expect to reclassify net pre-tax gains on commodity derivatives of $14,874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465455</wp:posOffset>
            </wp:positionV>
            <wp:extent cx="1968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5"/>
          </w:tcPr>
          <w:p>
            <w:pPr>
              <w:jc w:val="center"/>
              <w:ind w:right="212"/>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April 2, 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April 3, 2022</w:t>
            </w:r>
          </w:p>
        </w:tc>
        <w:tc>
          <w:tcPr>
            <w:tcW w:w="0" w:type="dxa"/>
            <w:vAlign w:val="bottom"/>
          </w:tcPr>
          <w:p>
            <w:pPr>
              <w:spacing w:after="0"/>
              <w:rPr>
                <w:sz w:val="1"/>
                <w:szCs w:val="1"/>
                <w:color w:val="auto"/>
              </w:rPr>
            </w:pPr>
          </w:p>
        </w:tc>
      </w:tr>
      <w:tr>
        <w:trPr>
          <w:trHeight w:val="226"/>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America Confectionery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55,908</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North America Salty Snacks</w:t>
            </w:r>
          </w:p>
        </w:tc>
        <w:tc>
          <w:tcPr>
            <w:tcW w:w="30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17,580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16,679</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17,839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12,789</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4"/>
              </w:rPr>
              <w:t>Additional information regarding our net sales disaggregated by geographical region is as follows: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3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jc w:val="center"/>
              <w:ind w:right="212"/>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April 2, 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April 3, 2022</w:t>
            </w:r>
          </w:p>
        </w:tc>
        <w:tc>
          <w:tcPr>
            <w:tcW w:w="0" w:type="dxa"/>
            <w:vAlign w:val="bottom"/>
          </w:tcPr>
          <w:p>
            <w:pPr>
              <w:spacing w:after="0"/>
              <w:rPr>
                <w:sz w:val="1"/>
                <w:szCs w:val="1"/>
                <w:color w:val="auto"/>
              </w:rPr>
            </w:pPr>
          </w:p>
        </w:tc>
      </w:tr>
      <w:tr>
        <w:trPr>
          <w:trHeight w:val="212"/>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2,617,923</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2,340,646</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All other countries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369,691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325,575</w:t>
            </w:r>
          </w:p>
        </w:tc>
        <w:tc>
          <w:tcPr>
            <w:tcW w:w="0" w:type="dxa"/>
            <w:vAlign w:val="bottom"/>
          </w:tcPr>
          <w:p>
            <w:pPr>
              <w:spacing w:after="0"/>
              <w:rPr>
                <w:sz w:val="1"/>
                <w:szCs w:val="1"/>
                <w:color w:val="auto"/>
              </w:rPr>
            </w:pP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2,987,614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2,666,221</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14. TREASURY STOCK ACTIVITY</w:t>
            </w: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3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60" w:type="dxa"/>
            <w:vAlign w:val="bottom"/>
            <w:gridSpan w:val="2"/>
          </w:tcPr>
          <w:p>
            <w:pPr>
              <w:spacing w:after="0"/>
              <w:rPr>
                <w:sz w:val="20"/>
                <w:szCs w:val="20"/>
                <w:color w:val="auto"/>
              </w:rPr>
            </w:pPr>
            <w:r>
              <w:rPr>
                <w:rFonts w:ascii="Arial" w:cs="Arial" w:eastAsia="Arial" w:hAnsi="Arial"/>
                <w:sz w:val="18"/>
                <w:szCs w:val="18"/>
                <w:color w:val="auto"/>
              </w:rPr>
              <w:t>A summary of our treasury stock activity is as follows:</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5"/>
          </w:tcPr>
          <w:p>
            <w:pPr>
              <w:jc w:val="right"/>
              <w:ind w:right="113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April 2, 2023</w:t>
            </w: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ind w:right="632"/>
              <w:spacing w:after="0"/>
              <w:rPr>
                <w:sz w:val="20"/>
                <w:szCs w:val="20"/>
                <w:color w:val="auto"/>
              </w:rPr>
            </w:pPr>
            <w:r>
              <w:rPr>
                <w:rFonts w:ascii="Arial" w:cs="Arial" w:eastAsia="Arial" w:hAnsi="Arial"/>
                <w:sz w:val="18"/>
                <w:szCs w:val="18"/>
                <w:b w:val="1"/>
                <w:bCs w:val="1"/>
                <w:color w:val="auto"/>
              </w:rPr>
              <w:t>Dollars</w:t>
            </w:r>
          </w:p>
        </w:tc>
        <w:tc>
          <w:tcPr>
            <w:tcW w:w="0" w:type="dxa"/>
            <w:vAlign w:val="bottom"/>
          </w:tcPr>
          <w:p>
            <w:pPr>
              <w:spacing w:after="0"/>
              <w:rPr>
                <w:sz w:val="1"/>
                <w:szCs w:val="1"/>
                <w:color w:val="auto"/>
              </w:rPr>
            </w:pPr>
          </w:p>
        </w:tc>
      </w:tr>
      <w:tr>
        <w:trPr>
          <w:trHeight w:val="207"/>
        </w:trPr>
        <w:tc>
          <w:tcPr>
            <w:tcW w:w="7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92"/>
              </w:rPr>
              <w:t>In thousands</w:t>
            </w:r>
          </w:p>
        </w:tc>
        <w:tc>
          <w:tcPr>
            <w:tcW w:w="0" w:type="dxa"/>
            <w:vAlign w:val="bottom"/>
          </w:tcPr>
          <w:p>
            <w:pPr>
              <w:spacing w:after="0"/>
              <w:rPr>
                <w:sz w:val="1"/>
                <w:szCs w:val="1"/>
                <w:color w:val="auto"/>
              </w:rPr>
            </w:pPr>
          </w:p>
        </w:tc>
      </w:tr>
      <w:tr>
        <w:trPr>
          <w:trHeight w:val="232"/>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Milton Hershey School Trust repurchase</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center"/>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239,910</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Shares issued for stock options and incentive compensation</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(408,873)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(17,013)</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share repurchases</w:t>
            </w:r>
          </w:p>
        </w:tc>
        <w:tc>
          <w:tcPr>
            <w:tcW w:w="2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591,127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222,897</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Excise tax associated with net share repurchases (1)</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4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591,127</w:t>
            </w: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center"/>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560" w:hanging="330"/>
        <w:spacing w:after="0" w:line="277" w:lineRule="auto"/>
        <w:tabs>
          <w:tab w:leader="none" w:pos="4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corresponding liability for excise tax associated with net share repurchases is classified on our Consolidated Balance Sheets within accrued liabilities.</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School Trust at a price equal to $239.91 per share, for a total purchase price of $239,910.</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February 2022, the Company entered into a Stock Purchase Agreement with Hershey Trust Company, as trustee for the School Trust, pursuant to which the Company purchased 1,000,000 shares of the Company’s Common Stock from the School Trust at a price equal to $203.35 per share, for a total purchase price of $203,350.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2018, our Board of Directors approved a $500 million share repurchase authorization to repurchase shares of our Common Stock. In May 2021, our Board of Directors approved an additional $500 million share repurchase authorization. As a result of the February 2023 Stock Purchase Agreement with Hershey Trust Company, as trustee for the School Trust, the July 2018 share repurchase authorization was completed and as of April 2, 2023, approximately $370 million remains available for repurchases under our May 2021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480060</wp:posOffset>
            </wp:positionV>
            <wp:extent cx="1968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5"/>
          </w:tcPr>
          <w:p>
            <w:pPr>
              <w:ind w:left="400"/>
              <w:spacing w:after="0"/>
              <w:rPr>
                <w:sz w:val="20"/>
                <w:szCs w:val="20"/>
                <w:color w:val="auto"/>
              </w:rPr>
            </w:pPr>
            <w:r>
              <w:rPr>
                <w:rFonts w:ascii="Arial" w:cs="Arial" w:eastAsia="Arial" w:hAnsi="Arial"/>
                <w:sz w:val="16"/>
                <w:szCs w:val="16"/>
                <w:b w:val="1"/>
                <w:bCs w:val="1"/>
                <w:color w:val="auto"/>
              </w:rPr>
              <w:t>April 2, 2023</w:t>
            </w:r>
          </w:p>
        </w:tc>
        <w:tc>
          <w:tcPr>
            <w:tcW w:w="300" w:type="dxa"/>
            <w:vAlign w:val="bottom"/>
          </w:tcPr>
          <w:p>
            <w:pPr>
              <w:spacing w:after="0"/>
              <w:rPr>
                <w:sz w:val="18"/>
                <w:szCs w:val="18"/>
                <w:color w:val="auto"/>
              </w:rPr>
            </w:pPr>
          </w:p>
        </w:tc>
        <w:tc>
          <w:tcPr>
            <w:tcW w:w="20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April 3, 2022</w:t>
            </w: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19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48,824</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98,785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257,226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95,168</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143,992</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59,614</w:t>
            </w:r>
          </w:p>
        </w:tc>
        <w:tc>
          <w:tcPr>
            <w:tcW w:w="0" w:type="dxa"/>
            <w:vAlign w:val="bottom"/>
          </w:tcPr>
          <w:p>
            <w:pPr>
              <w:spacing w:after="0"/>
              <w:rPr>
                <w:sz w:val="1"/>
                <w:szCs w:val="1"/>
                <w:color w:val="auto"/>
              </w:rPr>
            </w:pPr>
          </w:p>
        </w:tc>
      </w:tr>
      <w:tr>
        <w:trPr>
          <w:trHeight w:val="132"/>
        </w:trPr>
        <w:tc>
          <w:tcPr>
            <w:tcW w:w="6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434,599</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152,586</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389,486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143,992</w:t>
            </w:r>
          </w:p>
        </w:tc>
        <w:tc>
          <w:tcPr>
            <w:tcW w:w="0" w:type="dxa"/>
            <w:vAlign w:val="bottom"/>
          </w:tcPr>
          <w:p>
            <w:pPr>
              <w:spacing w:after="0"/>
              <w:rPr>
                <w:sz w:val="1"/>
                <w:szCs w:val="1"/>
                <w:color w:val="auto"/>
              </w:rPr>
            </w:pPr>
          </w:p>
        </w:tc>
      </w:tr>
      <w:tr>
        <w:trPr>
          <w:trHeight w:val="169"/>
        </w:trPr>
        <w:tc>
          <w:tcPr>
            <w:tcW w:w="63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152,586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143,992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587,185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152,105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533,478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143,430</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147,746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57,114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146,464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59,614</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earnings per share calculations for the three months ended April 2, 2023 and April 3, 2022 excluded 8 and 4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256" w:lineRule="exact"/>
        <w:rPr>
          <w:sz w:val="20"/>
          <w:szCs w:val="20"/>
          <w:color w:val="auto"/>
        </w:rPr>
      </w:pPr>
    </w:p>
    <w:p>
      <w:pPr>
        <w:ind w:right="640"/>
        <w:spacing w:after="0" w:line="274"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tbl>
      <w:tblPr>
        <w:tblLayout w:type="fixed"/>
        <w:tblInd w:w="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880" w:type="dxa"/>
            <w:vAlign w:val="bottom"/>
            <w:tcBorders>
              <w:bottom w:val="single" w:sz="8" w:color="auto"/>
            </w:tcBorders>
            <w:gridSpan w:val="5"/>
          </w:tcPr>
          <w:p>
            <w:pPr>
              <w:jc w:val="right"/>
              <w:ind w:right="111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2, 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April 3, 2022</w:t>
            </w:r>
          </w:p>
        </w:tc>
      </w:tr>
      <w:tr>
        <w:trPr>
          <w:trHeight w:val="171"/>
        </w:trPr>
        <w:tc>
          <w:tcPr>
            <w:tcW w:w="7360" w:type="dxa"/>
            <w:vAlign w:val="bottom"/>
            <w:gridSpan w:val="5"/>
            <w:shd w:val="clear" w:color="auto" w:fill="CCEEFF"/>
          </w:tcPr>
          <w:p>
            <w:pPr>
              <w:ind w:left="20"/>
              <w:spacing w:after="0" w:line="171" w:lineRule="exact"/>
              <w:rPr>
                <w:sz w:val="20"/>
                <w:szCs w:val="20"/>
                <w:color w:val="auto"/>
              </w:rPr>
            </w:pPr>
            <w:r>
              <w:rPr>
                <w:rFonts w:ascii="Arial" w:cs="Arial" w:eastAsia="Arial" w:hAnsi="Arial"/>
                <w:sz w:val="18"/>
                <w:szCs w:val="18"/>
                <w:color w:val="auto"/>
                <w:w w:val="95"/>
              </w:rPr>
              <w:t>Write-down of equity investments in partnerships qualifying for historic and renewable energy tax</w:t>
            </w: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90"/>
        </w:trPr>
        <w:tc>
          <w:tcPr>
            <w:tcW w:w="7360" w:type="dxa"/>
            <w:vAlign w:val="bottom"/>
            <w:gridSpan w:val="5"/>
            <w:shd w:val="clear" w:color="auto" w:fill="CCEEFF"/>
          </w:tcPr>
          <w:p>
            <w:pPr>
              <w:ind w:left="20"/>
              <w:spacing w:after="0" w:line="190" w:lineRule="exact"/>
              <w:rPr>
                <w:sz w:val="20"/>
                <w:szCs w:val="20"/>
                <w:color w:val="auto"/>
              </w:rPr>
            </w:pPr>
            <w:r>
              <w:rPr>
                <w:rFonts w:ascii="Arial" w:cs="Arial" w:eastAsia="Arial" w:hAnsi="Arial"/>
                <w:sz w:val="18"/>
                <w:szCs w:val="18"/>
                <w:color w:val="auto"/>
              </w:rPr>
              <w:t xml:space="preserve">credits (see </w:t>
            </w:r>
            <w:r>
              <w:rPr>
                <w:rFonts w:ascii="Arial" w:cs="Arial" w:eastAsia="Arial" w:hAnsi="Arial"/>
                <w:sz w:val="18"/>
                <w:szCs w:val="18"/>
                <w:color w:val="0000FF"/>
              </w:rPr>
              <w:t>Note 8</w:t>
            </w:r>
            <w:r>
              <w:rPr>
                <w:rFonts w:ascii="Arial" w:cs="Arial" w:eastAsia="Arial" w:hAnsi="Arial"/>
                <w:sz w:val="18"/>
                <w:szCs w:val="18"/>
                <w:color w:val="auto"/>
              </w:rPr>
              <w:t>)</w:t>
            </w:r>
          </w:p>
        </w:tc>
        <w:tc>
          <w:tcPr>
            <w:tcW w:w="1400" w:type="dxa"/>
            <w:vAlign w:val="bottom"/>
            <w:shd w:val="clear" w:color="auto" w:fill="CCEEFF"/>
          </w:tcPr>
          <w:p>
            <w:pPr>
              <w:jc w:val="right"/>
              <w:ind w:right="1215"/>
              <w:spacing w:after="0" w:line="190"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line="190"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12,592</w:t>
            </w: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736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Non-service cost components of net periodic benefit cost relating to pension and other post-</w:t>
            </w:r>
          </w:p>
        </w:tc>
        <w:tc>
          <w:tcPr>
            <w:tcW w:w="1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7360" w:type="dxa"/>
            <w:vAlign w:val="bottom"/>
            <w:gridSpan w:val="5"/>
          </w:tcPr>
          <w:p>
            <w:pPr>
              <w:ind w:left="20"/>
              <w:spacing w:after="0" w:line="190" w:lineRule="exact"/>
              <w:rPr>
                <w:sz w:val="20"/>
                <w:szCs w:val="20"/>
                <w:color w:val="auto"/>
              </w:rPr>
            </w:pPr>
            <w:r>
              <w:rPr>
                <w:rFonts w:ascii="Arial" w:cs="Arial" w:eastAsia="Arial" w:hAnsi="Arial"/>
                <w:sz w:val="18"/>
                <w:szCs w:val="18"/>
                <w:color w:val="auto"/>
              </w:rPr>
              <w:t xml:space="preserve">retirement benefit plans (see </w:t>
            </w:r>
            <w:r>
              <w:rPr>
                <w:rFonts w:ascii="Arial" w:cs="Arial" w:eastAsia="Arial" w:hAnsi="Arial"/>
                <w:sz w:val="18"/>
                <w:szCs w:val="18"/>
                <w:color w:val="0000FF"/>
              </w:rPr>
              <w:t>Note 11</w:t>
            </w:r>
            <w:r>
              <w:rPr>
                <w:rFonts w:ascii="Arial" w:cs="Arial" w:eastAsia="Arial" w:hAnsi="Arial"/>
                <w:sz w:val="18"/>
                <w:szCs w:val="18"/>
                <w:color w:val="auto"/>
              </w:rPr>
              <w:t>)</w:t>
            </w:r>
          </w:p>
        </w:tc>
        <w:tc>
          <w:tcPr>
            <w:tcW w:w="1400" w:type="dxa"/>
            <w:vAlign w:val="bottom"/>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w w:val="88"/>
              </w:rPr>
              <w:t>3,211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(2,182)</w:t>
            </w:r>
          </w:p>
        </w:tc>
      </w:tr>
      <w:tr>
        <w:trPr>
          <w:trHeight w:val="21"/>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9"/>
        </w:trPr>
        <w:tc>
          <w:tcPr>
            <w:tcW w:w="73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360" w:type="dxa"/>
            <w:vAlign w:val="bottom"/>
            <w:gridSpan w:val="5"/>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ind w:right="121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w:t>
            </w: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548640</wp:posOffset>
            </wp:positionV>
            <wp:extent cx="1968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18. SUPPLEMENTAL BALANCE SHEET INFORMATION</w:t>
            </w:r>
          </w:p>
        </w:tc>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1"/>
        </w:trPr>
        <w:tc>
          <w:tcPr>
            <w:tcW w:w="8980" w:type="dxa"/>
            <w:vAlign w:val="bottom"/>
            <w:gridSpan w:val="4"/>
          </w:tcPr>
          <w:p>
            <w:pPr>
              <w:spacing w:after="0"/>
              <w:rPr>
                <w:sz w:val="20"/>
                <w:szCs w:val="20"/>
                <w:color w:val="auto"/>
              </w:rPr>
            </w:pPr>
            <w:r>
              <w:rPr>
                <w:rFonts w:ascii="Arial" w:cs="Arial" w:eastAsia="Arial" w:hAnsi="Arial"/>
                <w:sz w:val="18"/>
                <w:szCs w:val="18"/>
                <w:color w:val="auto"/>
              </w:rPr>
              <w:t>The components of certain asset accounts included within our Consolidated Balance Sheets are as follows: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6"/>
        </w:trPr>
        <w:tc>
          <w:tcPr>
            <w:tcW w:w="6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b w:val="1"/>
                <w:bCs w:val="1"/>
                <w:color w:val="auto"/>
              </w:rPr>
              <w:t>April 2, 2023</w:t>
            </w:r>
          </w:p>
        </w:tc>
        <w:tc>
          <w:tcPr>
            <w:tcW w:w="240" w:type="dxa"/>
            <w:vAlign w:val="bottom"/>
          </w:tcPr>
          <w:p>
            <w:pPr>
              <w:spacing w:after="0"/>
              <w:rPr>
                <w:sz w:val="22"/>
                <w:szCs w:val="22"/>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December 31, 2022</w:t>
            </w: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3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Raw materials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417,847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372,612</w:t>
            </w: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Goods in process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137,298</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855,217</w:t>
            </w: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at First In First Out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1,365,127</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Adjustment to Last In First Out</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(192,008)</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1,173,119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Prepaid expenses and other:</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112,492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143,888</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128,307</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Total prepaid expenses and other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272,195</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15"/>
        </w:trPr>
        <w:tc>
          <w:tcPr>
            <w:tcW w:w="6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155,963</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Buildings</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1,546,676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1,545,053</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and equipment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3,592,251</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416,220</w:t>
            </w: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gross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5,821,701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5,709,487</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(2,999,463)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(2,939,785)</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2,769,702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Pension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53,463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53,495</w:t>
            </w: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software, net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320,034</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Operating lease ROU assets</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321,284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326,472</w:t>
            </w: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unconsolidated affiliates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133,029</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111,959</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944,989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411480</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liability and stockholders’ equity accounts included within our Consolidated Balance Sheets are as follows:</w:t>
      </w:r>
    </w:p>
    <w:p>
      <w:pPr>
        <w:spacing w:after="0" w:line="32" w:lineRule="exact"/>
        <w:rPr>
          <w:sz w:val="20"/>
          <w:szCs w:val="20"/>
          <w:color w:val="auto"/>
        </w:rPr>
      </w:pPr>
    </w:p>
    <w:p>
      <w:pPr>
        <w:jc w:val="right"/>
        <w:ind w:right="400"/>
        <w:spacing w:after="0"/>
        <w:tabs>
          <w:tab w:leader="none" w:pos="1440" w:val="left"/>
        </w:tabs>
        <w:rPr>
          <w:sz w:val="20"/>
          <w:szCs w:val="20"/>
          <w:color w:val="auto"/>
        </w:rPr>
      </w:pPr>
      <w:r>
        <w:rPr>
          <w:rFonts w:ascii="Arial" w:cs="Arial" w:eastAsia="Arial" w:hAnsi="Arial"/>
          <w:sz w:val="18"/>
          <w:szCs w:val="18"/>
          <w:b w:val="1"/>
          <w:bCs w:val="1"/>
          <w:color w:val="auto"/>
        </w:rPr>
        <w:t>April 2, 2023</w:t>
      </w:r>
      <w:r>
        <w:rPr>
          <w:sz w:val="20"/>
          <w:szCs w:val="20"/>
          <w:color w:val="auto"/>
        </w:rPr>
        <w:tab/>
      </w:r>
      <w:r>
        <w:rPr>
          <w:rFonts w:ascii="Arial" w:cs="Arial" w:eastAsia="Arial" w:hAnsi="Arial"/>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Accounts payable—trade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Supplier finance program obligations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accounts payable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Payroll, compensation and benefits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Advertising, promotion and product allowances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Total accrued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Post-retirement benefits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Pension benefits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Total other long-term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currency translation adjustments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Pension and post-retirement benefit plans, net of tax</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flow hedges, net of tax</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Total accumulated other comprehensive loss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697,433</w:t>
            </w:r>
          </w:p>
        </w:tc>
        <w:tc>
          <w:tcPr>
            <w:tcW w:w="10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636,472</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120,277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105,293</w:t>
            </w:r>
          </w:p>
        </w:tc>
      </w:tr>
      <w:tr>
        <w:trPr>
          <w:trHeight w:val="230"/>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187,197</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228,793</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1,004,907</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970,558</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3"/>
        </w:trPr>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179,912</w:t>
            </w:r>
          </w:p>
        </w:tc>
        <w:tc>
          <w:tcPr>
            <w:tcW w:w="10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293,865</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374,853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337,024</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32,842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31,787</w:t>
            </w:r>
          </w:p>
        </w:tc>
      </w:tr>
      <w:tr>
        <w:trPr>
          <w:trHeight w:val="230"/>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192,588</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169,842</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780,195</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832,518</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3"/>
        </w:trPr>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143,746</w:t>
            </w:r>
          </w:p>
        </w:tc>
        <w:tc>
          <w:tcPr>
            <w:tcW w:w="10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147,174</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25,776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27,696</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289,351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294,849</w:t>
            </w:r>
          </w:p>
        </w:tc>
      </w:tr>
      <w:tr>
        <w:trPr>
          <w:trHeight w:val="230"/>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253,270</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250,023</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712,143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719,742</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3"/>
        </w:trPr>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(101,424)</w:t>
            </w:r>
          </w:p>
        </w:tc>
        <w:tc>
          <w:tcPr>
            <w:tcW w:w="10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(110,364)</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(115,781)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(118,254)</w:t>
            </w:r>
          </w:p>
        </w:tc>
      </w:tr>
      <w:tr>
        <w:trPr>
          <w:trHeight w:val="230"/>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(20,802)</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(23,715)</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(238,007)</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(252,333)</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-3317240</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-3025140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-2759710</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-2468245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-2176780</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-1859915</wp:posOffset>
            </wp:positionV>
            <wp:extent cx="7132320"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-1619250</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-1327785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-1036955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-770890</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-479425</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-187960</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539750</wp:posOffset>
            </wp:positionV>
            <wp:extent cx="19685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20"/>
          </w:cols>
          <w:pgMar w:left="3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380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339725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32" w:name="page33"/>
    <w:bookmarkEnd w:id="32"/>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2022 Annual Report on Form 10-K for information concerning the key risks to achieving future performance goals.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FF"/>
        </w:rPr>
        <w:t>Overview</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FF"/>
        </w:rPr>
        <w:t>Trends Affecting Our Business</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FF"/>
        </w:rPr>
        <w:t>Consolidated Results of Operations</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FF"/>
        </w:rPr>
        <w:t>Segment Results</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FF"/>
        </w:rPr>
        <w:t>Liquidity and Capital Resources</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FF"/>
        </w:rPr>
        <w:t>Safe Harbor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100 brand names in approximately 80 countries worldwide.</w:t>
      </w:r>
    </w:p>
    <w:p>
      <w:pPr>
        <w:spacing w:after="0" w:line="9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58"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 xml:space="preserve">On April 14, 2023, we entered into a definitive agreement to acquire certain assets that provide additional manufacturing capacity from Weaver Popcorn Manufacturing, Inc., a leader in the production and co-packing of microwave popcorn and ready-to-eat popcorn, and a co-manufacturer of the Company’s </w:t>
      </w:r>
      <w:r>
        <w:rPr>
          <w:rFonts w:ascii="Arial" w:cs="Arial" w:eastAsia="Arial" w:hAnsi="Arial"/>
          <w:sz w:val="16"/>
          <w:szCs w:val="16"/>
          <w:i w:val="1"/>
          <w:iCs w:val="1"/>
          <w:color w:val="auto"/>
        </w:rPr>
        <w:t xml:space="preserve">SkinnyPop </w:t>
      </w:r>
      <w:r>
        <w:rPr>
          <w:rFonts w:ascii="Arial" w:cs="Arial" w:eastAsia="Arial" w:hAnsi="Arial"/>
          <w:sz w:val="16"/>
          <w:szCs w:val="16"/>
          <w:color w:val="auto"/>
        </w:rPr>
        <w:t>brand. Through the transaction, the Company will mainly acquire property, plant and equipment, as well as leased manufacturing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Indiana and Pennsylvania. The purchase consideration totaled approximately $164 million and will be financed with cash on hand and short-term borrowings. The acquisition is subject to customary regulatory approvals and is expected to close during the second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255905</wp:posOffset>
            </wp:positionV>
            <wp:extent cx="19685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Demand for consumer goods has remained strong during the first three months of 2023, with continued positive consumer patterns identified for our products; however, negative macroeconomic conditions, including inflation on inputs to consumer products, labor shortages and demand outpacing supply, have resulted in continued broad-based supply chain disruptions across the U.S. and globally. As a result, we continued to experience corresponding incremental costs and gross margin pressures during the three months ended April 2, 2023 (see </w:t>
      </w:r>
      <w:r>
        <w:rPr>
          <w:rFonts w:ascii="Arial" w:cs="Arial" w:eastAsia="Arial" w:hAnsi="Arial"/>
          <w:sz w:val="18"/>
          <w:szCs w:val="18"/>
          <w:u w:val="single" w:color="auto"/>
          <w:color w:val="0000FF"/>
        </w:rPr>
        <w:t>Results of Operations</w:t>
      </w:r>
      <w:r>
        <w:rPr>
          <w:rFonts w:ascii="Arial" w:cs="Arial" w:eastAsia="Arial" w:hAnsi="Arial"/>
          <w:sz w:val="18"/>
          <w:szCs w:val="18"/>
          <w:color w:val="auto"/>
        </w:rPr>
        <w:t xml:space="preserve"> included in this MD&amp;A). We are continuing to work closely with our business units, contract manufacturers, distributors, contractors and other external business partners to minimize the potential impact on our business.</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broad-based supply chain disruptions, certain geopolitical events, specifically the conflict between Russia and Ukraine, have increased global economic and political uncertainty. For the three months ended April 2, 2023,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Net sales and net income increased during the three months ended April 2, 2023, which was primarily driven by strong everyday performance on our core U.S. confection brands and salty snack brands (see </w:t>
      </w:r>
      <w:r>
        <w:rPr>
          <w:rFonts w:ascii="Arial" w:cs="Arial" w:eastAsia="Arial" w:hAnsi="Arial"/>
          <w:sz w:val="17"/>
          <w:szCs w:val="17"/>
          <w:u w:val="single" w:color="auto"/>
          <w:color w:val="0000FF"/>
        </w:rPr>
        <w:t>Segment Results</w:t>
      </w:r>
      <w:r>
        <w:rPr>
          <w:rFonts w:ascii="Arial" w:cs="Arial" w:eastAsia="Arial" w:hAnsi="Arial"/>
          <w:sz w:val="17"/>
          <w:szCs w:val="17"/>
          <w:color w:val="auto"/>
        </w:rPr>
        <w:t xml:space="preserve"> included in this MD&amp;A), partially offset by the aforementioned supply chain disruptions and gross margin pressures. As of April 2, 2023,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Arial" w:cs="Arial" w:eastAsia="Arial" w:hAnsi="Arial"/>
          <w:sz w:val="17"/>
          <w:szCs w:val="17"/>
          <w:u w:val="single" w:color="auto"/>
          <w:color w:val="0000FF"/>
        </w:rPr>
        <w:t>Liquidity and Capital Resources</w:t>
      </w:r>
      <w:r>
        <w:rPr>
          <w:rFonts w:ascii="Arial" w:cs="Arial" w:eastAsia="Arial" w:hAnsi="Arial"/>
          <w:sz w:val="17"/>
          <w:szCs w:val="17"/>
          <w:color w:val="auto"/>
        </w:rPr>
        <w:t xml:space="preserve"> included in this MD&amp;A).</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length and severity of broad-based supply chain disruptions, fluctuating levels of inflation, changes in consumer shopping and consumption behavior, and the conflict between Russia and Ukraine, we may experience increasing supply chain costs and higher inflation. We will continue to evaluate the nature and extent of these potential and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419100</wp:posOffset>
            </wp:positionV>
            <wp:extent cx="19685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b w:val="1"/>
          <w:bCs w:val="1"/>
          <w:color w:val="auto"/>
        </w:rPr>
        <w:t>CONSOLIDATED RESULTS OF OPERATIONS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26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2, 2023</w:t>
            </w:r>
          </w:p>
        </w:tc>
        <w:tc>
          <w:tcPr>
            <w:tcW w:w="260" w:type="dxa"/>
            <w:vAlign w:val="bottom"/>
          </w:tcPr>
          <w:p>
            <w:pPr>
              <w:spacing w:after="0"/>
              <w:rPr>
                <w:sz w:val="18"/>
                <w:szCs w:val="18"/>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3, 2022</w:t>
            </w:r>
          </w:p>
        </w:tc>
        <w:tc>
          <w:tcPr>
            <w:tcW w:w="100" w:type="dxa"/>
            <w:vAlign w:val="bottom"/>
          </w:tcPr>
          <w:p>
            <w:pPr>
              <w:spacing w:after="0"/>
              <w:rPr>
                <w:sz w:val="18"/>
                <w:szCs w:val="18"/>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0"/>
        </w:trPr>
        <w:tc>
          <w:tcPr>
            <w:tcW w:w="582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2,987.6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2,666.2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Cost of sales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1,605.3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1,420.7</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1,382.3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1,245.5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06"/>
        </w:trPr>
        <w:tc>
          <w:tcPr>
            <w:tcW w:w="5820" w:type="dxa"/>
            <w:vAlign w:val="bottom"/>
          </w:tcPr>
          <w:p>
            <w:pPr>
              <w:ind w:left="180"/>
              <w:spacing w:after="0"/>
              <w:rPr>
                <w:sz w:val="20"/>
                <w:szCs w:val="20"/>
                <w:color w:val="auto"/>
              </w:rPr>
            </w:pPr>
            <w:r>
              <w:rPr>
                <w:rFonts w:ascii="Arial" w:cs="Arial" w:eastAsia="Arial" w:hAnsi="Arial"/>
                <w:sz w:val="16"/>
                <w:szCs w:val="16"/>
                <w:i w:val="1"/>
                <w:iCs w:val="1"/>
                <w:color w:val="auto"/>
              </w:rPr>
              <w:t>Gross margin</w:t>
            </w:r>
          </w:p>
        </w:tc>
        <w:tc>
          <w:tcPr>
            <w:tcW w:w="260" w:type="dxa"/>
            <w:vAlign w:val="bottom"/>
          </w:tcPr>
          <w:p>
            <w:pPr>
              <w:spacing w:after="0"/>
              <w:rPr>
                <w:sz w:val="17"/>
                <w:szCs w:val="17"/>
                <w:color w:val="auto"/>
              </w:rPr>
            </w:pPr>
          </w:p>
        </w:tc>
        <w:tc>
          <w:tcPr>
            <w:tcW w:w="1480" w:type="dxa"/>
            <w:vAlign w:val="bottom"/>
          </w:tcPr>
          <w:p>
            <w:pPr>
              <w:jc w:val="center"/>
              <w:ind w:left="879"/>
              <w:spacing w:after="0"/>
              <w:rPr>
                <w:sz w:val="20"/>
                <w:szCs w:val="20"/>
                <w:color w:val="auto"/>
              </w:rPr>
            </w:pPr>
            <w:r>
              <w:rPr>
                <w:rFonts w:ascii="Arial" w:cs="Arial" w:eastAsia="Arial" w:hAnsi="Arial"/>
                <w:sz w:val="16"/>
                <w:szCs w:val="16"/>
                <w:i w:val="1"/>
                <w:iCs w:val="1"/>
                <w:color w:val="auto"/>
                <w:w w:val="96"/>
              </w:rPr>
              <w:t>46.3 %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left="879"/>
              <w:spacing w:after="0"/>
              <w:rPr>
                <w:sz w:val="20"/>
                <w:szCs w:val="20"/>
                <w:color w:val="auto"/>
              </w:rPr>
            </w:pPr>
            <w:r>
              <w:rPr>
                <w:rFonts w:ascii="Arial" w:cs="Arial" w:eastAsia="Arial" w:hAnsi="Arial"/>
                <w:sz w:val="16"/>
                <w:szCs w:val="16"/>
                <w:i w:val="1"/>
                <w:iCs w:val="1"/>
                <w:color w:val="auto"/>
                <w:w w:val="96"/>
              </w:rPr>
              <w:t>46.7 %</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Selling, marketing &amp; administrative (“SM&amp;A”) expenses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524.2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07"/>
        </w:trPr>
        <w:tc>
          <w:tcPr>
            <w:tcW w:w="5820" w:type="dxa"/>
            <w:vAlign w:val="bottom"/>
          </w:tcPr>
          <w:p>
            <w:pPr>
              <w:ind w:left="180"/>
              <w:spacing w:after="0"/>
              <w:rPr>
                <w:sz w:val="20"/>
                <w:szCs w:val="20"/>
                <w:color w:val="auto"/>
              </w:rPr>
            </w:pPr>
            <w:r>
              <w:rPr>
                <w:rFonts w:ascii="Arial" w:cs="Arial" w:eastAsia="Arial" w:hAnsi="Arial"/>
                <w:sz w:val="16"/>
                <w:szCs w:val="16"/>
                <w:i w:val="1"/>
                <w:iCs w:val="1"/>
                <w:color w:val="auto"/>
              </w:rPr>
              <w:t>SM&amp;A expense as a percent of net sales</w:t>
            </w:r>
          </w:p>
        </w:tc>
        <w:tc>
          <w:tcPr>
            <w:tcW w:w="260" w:type="dxa"/>
            <w:vAlign w:val="bottom"/>
          </w:tcPr>
          <w:p>
            <w:pPr>
              <w:spacing w:after="0"/>
              <w:rPr>
                <w:sz w:val="17"/>
                <w:szCs w:val="17"/>
                <w:color w:val="auto"/>
              </w:rPr>
            </w:pPr>
          </w:p>
        </w:tc>
        <w:tc>
          <w:tcPr>
            <w:tcW w:w="1480" w:type="dxa"/>
            <w:vAlign w:val="bottom"/>
          </w:tcPr>
          <w:p>
            <w:pPr>
              <w:jc w:val="center"/>
              <w:ind w:left="879"/>
              <w:spacing w:after="0"/>
              <w:rPr>
                <w:sz w:val="20"/>
                <w:szCs w:val="20"/>
                <w:color w:val="auto"/>
              </w:rPr>
            </w:pPr>
            <w:r>
              <w:rPr>
                <w:rFonts w:ascii="Arial" w:cs="Arial" w:eastAsia="Arial" w:hAnsi="Arial"/>
                <w:sz w:val="16"/>
                <w:szCs w:val="16"/>
                <w:i w:val="1"/>
                <w:iCs w:val="1"/>
                <w:color w:val="auto"/>
                <w:w w:val="96"/>
              </w:rPr>
              <w:t>19.5 %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left="879"/>
              <w:spacing w:after="0"/>
              <w:rPr>
                <w:sz w:val="20"/>
                <w:szCs w:val="20"/>
                <w:color w:val="auto"/>
              </w:rPr>
            </w:pPr>
            <w:r>
              <w:rPr>
                <w:rFonts w:ascii="Arial" w:cs="Arial" w:eastAsia="Arial" w:hAnsi="Arial"/>
                <w:sz w:val="16"/>
                <w:szCs w:val="16"/>
                <w:i w:val="1"/>
                <w:iCs w:val="1"/>
                <w:color w:val="auto"/>
                <w:w w:val="96"/>
              </w:rPr>
              <w:t>19.7 %</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Business realignment activities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196.0 %</w:t>
            </w:r>
          </w:p>
        </w:tc>
        <w:tc>
          <w:tcPr>
            <w:tcW w:w="0" w:type="dxa"/>
            <w:vAlign w:val="bottom"/>
          </w:tcPr>
          <w:p>
            <w:pPr>
              <w:spacing w:after="0"/>
              <w:rPr>
                <w:sz w:val="1"/>
                <w:szCs w:val="1"/>
                <w:color w:val="auto"/>
              </w:rPr>
            </w:pPr>
          </w:p>
        </w:tc>
      </w:tr>
      <w:tr>
        <w:trPr>
          <w:trHeight w:val="207"/>
        </w:trPr>
        <w:tc>
          <w:tcPr>
            <w:tcW w:w="582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6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799.9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721.0</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9"/>
              <w:spacing w:after="0"/>
              <w:rPr>
                <w:sz w:val="20"/>
                <w:szCs w:val="20"/>
                <w:color w:val="auto"/>
              </w:rPr>
            </w:pPr>
            <w:r>
              <w:rPr>
                <w:rFonts w:ascii="Arial" w:cs="Arial" w:eastAsia="Arial" w:hAnsi="Arial"/>
                <w:sz w:val="16"/>
                <w:szCs w:val="16"/>
                <w:i w:val="1"/>
                <w:iCs w:val="1"/>
                <w:color w:val="auto"/>
                <w:w w:val="96"/>
              </w:rPr>
              <w:t>26.8 %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9"/>
              <w:spacing w:after="0"/>
              <w:rPr>
                <w:sz w:val="20"/>
                <w:szCs w:val="20"/>
                <w:color w:val="auto"/>
              </w:rPr>
            </w:pPr>
            <w:r>
              <w:rPr>
                <w:rFonts w:ascii="Arial" w:cs="Arial" w:eastAsia="Arial" w:hAnsi="Arial"/>
                <w:sz w:val="16"/>
                <w:szCs w:val="16"/>
                <w:i w:val="1"/>
                <w:iCs w:val="1"/>
                <w:color w:val="auto"/>
                <w:w w:val="96"/>
              </w:rPr>
              <w:t>27.0 %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33.2</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(income) expense,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143.9</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22.7%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21.2%</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587.2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533.5</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 per share—diluted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center"/>
              <w:ind w:left="919"/>
              <w:spacing w:after="0"/>
              <w:rPr>
                <w:sz w:val="20"/>
                <w:szCs w:val="20"/>
                <w:color w:val="auto"/>
              </w:rPr>
            </w:pPr>
            <w:r>
              <w:rPr>
                <w:rFonts w:ascii="Arial" w:cs="Arial" w:eastAsia="Arial" w:hAnsi="Arial"/>
                <w:sz w:val="16"/>
                <w:szCs w:val="16"/>
                <w:color w:val="auto"/>
                <w:w w:val="89"/>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center"/>
              <w:ind w:left="899"/>
              <w:spacing w:after="0"/>
              <w:rPr>
                <w:sz w:val="20"/>
                <w:szCs w:val="20"/>
                <w:color w:val="auto"/>
              </w:rPr>
            </w:pPr>
            <w:r>
              <w:rPr>
                <w:rFonts w:ascii="Arial" w:cs="Arial" w:eastAsia="Arial" w:hAnsi="Arial"/>
                <w:sz w:val="16"/>
                <w:szCs w:val="16"/>
                <w:color w:val="auto"/>
                <w:w w:val="96"/>
              </w:rPr>
              <w:t>2.57</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Percentage changes may not compute directly as shown due to rounding of amounts presented above.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Results of Operations - First Quarter 2023 vs. First Quarter 2022</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108" w:lineRule="exact"/>
        <w:rPr>
          <w:sz w:val="20"/>
          <w:szCs w:val="20"/>
          <w:color w:val="auto"/>
        </w:rPr>
      </w:pPr>
    </w:p>
    <w:p>
      <w:pPr>
        <w:ind w:left="40"/>
        <w:spacing w:after="0" w:line="259" w:lineRule="auto"/>
        <w:rPr>
          <w:sz w:val="20"/>
          <w:szCs w:val="20"/>
          <w:color w:val="auto"/>
        </w:rPr>
      </w:pPr>
      <w:r>
        <w:rPr>
          <w:rFonts w:ascii="Arial" w:cs="Arial" w:eastAsia="Arial" w:hAnsi="Arial"/>
          <w:sz w:val="18"/>
          <w:szCs w:val="18"/>
          <w:color w:val="auto"/>
        </w:rPr>
        <w:t>Net sales increased 12.1% in the first quarter of 2023 compared to the same period of 2022, reflecting a favorable price realization of 8.9% primarily due to higher list prices, primarily within our North America Confectionery and North America Salty Snacks segments and a volume increase of 3.3% driven by increased consumer demand across reportable segments. These increases were partially offset by an unfavorable impact from foreign currency exchange rates of 0.1%.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left="40" w:right="240"/>
        <w:spacing w:after="0" w:line="263" w:lineRule="auto"/>
        <w:rPr>
          <w:sz w:val="20"/>
          <w:szCs w:val="20"/>
          <w:color w:val="auto"/>
        </w:rPr>
      </w:pPr>
      <w:r>
        <w:rPr>
          <w:rFonts w:ascii="Arial" w:cs="Arial" w:eastAsia="Arial" w:hAnsi="Arial"/>
          <w:sz w:val="18"/>
          <w:szCs w:val="18"/>
          <w:color w:val="auto"/>
        </w:rPr>
        <w:t>For the first quarter of 2023, our total U.S. retail takeaway increased 12.7% in the expanded multi-outlet combined plus convenience store channels (IRI MULO + C-Stores), which includes candy, mint, gum, salty snacks and grocery items. Our U.S. candy, mint and gum (“CMG”) consumer takeaway increased 12.3% and experienced a CMG market share decline of approximately 70 basis points.</w:t>
      </w:r>
    </w:p>
    <w:p>
      <w:pPr>
        <w:spacing w:after="0" w:line="130" w:lineRule="exact"/>
        <w:rPr>
          <w:sz w:val="20"/>
          <w:szCs w:val="20"/>
          <w:color w:val="auto"/>
        </w:rPr>
      </w:pPr>
    </w:p>
    <w:p>
      <w:pPr>
        <w:ind w:left="40" w:right="120"/>
        <w:spacing w:after="0" w:line="257" w:lineRule="auto"/>
        <w:rPr>
          <w:sz w:val="20"/>
          <w:szCs w:val="20"/>
          <w:color w:val="auto"/>
        </w:rPr>
      </w:pPr>
      <w:r>
        <w:rPr>
          <w:rFonts w:ascii="Arial" w:cs="Arial" w:eastAsia="Arial" w:hAnsi="Arial"/>
          <w:sz w:val="18"/>
          <w:szCs w:val="18"/>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ind w:left="40" w:right="300"/>
        <w:spacing w:after="0" w:line="263" w:lineRule="auto"/>
        <w:rPr>
          <w:sz w:val="20"/>
          <w:szCs w:val="20"/>
          <w:color w:val="auto"/>
        </w:rPr>
      </w:pPr>
      <w:r>
        <w:rPr>
          <w:rFonts w:ascii="Arial" w:cs="Arial" w:eastAsia="Arial" w:hAnsi="Arial"/>
          <w:sz w:val="18"/>
          <w:szCs w:val="18"/>
          <w:color w:val="auto"/>
        </w:rPr>
        <w:t>Cost of sales increased 13.0% in the first quarter of 2023 compared to the same period of 2022. The increase was driven by higher sales volume, higher supply chain inflation costs, including higher logistics and labor costs and an incremental $61.4 million of unfavorable mark-to-market activity on our commodity derivative instruments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262890</wp:posOffset>
            </wp:positionV>
            <wp:extent cx="1968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339725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255"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to economically hedge future years’ commodity purchases. The increase was partially offset by favorable price realization and supply chain productivity.</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Gross margin decreased by 40 basis points in the first quarter of 2023 compared to the same period of 2022. The decrease was driven by unfavorable year-over-year mark-to-market impact from commodity derivative instruments, higher supply chain inflation costs, including higher logistics and labor costs, and unfavorable product mix. These declines were offset by favorable price realization and volume increases.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SM&amp;A Expenses</w:t>
      </w:r>
    </w:p>
    <w:p>
      <w:pPr>
        <w:spacing w:after="0" w:line="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SM&amp;A expenses increased $57.4 million, or 10.9%, in the first quarter of 2023 compared to the same period of 2022. Total advertising and related consumer marketing expenses increased 8.8% driven by advertising increases across reportable segments. SM&amp;A expenses, excluding advertising and related consumer marketing, increased approximately 12.1% in the first quarter of 2023 driven by an increase in acquisition and integration related costs, as well as higher compensation costs, investments in capabilities and technology and broad-based marketplace inflation.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We periodically undertake business realignment activities designed to increase our efficiency and focus our business in support of our key growth strategies. In the first quarter of 2023, we recorded $0.8 million business realignment costs versus costs of $0.3 million in the first quarter of 2022 related to the International Optimization Program. This program is focused on optimizing our China operating model to improve our operational efficiency and provide for a strong, sustainable and simplified base going forward. Costs associated with business realignment activities are classified in our Consolidated Statements of Income as described in </w:t>
      </w:r>
      <w:r>
        <w:rPr>
          <w:rFonts w:ascii="Arial" w:cs="Arial" w:eastAsia="Arial" w:hAnsi="Arial"/>
          <w:sz w:val="17"/>
          <w:szCs w:val="17"/>
          <w:u w:val="single" w:color="auto"/>
          <w:color w:val="0000FF"/>
        </w:rPr>
        <w:t>Note 9</w:t>
      </w:r>
      <w:r>
        <w:rPr>
          <w:rFonts w:ascii="Arial" w:cs="Arial" w:eastAsia="Arial" w:hAnsi="Arial"/>
          <w:sz w:val="17"/>
          <w:szCs w:val="17"/>
          <w:color w:val="auto"/>
        </w:rPr>
        <w:t xml:space="preserve"> to the Unaudited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10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Operating profit was $799.9 million in the first quarter of 2023 compared to $721.0 million in the same period of 2022 predominantly due to higher gross profit, partially offset by higher SM&amp;A expenses, as noted above. Operating profit margin decreased to 26.8% in 2023 from 27.0% in 2022 driven by the same factors noted above that resulted in lower gross margin for the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interest expense was $4.5 million higher in the first quarter of 2023 compared to the same period of 2022. The increase was primarily due to higher rates on short-term debt balances in 2023 versus 2022, specifically related to outstanding commercial paper borrowings.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Other (income) expense, net was $2.9 million in the first quarter of 2023 versus net expense of $10.4 million in the first quarter of 2022. The decrease in net expense was primarily due to lower write-downs on equity investments qualifying for tax credits in 2023 versus the first quarter of 2022 and higher non-service cost components of net periodic benefit cost relating to pension and other post-retirement benefit plans.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108"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The effective income tax rate was 22.7% for the first quarter of 2023 compared with 21.2% for the first quarter of 2022. Relative to the 21% statutory rate, the 2023 effective tax rate was impacted by state taxes, partially offset by employee share-based payments. Relative to the 21% statutory rate, the 2022 effective tax rate was impacted by state taxes, partially offset by investment tax credits and the benefit of employee share-based payments.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income increased $53.7 million, or 10.1%, while EPS-diluted increased $0.28, or 10.9%, in the first quarter of 2023 compared to the same period of 2022. The increase in both net income and EPS-diluted was driven primarily by higher gross profit, partially offset by higher SM&amp;A expenses and higher income taxes, as noted above. Our 2023 EPS-diluted also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36" w:name="page37"/>
    <w:bookmarkEnd w:id="36"/>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summary that follows provides a discussion of the results of operations of our three reportable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Chief Operating Decision Maker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2, 2023</w:t>
            </w:r>
          </w:p>
        </w:tc>
        <w:tc>
          <w:tcPr>
            <w:tcW w:w="320" w:type="dxa"/>
            <w:vAlign w:val="bottom"/>
          </w:tcPr>
          <w:p>
            <w:pPr>
              <w:spacing w:after="0"/>
              <w:rPr>
                <w:sz w:val="18"/>
                <w:szCs w:val="18"/>
                <w:color w:val="auto"/>
              </w:rPr>
            </w:pPr>
          </w:p>
        </w:tc>
        <w:tc>
          <w:tcPr>
            <w:tcW w:w="1580" w:type="dxa"/>
            <w:vAlign w:val="bottom"/>
          </w:tcPr>
          <w:p>
            <w:pPr>
              <w:jc w:val="right"/>
              <w:ind w:right="411"/>
              <w:spacing w:after="0"/>
              <w:rPr>
                <w:sz w:val="20"/>
                <w:szCs w:val="20"/>
                <w:color w:val="auto"/>
              </w:rPr>
            </w:pPr>
            <w:r>
              <w:rPr>
                <w:rFonts w:ascii="Arial" w:cs="Arial" w:eastAsia="Arial" w:hAnsi="Arial"/>
                <w:sz w:val="16"/>
                <w:szCs w:val="16"/>
                <w:b w:val="1"/>
                <w:bCs w:val="1"/>
                <w:color w:val="auto"/>
              </w:rPr>
              <w:t>April 3, 2022</w:t>
            </w:r>
          </w:p>
        </w:tc>
        <w:tc>
          <w:tcPr>
            <w:tcW w:w="0" w:type="dxa"/>
            <w:vAlign w:val="bottom"/>
          </w:tcPr>
          <w:p>
            <w:pPr>
              <w:spacing w:after="0"/>
              <w:rPr>
                <w:sz w:val="1"/>
                <w:szCs w:val="1"/>
                <w:color w:val="auto"/>
              </w:rPr>
            </w:pPr>
          </w:p>
        </w:tc>
      </w:tr>
      <w:tr>
        <w:trPr>
          <w:trHeight w:val="160"/>
        </w:trPr>
        <w:tc>
          <w:tcPr>
            <w:tcW w:w="736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20"/>
              <w:spacing w:after="0"/>
              <w:rPr>
                <w:sz w:val="20"/>
                <w:szCs w:val="20"/>
                <w:color w:val="auto"/>
              </w:rPr>
            </w:pPr>
            <w:r>
              <w:rPr>
                <w:rFonts w:ascii="Arial" w:cs="Arial" w:eastAsia="Arial" w:hAnsi="Arial"/>
                <w:sz w:val="18"/>
                <w:szCs w:val="18"/>
                <w:color w:val="auto"/>
              </w:rPr>
              <w:t>North America Confectionery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2,452.2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2,217.0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 Salty Snacks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North America Confectionery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 Salty Snacks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Unallocated corporate expense (1)</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mark-to-market losses (gains) on commodity derivatives (2)</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60" w:hanging="332"/>
        <w:spacing w:after="0" w:line="295"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8" w:lineRule="exact"/>
        <w:rPr>
          <w:rFonts w:ascii="Arial" w:cs="Arial" w:eastAsia="Arial" w:hAnsi="Arial"/>
          <w:sz w:val="15"/>
          <w:szCs w:val="15"/>
          <w:color w:val="auto"/>
        </w:rPr>
      </w:pPr>
    </w:p>
    <w:p>
      <w:pPr>
        <w:ind w:left="340" w:right="280" w:hanging="332"/>
        <w:spacing w:after="0" w:line="27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Net losses (gains) on mark-to-market valuation of commodity derivative positions recognized in unallocated derivative losses (gains). See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518795</wp:posOffset>
            </wp:positionV>
            <wp:extent cx="1968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North America Confectionery</w:t>
      </w:r>
    </w:p>
    <w:p>
      <w:pPr>
        <w:spacing w:after="0" w:line="10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82.1% and 83.1% of our net sales for the three months ended April 2, 2023 and April 3, 2022, respectively,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 Months Ended</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3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April 2, 2023</w:t>
            </w:r>
          </w:p>
        </w:tc>
        <w:tc>
          <w:tcPr>
            <w:tcW w:w="3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April 3, 2022</w:t>
            </w:r>
          </w:p>
        </w:tc>
        <w:tc>
          <w:tcPr>
            <w:tcW w:w="100" w:type="dxa"/>
            <w:vAlign w:val="bottom"/>
          </w:tcPr>
          <w:p>
            <w:pPr>
              <w:spacing w:after="0"/>
              <w:rPr>
                <w:sz w:val="18"/>
                <w:szCs w:val="18"/>
                <w:color w:val="auto"/>
              </w:rPr>
            </w:pPr>
          </w:p>
        </w:tc>
        <w:tc>
          <w:tcPr>
            <w:tcW w:w="2080" w:type="dxa"/>
            <w:vAlign w:val="bottom"/>
          </w:tcPr>
          <w:p>
            <w:pPr>
              <w:jc w:val="right"/>
              <w:ind w:right="41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0"/>
        </w:trPr>
        <w:tc>
          <w:tcPr>
            <w:tcW w:w="4800" w:type="dxa"/>
            <w:vAlign w:val="bottom"/>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2,452.2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2,217.0</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340" w:type="dxa"/>
            <w:vAlign w:val="bottom"/>
          </w:tcPr>
          <w:p>
            <w:pPr>
              <w:spacing w:after="0"/>
              <w:rPr>
                <w:sz w:val="19"/>
                <w:szCs w:val="19"/>
                <w:color w:val="auto"/>
              </w:rPr>
            </w:pPr>
          </w:p>
        </w:tc>
        <w:tc>
          <w:tcPr>
            <w:tcW w:w="1720" w:type="dxa"/>
            <w:vAlign w:val="bottom"/>
          </w:tcPr>
          <w:p>
            <w:pPr>
              <w:jc w:val="right"/>
              <w:ind w:right="134"/>
              <w:spacing w:after="0"/>
              <w:rPr>
                <w:sz w:val="20"/>
                <w:szCs w:val="20"/>
                <w:color w:val="auto"/>
              </w:rPr>
            </w:pPr>
            <w:r>
              <w:rPr>
                <w:rFonts w:ascii="Arial" w:cs="Arial" w:eastAsia="Arial" w:hAnsi="Arial"/>
                <w:sz w:val="18"/>
                <w:szCs w:val="18"/>
                <w:color w:val="auto"/>
              </w:rPr>
              <w:t>887.8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781.9</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36.2 %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35.3 %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2023 vs. First Quarter 2022</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sales of our North America Confectionery segment increased $235.2 million, or 10.6%, in the first quarter of 2023 compared to the same period of 2022, reflecting a favorable price realization of 9.5% primarily due to list price increases on certain products across our portfolio and a volume increase of 1.4% due to an increase in everyday core U.S. confection brands. These increases were partially offset by an unfavorable impact from foreign currency exchange rates of 0.3%.</w:t>
      </w:r>
    </w:p>
    <w:p>
      <w:pPr>
        <w:spacing w:after="0" w:line="10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21.6% during the first quarter of 2023 compared to the same period of 2022.</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North America Confectionery segment income increased $105.9 million, or 13.5%, in the first quarter of 2023 compared to the same period of 2022, primarily due to favorable price realization and volume increases, partially offset by higher supply chain inflation costs, including higher logistics and labor costs, as well as unfavorable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356870</wp:posOffset>
            </wp:positionV>
            <wp:extent cx="19685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North America Salty Snacks</w:t>
      </w:r>
    </w:p>
    <w:p>
      <w:pPr>
        <w:spacing w:after="0" w:line="16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North America Salty Snacks segment is responsible for our grocery and snacks market positions, including our salty snacking products. North America Salty Snacks results, which accounted for 9.0% and 8.5% of our net sales for the three months ended April 2, 2023 and April 3, 2022, respectively,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5"/>
          </w:tcPr>
          <w:p>
            <w:pPr>
              <w:ind w:left="1020"/>
              <w:spacing w:after="0"/>
              <w:rPr>
                <w:sz w:val="20"/>
                <w:szCs w:val="20"/>
                <w:color w:val="auto"/>
              </w:rPr>
            </w:pPr>
            <w:r>
              <w:rPr>
                <w:rFonts w:ascii="Arial" w:cs="Arial" w:eastAsia="Arial" w:hAnsi="Arial"/>
                <w:sz w:val="16"/>
                <w:szCs w:val="16"/>
                <w:b w:val="1"/>
                <w:bCs w:val="1"/>
                <w:color w:val="auto"/>
              </w:rPr>
              <w:t>Three Months Ended</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3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April 2, 2023</w:t>
            </w:r>
          </w:p>
        </w:tc>
        <w:tc>
          <w:tcPr>
            <w:tcW w:w="3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April 3, 2022</w:t>
            </w:r>
          </w:p>
        </w:tc>
        <w:tc>
          <w:tcPr>
            <w:tcW w:w="100" w:type="dxa"/>
            <w:vAlign w:val="bottom"/>
          </w:tcPr>
          <w:p>
            <w:pPr>
              <w:spacing w:after="0"/>
              <w:rPr>
                <w:sz w:val="18"/>
                <w:szCs w:val="18"/>
                <w:color w:val="auto"/>
              </w:rPr>
            </w:pPr>
          </w:p>
        </w:tc>
        <w:tc>
          <w:tcPr>
            <w:tcW w:w="2060" w:type="dxa"/>
            <w:vAlign w:val="bottom"/>
          </w:tcPr>
          <w:p>
            <w:pPr>
              <w:jc w:val="right"/>
              <w:ind w:right="39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0"/>
        </w:trPr>
        <w:tc>
          <w:tcPr>
            <w:tcW w:w="4780" w:type="dxa"/>
            <w:vAlign w:val="bottom"/>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340" w:type="dxa"/>
            <w:vAlign w:val="bottom"/>
          </w:tcPr>
          <w:p>
            <w:pPr>
              <w:spacing w:after="0"/>
              <w:rPr>
                <w:sz w:val="19"/>
                <w:szCs w:val="19"/>
                <w:color w:val="auto"/>
              </w:rPr>
            </w:pPr>
          </w:p>
        </w:tc>
        <w:tc>
          <w:tcPr>
            <w:tcW w:w="1720" w:type="dxa"/>
            <w:vAlign w:val="bottom"/>
          </w:tcPr>
          <w:p>
            <w:pPr>
              <w:jc w:val="right"/>
              <w:ind w:right="134"/>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119.7 %</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9.4 %</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2023 vs. First Quarter 2022</w:t>
      </w:r>
    </w:p>
    <w:p>
      <w:pPr>
        <w:spacing w:after="0" w:line="14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 xml:space="preserve">Net sales of our North America Salty Snacks segment increased $43.9 million, or 19.4%, in the first quarter of 2023 compared to the same period of 2022. This increase reflects a favorable price realization of 10.9% due to list price increases on certain products across our portfolio, primarily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Dot’s Homestyle Pretzels </w:t>
      </w:r>
      <w:r>
        <w:rPr>
          <w:rFonts w:ascii="Arial" w:cs="Arial" w:eastAsia="Arial" w:hAnsi="Arial"/>
          <w:sz w:val="18"/>
          <w:szCs w:val="18"/>
          <w:color w:val="auto"/>
        </w:rPr>
        <w:t>snacks, and a volume increase of 8.5% driven primarily by</w:t>
      </w:r>
      <w:r>
        <w:rPr>
          <w:rFonts w:ascii="Arial" w:cs="Arial" w:eastAsia="Arial" w:hAnsi="Arial"/>
          <w:sz w:val="18"/>
          <w:szCs w:val="18"/>
          <w:i w:val="1"/>
          <w:iCs w:val="1"/>
          <w:color w:val="auto"/>
        </w:rPr>
        <w:t xml:space="preserve"> SkinnyPop </w:t>
      </w:r>
      <w:r>
        <w:rPr>
          <w:rFonts w:ascii="Arial" w:cs="Arial" w:eastAsia="Arial" w:hAnsi="Arial"/>
          <w:sz w:val="18"/>
          <w:szCs w:val="18"/>
          <w:color w:val="auto"/>
        </w:rPr>
        <w:t>snacks.</w:t>
      </w:r>
    </w:p>
    <w:p>
      <w:pPr>
        <w:spacing w:after="0" w:line="101"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Our North America Salty Snacks segment income increased $25.5 million, or 119.7%, in the first quarter of 2023 compared to the same period of 2022, primarily due to favorable price realization, volume increases and favorable freight costs, partially offset by higher supply chain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 the Middle East and Africa (“AMEA”) and other regions. International results, which accounted for 8.9% and 8.4% of our net sales for the three months ended April 2, 2023 and April 3, 2022, respectively,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 Months Ended</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3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April 2, 2023</w:t>
            </w:r>
          </w:p>
        </w:tc>
        <w:tc>
          <w:tcPr>
            <w:tcW w:w="3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April 3, 2022</w:t>
            </w:r>
          </w:p>
        </w:tc>
        <w:tc>
          <w:tcPr>
            <w:tcW w:w="100" w:type="dxa"/>
            <w:vAlign w:val="bottom"/>
          </w:tcPr>
          <w:p>
            <w:pPr>
              <w:spacing w:after="0"/>
              <w:rPr>
                <w:sz w:val="18"/>
                <w:szCs w:val="18"/>
                <w:color w:val="auto"/>
              </w:rPr>
            </w:pPr>
          </w:p>
        </w:tc>
        <w:tc>
          <w:tcPr>
            <w:tcW w:w="2080" w:type="dxa"/>
            <w:vAlign w:val="bottom"/>
          </w:tcPr>
          <w:p>
            <w:pPr>
              <w:jc w:val="right"/>
              <w:ind w:right="41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0"/>
        </w:trPr>
        <w:tc>
          <w:tcPr>
            <w:tcW w:w="4800" w:type="dxa"/>
            <w:vAlign w:val="bottom"/>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340" w:type="dxa"/>
            <w:vAlign w:val="bottom"/>
          </w:tcPr>
          <w:p>
            <w:pPr>
              <w:spacing w:after="0"/>
              <w:rPr>
                <w:sz w:val="19"/>
                <w:szCs w:val="19"/>
                <w:color w:val="auto"/>
              </w:rPr>
            </w:pPr>
          </w:p>
        </w:tc>
        <w:tc>
          <w:tcPr>
            <w:tcW w:w="1720" w:type="dxa"/>
            <w:vAlign w:val="bottom"/>
          </w:tcPr>
          <w:p>
            <w:pPr>
              <w:jc w:val="right"/>
              <w:ind w:right="134"/>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18.8 %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2023 vs. First Quarter 2022</w:t>
      </w:r>
    </w:p>
    <w:p>
      <w:pPr>
        <w:spacing w:after="0" w:line="14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Net sales of our International segment increased $42.3 million, or 19.0%, in the first quarter of 2023 compared to the same period of 2022, reflecting a volume increase of 17.4%, a favorable impact from foreign currency exchange rates of 1.5% and a favorable price realization of 0.1%. The volume increase was primarily attributable to solid marketplace growth in Brazil, India and Mexico, where net sales increased by 27.7%, 24.2% and 18.2%, respectively.</w:t>
      </w:r>
    </w:p>
    <w:p>
      <w:pPr>
        <w:spacing w:after="0" w:line="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International segment generated income of $55.0 million in the first quarter of 2023 compared to $42.0 million in the first quarter of 2022, driven primarily by favorable price realization and volume increases, partially offset by higher freight and logistics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348615</wp:posOffset>
            </wp:positionV>
            <wp:extent cx="19685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1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10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 first quarter of 2023, unallocated corporate expense totaled $177.1 million, as compared to $150.3 million in the first quarter of 2022. The increase was primarily driven by an increase in acquisition and integration related costs, as well as higher compensation costs, investments in capabilities and technology and broad-based marketplace inflation.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At April 2, 2023, our cash and cash equivalents totaled $460.3 million, a decrease of $3.5 million compared to the 2022 year-end balance. Additional detail regarding the net uses of cash are outlined in the following discussion. Additionally, at April 2, 2023, we had outstanding short- and long-term debt totaling $4.7 billion, of which $758.1 million was classified as the current portion of long-term debt. Of the $758.1 million, $500 million of 3.375% Notes are due upon maturity on May 1, 2023 and $250 million of 2.625% Notes are due upon maturity on May 15, 2023. We believe we can satisfy these debt obligations with cash generated from our operations, issuing new debt, and/or by borrowing on our unsecured revolving credit facility.</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Approximately 90% of the balance of our cash and cash equivalents at April 2, 2023 was held by subsidiaries domiciled outside of the United States. A majority of this balance is distributable to the United States without material tax implications, such as withholding tax. We intend to continue to reinvest the remainder of the earnings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35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In millions of dollars</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April 2, 2023</w:t>
            </w:r>
          </w:p>
        </w:tc>
        <w:tc>
          <w:tcPr>
            <w:tcW w:w="360" w:type="dxa"/>
            <w:vAlign w:val="bottom"/>
          </w:tcPr>
          <w:p>
            <w:pPr>
              <w:spacing w:after="0"/>
              <w:rPr>
                <w:sz w:val="18"/>
                <w:szCs w:val="18"/>
                <w:color w:val="auto"/>
              </w:rPr>
            </w:pPr>
          </w:p>
        </w:tc>
        <w:tc>
          <w:tcPr>
            <w:tcW w:w="1760" w:type="dxa"/>
            <w:vAlign w:val="bottom"/>
          </w:tcPr>
          <w:p>
            <w:pPr>
              <w:jc w:val="right"/>
              <w:ind w:right="532"/>
              <w:spacing w:after="0"/>
              <w:rPr>
                <w:sz w:val="20"/>
                <w:szCs w:val="20"/>
                <w:color w:val="auto"/>
              </w:rPr>
            </w:pPr>
            <w:r>
              <w:rPr>
                <w:rFonts w:ascii="Arial" w:cs="Arial" w:eastAsia="Arial" w:hAnsi="Arial"/>
                <w:sz w:val="16"/>
                <w:szCs w:val="16"/>
                <w:b w:val="1"/>
                <w:bCs w:val="1"/>
                <w:color w:val="auto"/>
              </w:rPr>
              <w:t>April 3, 2022</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408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656.5</w:t>
            </w:r>
          </w:p>
        </w:tc>
      </w:tr>
      <w:tr>
        <w:trPr>
          <w:trHeight w:val="230"/>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29"/>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(463.5)</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4080" w:type="dxa"/>
            <w:vAlign w:val="bottom"/>
            <w:gridSpan w:val="3"/>
          </w:tcPr>
          <w:p>
            <w:pPr>
              <w:jc w:val="right"/>
              <w:spacing w:after="0"/>
              <w:rPr>
                <w:sz w:val="20"/>
                <w:szCs w:val="20"/>
                <w:color w:val="auto"/>
              </w:rPr>
            </w:pPr>
            <w:r>
              <w:rPr>
                <w:rFonts w:ascii="Arial" w:cs="Arial" w:eastAsia="Arial" w:hAnsi="Arial"/>
                <w:sz w:val="16"/>
                <w:szCs w:val="16"/>
                <w:color w:val="auto"/>
              </w:rPr>
              <w:t>The Hershey Company | Q1 2023 Form 10-Q | Page 39</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541"/>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generated cash of $755.4 million from operating activities in the first three months of 2023, an increase of $98.9 million compared to $656.5 million in the same period of 2022. This increase in net cash provided by operating activities was mainly driven by the following factors:</w:t>
      </w:r>
    </w:p>
    <w:p>
      <w:pPr>
        <w:spacing w:after="0" w:line="92" w:lineRule="exact"/>
        <w:rPr>
          <w:sz w:val="20"/>
          <w:szCs w:val="20"/>
          <w:color w:val="auto"/>
        </w:rPr>
      </w:pPr>
    </w:p>
    <w:p>
      <w:pPr>
        <w:jc w:val="both"/>
        <w:ind w:left="340" w:hanging="332"/>
        <w:spacing w:after="0" w:line="286" w:lineRule="auto"/>
        <w:tabs>
          <w:tab w:leader="none" w:pos="335" w:val="left"/>
        </w:tabs>
        <w:numPr>
          <w:ilvl w:val="0"/>
          <w:numId w:val="15"/>
        </w:numPr>
        <w:rPr>
          <w:rFonts w:ascii="Arial" w:cs="Arial" w:eastAsia="Arial" w:hAnsi="Arial"/>
          <w:sz w:val="17"/>
          <w:szCs w:val="17"/>
          <w:i w:val="1"/>
          <w:iCs w:val="1"/>
          <w:color w:val="auto"/>
        </w:rPr>
      </w:pPr>
      <w:r>
        <w:rPr>
          <w:rFonts w:ascii="Arial" w:cs="Arial" w:eastAsia="Arial" w:hAnsi="Arial"/>
          <w:sz w:val="17"/>
          <w:szCs w:val="17"/>
          <w:color w:val="auto"/>
        </w:rPr>
        <w:t>Timing of income tax payments contributed to an increase in operating cash of $174.2 million in 2023, compared to $127.3 million in 2022. This $46.9 million fluctuation was primarily due to the variance in actual tax expense for 2023 relative to the timing of quarterly estimated tax payments. We paid cash of $12.3 million for income taxes during 2023 compared to $10.0 million in the same period of 2022.</w:t>
      </w:r>
    </w:p>
    <w:p>
      <w:pPr>
        <w:spacing w:after="0" w:line="111" w:lineRule="exact"/>
        <w:rPr>
          <w:rFonts w:ascii="Arial" w:cs="Arial" w:eastAsia="Arial" w:hAnsi="Arial"/>
          <w:sz w:val="17"/>
          <w:szCs w:val="17"/>
          <w:i w:val="1"/>
          <w:iCs w:val="1"/>
          <w:color w:val="auto"/>
        </w:rPr>
      </w:pPr>
    </w:p>
    <w:p>
      <w:pPr>
        <w:ind w:left="340" w:right="340" w:hanging="332"/>
        <w:spacing w:after="0" w:line="308" w:lineRule="auto"/>
        <w:tabs>
          <w:tab w:leader="none" w:pos="3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income adjusted for non-cash charges to operations (including depreciation, amortization, stock-based compensation, deferred income taxes, a write-down of equity investments and other charges) resulted in $33.9 million of higher cash flow in 2023 relative to 2022.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used cash of $188.3 million for investing activities in the first three months of 2023, an increase of $24.3 million compared to $164.0 million in the same period of 2022. This increase in net cash used in investing activities was mainly driven by the following factors:</w:t>
      </w:r>
    </w:p>
    <w:p>
      <w:pPr>
        <w:spacing w:after="0" w:line="116" w:lineRule="exact"/>
        <w:rPr>
          <w:sz w:val="20"/>
          <w:szCs w:val="20"/>
          <w:color w:val="auto"/>
        </w:rPr>
      </w:pPr>
    </w:p>
    <w:p>
      <w:pPr>
        <w:ind w:left="340" w:right="20" w:hanging="332"/>
        <w:spacing w:after="0" w:line="293" w:lineRule="auto"/>
        <w:tabs>
          <w:tab w:leader="none" w:pos="335"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Capital spending</w:t>
      </w:r>
      <w:r>
        <w:rPr>
          <w:rFonts w:ascii="Arial" w:cs="Arial" w:eastAsia="Arial" w:hAnsi="Arial"/>
          <w:sz w:val="16"/>
          <w:szCs w:val="16"/>
          <w:color w:val="auto"/>
        </w:rPr>
        <w:t>. Capital expenditures, including capitalized software, primarily to support our ERP system implementation, capacity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and cost savings, were $176.1 million in the first three months of 2023 compared to $141.1 million in the same period of 2022. Expenditures increased due to progress on capacity expansion projects and our ERP system implementation. We expect 2023 capital expenditures, including capitalized software, to approximate $800 million to $900 million. The increase in our 2023 capital expenditures is largely driven by our key strategic initiatives, including core confection capacity expansion and continued investments in a digital infrastructure including the build and upgrade of a new ERP system across the enterprise. We intend to use our existing cash and internally generated funds to meet our 2023 capital requirements.</w:t>
      </w:r>
    </w:p>
    <w:p>
      <w:pPr>
        <w:spacing w:after="0" w:line="110" w:lineRule="exact"/>
        <w:rPr>
          <w:rFonts w:ascii="Arial" w:cs="Arial" w:eastAsia="Arial" w:hAnsi="Arial"/>
          <w:sz w:val="16"/>
          <w:szCs w:val="16"/>
          <w:i w:val="1"/>
          <w:iCs w:val="1"/>
          <w:color w:val="auto"/>
        </w:rPr>
      </w:pPr>
    </w:p>
    <w:p>
      <w:pPr>
        <w:ind w:left="340" w:right="340" w:hanging="332"/>
        <w:spacing w:after="0" w:line="263"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renewable energy tax credits. We invested approximately $12.3 million in the first three months of 2023, compared to $22.5 million in the same period of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used cash of $552.2 million for financing activities in the first three months of 2023, an increase of $88.7 million compared to $463.5 million in the same period of 2022. This increase in net cash used in financing activities was mainly driven by the following factors:</w:t>
      </w:r>
    </w:p>
    <w:p>
      <w:pPr>
        <w:spacing w:after="0" w:line="116" w:lineRule="exact"/>
        <w:rPr>
          <w:sz w:val="20"/>
          <w:szCs w:val="20"/>
          <w:color w:val="auto"/>
        </w:rPr>
      </w:pPr>
    </w:p>
    <w:p>
      <w:pPr>
        <w:ind w:left="340" w:right="220" w:hanging="332"/>
        <w:spacing w:after="0" w:line="287" w:lineRule="auto"/>
        <w:tabs>
          <w:tab w:leader="none" w:pos="335"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During the first three months of 2023, we used cash of $90.7 million to reduce a portion of our short-term commercial paper borrowings , partially offset by an increase in short-term foreign bank borrowings. During the</w:t>
      </w:r>
    </w:p>
    <w:p>
      <w:pPr>
        <w:spacing w:after="0" w:line="2" w:lineRule="exact"/>
        <w:rPr>
          <w:rFonts w:ascii="Arial" w:cs="Arial" w:eastAsia="Arial" w:hAnsi="Arial"/>
          <w:sz w:val="16"/>
          <w:szCs w:val="16"/>
          <w:i w:val="1"/>
          <w:iCs w:val="1"/>
          <w:color w:val="auto"/>
        </w:rPr>
      </w:pPr>
    </w:p>
    <w:p>
      <w:pPr>
        <w:ind w:left="340" w:right="220"/>
        <w:spacing w:after="0" w:line="260" w:lineRule="auto"/>
        <w:rPr>
          <w:rFonts w:ascii="Arial" w:cs="Arial" w:eastAsia="Arial" w:hAnsi="Arial"/>
          <w:sz w:val="16"/>
          <w:szCs w:val="16"/>
          <w:i w:val="1"/>
          <w:iCs w:val="1"/>
          <w:color w:val="auto"/>
        </w:rPr>
      </w:pPr>
      <w:r>
        <w:rPr>
          <w:rFonts w:ascii="Arial" w:cs="Arial" w:eastAsia="Arial" w:hAnsi="Arial"/>
          <w:sz w:val="18"/>
          <w:szCs w:val="18"/>
          <w:color w:val="auto"/>
        </w:rPr>
        <w:t>first three months of 2022, we used cash of $65.6 million to reduce a portion of our short-term commercial paper borrowings originally used to fund our 2021 acquisitions of Dot’s and Pretzels, partially offset by an increase in short-term foreign bank borrowings.</w:t>
      </w:r>
    </w:p>
    <w:p>
      <w:pPr>
        <w:spacing w:after="0" w:line="131" w:lineRule="exact"/>
        <w:rPr>
          <w:rFonts w:ascii="Arial" w:cs="Arial" w:eastAsia="Arial" w:hAnsi="Arial"/>
          <w:sz w:val="16"/>
          <w:szCs w:val="16"/>
          <w:i w:val="1"/>
          <w:iCs w:val="1"/>
          <w:color w:val="auto"/>
        </w:rPr>
      </w:pPr>
    </w:p>
    <w:p>
      <w:pPr>
        <w:ind w:left="340" w:right="140" w:hanging="332"/>
        <w:spacing w:after="0" w:line="27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During the first three months of 2023 and the first three months of 2022, long-term debt borrowings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were minimal.</w:t>
      </w:r>
    </w:p>
    <w:p>
      <w:pPr>
        <w:spacing w:after="0" w:line="116" w:lineRule="exact"/>
        <w:rPr>
          <w:rFonts w:ascii="Arial" w:cs="Arial" w:eastAsia="Arial" w:hAnsi="Arial"/>
          <w:sz w:val="18"/>
          <w:szCs w:val="18"/>
          <w:color w:val="auto"/>
        </w:rPr>
      </w:pPr>
    </w:p>
    <w:p>
      <w:pPr>
        <w:jc w:val="both"/>
        <w:ind w:left="340" w:right="140" w:hanging="332"/>
        <w:spacing w:after="0" w:line="263"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$207.4 million during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2023, an increase of $26.3 million compared to $181.1 million in the same period of 2022. Details regarding our 2023 cash dividends paid to stockholders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1" w:name="page42"/>
    <w:bookmarkEnd w:id="41"/>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Quarter Ended</w:t>
            </w:r>
          </w:p>
        </w:tc>
      </w:tr>
      <w:tr>
        <w:trPr>
          <w:trHeight w:val="226"/>
        </w:trPr>
        <w:tc>
          <w:tcPr>
            <w:tcW w:w="8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280" w:type="dxa"/>
            <w:vAlign w:val="bottom"/>
          </w:tcPr>
          <w:p>
            <w:pPr>
              <w:spacing w:after="0"/>
              <w:rPr>
                <w:sz w:val="19"/>
                <w:szCs w:val="19"/>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b w:val="1"/>
                <w:bCs w:val="1"/>
                <w:color w:val="auto"/>
              </w:rPr>
              <w:t>April 2, 2023</w:t>
            </w:r>
          </w:p>
        </w:tc>
      </w:tr>
      <w:tr>
        <w:trPr>
          <w:trHeight w:val="223"/>
        </w:trPr>
        <w:tc>
          <w:tcPr>
            <w:tcW w:w="8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paid per share – Common stock</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Dividends paid per share – Class B common stock</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0.942</w:t>
            </w:r>
          </w:p>
        </w:tc>
      </w:tr>
      <w:tr>
        <w:trPr>
          <w:trHeight w:val="229"/>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cash dividends paid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Declaration date</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January 31, 2023</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 date</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2023</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Payment date</w:t>
            </w:r>
          </w:p>
        </w:tc>
        <w:tc>
          <w:tcPr>
            <w:tcW w:w="4920" w:type="dxa"/>
            <w:vAlign w:val="bottom"/>
          </w:tcPr>
          <w:p>
            <w:pPr>
              <w:jc w:val="right"/>
              <w:spacing w:after="0"/>
              <w:rPr>
                <w:sz w:val="20"/>
                <w:szCs w:val="20"/>
                <w:color w:val="auto"/>
              </w:rPr>
            </w:pPr>
            <w:r>
              <w:rPr>
                <w:rFonts w:ascii="Arial" w:cs="Arial" w:eastAsia="Arial" w:hAnsi="Arial"/>
                <w:sz w:val="18"/>
                <w:szCs w:val="18"/>
                <w:color w:val="auto"/>
              </w:rPr>
              <w:t>March 15,</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2023</w:t>
            </w:r>
          </w:p>
        </w:tc>
      </w:tr>
    </w:tbl>
    <w:p>
      <w:pPr>
        <w:spacing w:after="0" w:line="241" w:lineRule="exact"/>
        <w:rPr>
          <w:sz w:val="20"/>
          <w:szCs w:val="20"/>
          <w:color w:val="auto"/>
        </w:rPr>
      </w:pPr>
    </w:p>
    <w:p>
      <w:pPr>
        <w:ind w:left="340" w:right="160" w:hanging="332"/>
        <w:spacing w:after="0" w:line="259" w:lineRule="auto"/>
        <w:tabs>
          <w:tab w:leader="none" w:pos="3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repurchase shares of Common Stock to offset the dilutive impact of treasury shares issued under our equity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32" w:lineRule="exact"/>
        <w:rPr>
          <w:rFonts w:ascii="Arial" w:cs="Arial" w:eastAsia="Arial" w:hAnsi="Arial"/>
          <w:sz w:val="18"/>
          <w:szCs w:val="18"/>
          <w:i w:val="1"/>
          <w:iCs w:val="1"/>
          <w:color w:val="auto"/>
        </w:rPr>
      </w:pPr>
    </w:p>
    <w:p>
      <w:pPr>
        <w:ind w:left="340" w:right="28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Milton Hershey School Trust at a price equal to $239.91 per share, for a total purchase price of $239.9 million.</w:t>
      </w:r>
    </w:p>
    <w:p>
      <w:pPr>
        <w:spacing w:after="0" w:line="129" w:lineRule="exact"/>
        <w:rPr>
          <w:rFonts w:ascii="Arial" w:cs="Arial" w:eastAsia="Arial" w:hAnsi="Arial"/>
          <w:sz w:val="18"/>
          <w:szCs w:val="18"/>
          <w:i w:val="1"/>
          <w:iCs w:val="1"/>
          <w:color w:val="auto"/>
        </w:rPr>
      </w:pPr>
    </w:p>
    <w:p>
      <w:pPr>
        <w:ind w:left="340" w:right="18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In February 2022, the Company entered into a Stock Purchase Agreement with Hershey Trust Company, as trustee for the School Trust, pursuant to which the Company purchased 1,000,000 shares of the Company’s Common Stock from the Milton Hershey School Trust at a price equal to $203.35 per share, for a total purchase price of $203.4 million.</w:t>
      </w:r>
    </w:p>
    <w:p>
      <w:pPr>
        <w:spacing w:after="0" w:line="129" w:lineRule="exact"/>
        <w:rPr>
          <w:rFonts w:ascii="Arial" w:cs="Arial" w:eastAsia="Arial" w:hAnsi="Arial"/>
          <w:sz w:val="18"/>
          <w:szCs w:val="18"/>
          <w:i w:val="1"/>
          <w:iCs w:val="1"/>
          <w:color w:val="auto"/>
        </w:rPr>
      </w:pPr>
    </w:p>
    <w:p>
      <w:pPr>
        <w:ind w:left="34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In July 2018, our Board of Directors approved a $500 million share repurchase authorization. In May 2021, our Board of Directors approved an additional $500 million share repurchase authorization. As a result of the February 2023 Stock Purchase Agreement with Hershey Trust Company, as trustee for the School Trust, the July 2018 share repurchase authorization was completed and as of April 2, 2023, approximately $370 million remained available for repurchases under our May 2021 share repurchase authorization. The share repurchase program does not have an expiration date. We expect 2023 share repurchases to be in line with our traditional buyback strategy.</w:t>
      </w:r>
    </w:p>
    <w:p>
      <w:pPr>
        <w:spacing w:after="0" w:line="122" w:lineRule="exact"/>
        <w:rPr>
          <w:rFonts w:ascii="Arial" w:cs="Arial" w:eastAsia="Arial" w:hAnsi="Arial"/>
          <w:sz w:val="18"/>
          <w:szCs w:val="18"/>
          <w:i w:val="1"/>
          <w:iCs w:val="1"/>
          <w:color w:val="auto"/>
        </w:rPr>
      </w:pPr>
    </w:p>
    <w:p>
      <w:pPr>
        <w:ind w:left="340" w:right="60" w:hanging="332"/>
        <w:spacing w:after="0" w:line="279" w:lineRule="auto"/>
        <w:tabs>
          <w:tab w:leader="none" w:pos="33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Proceeds from exercised stock options and employee tax withholding. </w:t>
      </w:r>
      <w:r>
        <w:rPr>
          <w:rFonts w:ascii="Arial" w:cs="Arial" w:eastAsia="Arial" w:hAnsi="Arial"/>
          <w:sz w:val="17"/>
          <w:szCs w:val="17"/>
          <w:color w:val="auto"/>
        </w:rPr>
        <w:t>During the first three months of 2023, we received $15.2 million from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exercises of stock options and paid $28.3 million of employee taxes withheld from share-based awards. During the first three months of 2022, we received $16.7 million from employee exercises of stock options and paid $29.0 million of employee taxes withheld from share-based awards. Variances are driven primarily by the number of shares exercised and the share price at the date of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on recently adopted and issued accounting standards is included in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297815</wp:posOffset>
            </wp:positionV>
            <wp:extent cx="1968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97" w:lineRule="exact"/>
        <w:rPr>
          <w:sz w:val="20"/>
          <w:szCs w:val="20"/>
          <w:color w:val="auto"/>
        </w:rPr>
      </w:pPr>
    </w:p>
    <w:p>
      <w:pPr>
        <w:ind w:left="660" w:right="24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Increases in raw material and energy costs along with the availability of adequate supplies of raw materials could affect future financial results;</w:t>
      </w:r>
    </w:p>
    <w:p>
      <w:pPr>
        <w:spacing w:after="0" w:line="275"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financial results may be adversely impacted by the failure to successfully execute or integrate acquisitions, divestitures and joint ventures;</w:t>
      </w:r>
    </w:p>
    <w:p>
      <w:pPr>
        <w:spacing w:after="0" w:line="275" w:lineRule="exact"/>
        <w:rPr>
          <w:rFonts w:ascii="Arial" w:cs="Arial" w:eastAsia="Arial" w:hAnsi="Arial"/>
          <w:sz w:val="16"/>
          <w:szCs w:val="16"/>
          <w:color w:val="auto"/>
        </w:rPr>
      </w:pPr>
    </w:p>
    <w:p>
      <w:pPr>
        <w:ind w:left="660" w:right="5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international operations may not achieve projected growth objectives, which could adversely impact our overall business and results of operations;</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including impacts on our business arising from the conflict between Russia and Ukraine, could negatively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408940</wp:posOffset>
            </wp:positionV>
            <wp:extent cx="1968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Disruptions, failures or security breaches of our information technology infrastructure could have a negative impact on our operations;</w:t>
      </w:r>
    </w:p>
    <w:p>
      <w:pPr>
        <w:spacing w:after="0" w:line="263" w:lineRule="exact"/>
        <w:rPr>
          <w:rFonts w:ascii="Arial" w:cs="Arial" w:eastAsia="Arial" w:hAnsi="Arial"/>
          <w:sz w:val="17"/>
          <w:szCs w:val="17"/>
          <w:color w:val="auto"/>
        </w:rPr>
      </w:pPr>
    </w:p>
    <w:p>
      <w:pPr>
        <w:ind w:left="660" w:right="6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Complications with the design or implementation of our new enterprise resource planning system could adversely impact our business and operations; and</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other matters as discussed in our 2022 Annual Report on Form 10-K and this Quarterly Report on Form 10-Q, including Part II, Item 1A, ”Risk Factors.”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total amount of short-term debt, net of cash, amounted to net debt of $142.7 million and net debt of $230.0 million, at April 2, 2023 and December 31, 2022, respectively. A hypothetical 100 basis point increase in interest rates applied to this variable-rate short-term debt as of April 2, 2023 would have changed interest expense by approximately $0.4 million for the first three months of 2023 and $4.5 million for 2022.</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April 2, 2023 and December 31, 2022 by approximately $208 million and $187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$15.0 million as of April 2, 2023 and $18.4 million as of December 31, 2022, generally offset by a reduction in foreign exchange associated with our transactional activities.</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open commodity derivative contracts had a notional value of $172.3 million as of April 2, 2023 and $243.0 million as of December 31, 2022. At the end of the first quarter of 2023, the potential change in fair value of commodity derivative instruments, assuming a 10% decrease in the underlying commodity price, would have increased our net unrealized losses by $16.4 million, generally offset by a reduction in the cost of the underlying commodity 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4" w:name="page45"/>
    <w:bookmarkEnd w:id="44"/>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April 2, 2023. Based on this evaluation, our Chief Executive Officer and Chief Financial Officer concluded that our disclosure controls and procedures were effective as of April 2, 2023.</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During the third quarter of 2022, we completed the implementation of our new ERP system for one operating segment which is included in our International segment. The portion of the transition to the new ERP system which we have completed to date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April 2, 2023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365760</wp:posOffset>
            </wp:positionV>
            <wp:extent cx="19685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on legal proceedings is included in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When evaluating an investment in our Common Stock, investors should consider carefully, among other things, the risk factors previously disclosed in Part I, Item 1A, “Risk Factors,” of our 2022 Annual Report on Form 10-K and the information contained in this Quarterly Report on Form 10-Q and our other reports and registration statements filed with the SEC.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10b-18(a)(3) under the Securities Exchange Act of 1934, as amended) of Hershey, for each fiscal month in the three months ended April 2, 2023:</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94"/>
              </w:rPr>
              <w:t>Total Number of</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9"/>
              </w:rPr>
              <w:t>Average Price</w:t>
            </w:r>
          </w:p>
        </w:tc>
        <w:tc>
          <w:tcPr>
            <w:tcW w:w="16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2"/>
              </w:rPr>
              <w:t>Shares that May</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8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92"/>
              </w:rPr>
              <w:t>as Part of Publicly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162"/>
        </w:trPr>
        <w:tc>
          <w:tcPr>
            <w:tcW w:w="3520" w:type="dxa"/>
            <w:vAlign w:val="bottom"/>
            <w:gridSpan w:val="2"/>
            <w:vMerge w:val="restart"/>
          </w:tcPr>
          <w:p>
            <w:pPr>
              <w:ind w:left="1380"/>
              <w:spacing w:after="0"/>
              <w:rPr>
                <w:sz w:val="20"/>
                <w:szCs w:val="20"/>
                <w:color w:val="auto"/>
              </w:rPr>
            </w:pPr>
            <w:r>
              <w:rPr>
                <w:rFonts w:ascii="Arial" w:cs="Arial" w:eastAsia="Arial" w:hAnsi="Arial"/>
                <w:sz w:val="16"/>
                <w:szCs w:val="16"/>
                <w:b w:val="1"/>
                <w:bCs w:val="1"/>
                <w:color w:val="auto"/>
              </w:rPr>
              <w:t>Period</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4"/>
              </w:rPr>
              <w:t>Paid</w:t>
            </w:r>
          </w:p>
        </w:tc>
        <w:tc>
          <w:tcPr>
            <w:tcW w:w="168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Arial" w:cs="Arial" w:eastAsia="Arial" w:hAnsi="Arial"/>
                <w:sz w:val="16"/>
                <w:szCs w:val="16"/>
                <w:b w:val="1"/>
                <w:bCs w:val="1"/>
                <w:color w:val="auto"/>
                <w:w w:val="92"/>
              </w:rPr>
              <w:t>Under the Plans or</w:t>
            </w:r>
          </w:p>
        </w:tc>
        <w:tc>
          <w:tcPr>
            <w:tcW w:w="0" w:type="dxa"/>
            <w:vAlign w:val="bottom"/>
          </w:tcPr>
          <w:p>
            <w:pPr>
              <w:spacing w:after="0"/>
              <w:rPr>
                <w:sz w:val="1"/>
                <w:szCs w:val="1"/>
                <w:color w:val="auto"/>
              </w:rPr>
            </w:pPr>
          </w:p>
        </w:tc>
      </w:tr>
      <w:tr>
        <w:trPr>
          <w:trHeight w:val="213"/>
        </w:trPr>
        <w:tc>
          <w:tcPr>
            <w:tcW w:w="3520" w:type="dxa"/>
            <w:vAlign w:val="bottom"/>
            <w:gridSpan w:val="2"/>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per Share</w:t>
            </w:r>
          </w:p>
        </w:tc>
        <w:tc>
          <w:tcPr>
            <w:tcW w:w="1680" w:type="dxa"/>
            <w:vAlign w:val="bottom"/>
          </w:tcPr>
          <w:p>
            <w:pPr>
              <w:jc w:val="center"/>
              <w:ind w:left="239"/>
              <w:spacing w:after="0"/>
              <w:rPr>
                <w:sz w:val="20"/>
                <w:szCs w:val="20"/>
                <w:color w:val="auto"/>
              </w:rPr>
            </w:pPr>
            <w:r>
              <w:rPr>
                <w:rFonts w:ascii="Arial" w:cs="Arial" w:eastAsia="Arial" w:hAnsi="Arial"/>
                <w:sz w:val="16"/>
                <w:szCs w:val="16"/>
                <w:b w:val="1"/>
                <w:bCs w:val="1"/>
                <w:color w:val="auto"/>
                <w:w w:val="93"/>
              </w:rPr>
              <w:t>or Programs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7"/>
              <w:spacing w:after="0"/>
              <w:rPr>
                <w:sz w:val="20"/>
                <w:szCs w:val="20"/>
                <w:color w:val="auto"/>
              </w:rPr>
            </w:pPr>
            <w:r>
              <w:rPr>
                <w:rFonts w:ascii="Arial" w:cs="Arial" w:eastAsia="Arial" w:hAnsi="Arial"/>
                <w:sz w:val="16"/>
                <w:szCs w:val="16"/>
                <w:b w:val="1"/>
                <w:bCs w:val="1"/>
                <w:color w:val="auto"/>
                <w:w w:val="93"/>
              </w:rPr>
              <w:t>Programs (2)</w:t>
            </w:r>
          </w:p>
        </w:tc>
        <w:tc>
          <w:tcPr>
            <w:tcW w:w="0" w:type="dxa"/>
            <w:vAlign w:val="bottom"/>
          </w:tcPr>
          <w:p>
            <w:pPr>
              <w:spacing w:after="0"/>
              <w:rPr>
                <w:sz w:val="1"/>
                <w:szCs w:val="1"/>
                <w:color w:val="auto"/>
              </w:rPr>
            </w:pPr>
          </w:p>
        </w:tc>
      </w:tr>
      <w:tr>
        <w:trPr>
          <w:trHeight w:val="191"/>
        </w:trPr>
        <w:tc>
          <w:tcPr>
            <w:tcW w:w="3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(in thousands of dollars)</w:t>
            </w:r>
          </w:p>
        </w:tc>
        <w:tc>
          <w:tcPr>
            <w:tcW w:w="0" w:type="dxa"/>
            <w:vAlign w:val="bottom"/>
          </w:tcPr>
          <w:p>
            <w:pPr>
              <w:spacing w:after="0"/>
              <w:rPr>
                <w:sz w:val="1"/>
                <w:szCs w:val="1"/>
                <w:color w:val="auto"/>
              </w:rPr>
            </w:pPr>
          </w:p>
        </w:tc>
      </w:tr>
      <w:tr>
        <w:trPr>
          <w:trHeight w:val="238"/>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through January 29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609,983</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January 30 through February 26</w:t>
            </w:r>
          </w:p>
        </w:tc>
        <w:tc>
          <w:tcPr>
            <w:tcW w:w="1640" w:type="dxa"/>
            <w:vAlign w:val="bottom"/>
          </w:tcPr>
          <w:p>
            <w:pPr>
              <w:jc w:val="right"/>
              <w:spacing w:after="0"/>
              <w:rPr>
                <w:sz w:val="20"/>
                <w:szCs w:val="20"/>
                <w:color w:val="auto"/>
              </w:rPr>
            </w:pPr>
            <w:r>
              <w:rPr>
                <w:rFonts w:ascii="Arial" w:cs="Arial" w:eastAsia="Arial" w:hAnsi="Arial"/>
                <w:sz w:val="18"/>
                <w:szCs w:val="18"/>
                <w:color w:val="auto"/>
              </w:rPr>
              <w:t>1,000,000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239.91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7"/>
              <w:spacing w:after="0"/>
              <w:rPr>
                <w:sz w:val="20"/>
                <w:szCs w:val="20"/>
                <w:color w:val="auto"/>
              </w:rPr>
            </w:pPr>
            <w:r>
              <w:rPr>
                <w:rFonts w:ascii="Arial" w:cs="Arial" w:eastAsia="Arial" w:hAnsi="Arial"/>
                <w:sz w:val="18"/>
                <w:szCs w:val="18"/>
                <w:color w:val="auto"/>
              </w:rPr>
              <w:t>370,073</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27 through April 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370,073</w:t>
            </w: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239.91</w:t>
            </w:r>
          </w:p>
        </w:tc>
        <w:tc>
          <w:tcPr>
            <w:tcW w:w="10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55"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three months ended April 2, 2023, no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note (2). In February 2023, the Company entered into a Stock Purchase Agreement with Hershey Trust Company, as trustee for the Milton Hershey School Trust, pursuant to which the Company purchased 1,000,000 shares of the Company’s Common Stock from the Milton Hershey School Trust at a price equal to $239.91 per share, for a total purchase price of $239.9 million.</w:t>
      </w:r>
    </w:p>
    <w:p>
      <w:pPr>
        <w:spacing w:after="0" w:line="138" w:lineRule="exact"/>
        <w:rPr>
          <w:rFonts w:ascii="Arial" w:cs="Arial" w:eastAsia="Arial" w:hAnsi="Arial"/>
          <w:sz w:val="18"/>
          <w:szCs w:val="18"/>
          <w:color w:val="auto"/>
        </w:rPr>
      </w:pPr>
    </w:p>
    <w:p>
      <w:pPr>
        <w:ind w:right="200" w:firstLine="8"/>
        <w:spacing w:after="0" w:line="25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July 2018, our Board of Directors approved a $500 million share repurchase authorization. In May 2021, our Board of Directors approved an additional $500 million share repurchase authorization. As a result of the February 2023 Stock Purchase Agreement with Hershey Trust Company, as trustee for the Milton Hershey School Trust, the July 2018 share repurchase authorization program was completed and as of April 2, 2023 approximately $370 million remains available for repurchase under the May 2021 share repurchase authorization. The share repurchase program does not have an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556895</wp:posOffset>
            </wp:positionV>
            <wp:extent cx="19685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6" w:name="page47"/>
    <w:bookmarkEnd w:id="46"/>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4"/>
              </w:rPr>
              <w:t>Exhibit 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60" w:type="dxa"/>
            <w:vAlign w:val="bottom"/>
            <w:gridSpan w:val="7"/>
          </w:tcPr>
          <w:p>
            <w:pPr>
              <w:ind w:left="180"/>
              <w:spacing w:after="0"/>
              <w:rPr>
                <w:sz w:val="20"/>
                <w:szCs w:val="20"/>
                <w:color w:val="auto"/>
              </w:rPr>
            </w:pPr>
            <w:r>
              <w:rPr>
                <w:rFonts w:ascii="Arial" w:cs="Arial" w:eastAsia="Arial" w:hAnsi="Arial"/>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rFonts w:ascii="Arial" w:cs="Arial" w:eastAsia="Arial" w:hAnsi="Arial"/>
                <w:sz w:val="16"/>
                <w:szCs w:val="16"/>
                <w:color w:val="0000FF"/>
                <w:w w:val="89"/>
              </w:rPr>
            </w:pPr>
            <w:hyperlink r:id="rId126">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20" w:type="dxa"/>
            <w:vAlign w:val="bottom"/>
            <w:tcBorders>
              <w:top w:val="single" w:sz="8" w:color="auto"/>
            </w:tcBorders>
            <w:gridSpan w:val="11"/>
            <w:shd w:val="clear" w:color="auto" w:fill="CCEEFF"/>
          </w:tcPr>
          <w:p>
            <w:pPr>
              <w:spacing w:after="0" w:line="172" w:lineRule="exact"/>
              <w:rPr>
                <w:rFonts w:ascii="Arial" w:cs="Arial" w:eastAsia="Arial" w:hAnsi="Arial"/>
                <w:sz w:val="16"/>
                <w:szCs w:val="16"/>
                <w:color w:val="0000FF"/>
                <w:w w:val="94"/>
              </w:rPr>
            </w:pPr>
            <w:hyperlink r:id="rId126">
              <w:r>
                <w:rPr>
                  <w:rFonts w:ascii="Arial" w:cs="Arial" w:eastAsia="Arial" w:hAnsi="Arial"/>
                  <w:sz w:val="16"/>
                  <w:szCs w:val="16"/>
                  <w:color w:val="0000FF"/>
                  <w:w w:val="94"/>
                </w:rPr>
                <w:t>The Company’s Restated Certificate of Incorporation, as amended, is incorporated by reference from Exhibit 3 to the Company’s Quarterly Report on</w:t>
              </w:r>
            </w:hyperlink>
          </w:p>
        </w:tc>
      </w:tr>
      <w:tr>
        <w:trPr>
          <w:trHeight w:val="163"/>
        </w:trPr>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04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6"/>
                <w:szCs w:val="16"/>
                <w:color w:val="0000FF"/>
                <w:w w:val="91"/>
              </w:rPr>
            </w:pPr>
            <w:hyperlink r:id="rId126">
              <w:r>
                <w:rPr>
                  <w:rFonts w:ascii="Arial" w:cs="Arial" w:eastAsia="Arial" w:hAnsi="Arial"/>
                  <w:sz w:val="16"/>
                  <w:szCs w:val="16"/>
                  <w:color w:val="0000FF"/>
                  <w:w w:val="91"/>
                </w:rPr>
                <w:t>Form 10-Q for the quarter ended April 3, 2005.</w:t>
              </w:r>
            </w:hyperlink>
          </w:p>
        </w:tc>
        <w:tc>
          <w:tcPr>
            <w:tcW w:w="6640" w:type="dxa"/>
            <w:vAlign w:val="bottom"/>
            <w:tcBorders>
              <w:top w:val="single" w:sz="8" w:color="0000FF"/>
              <w:bottom w:val="single" w:sz="8" w:color="CCEEFF"/>
            </w:tcBorders>
            <w:gridSpan w:val="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700" w:type="dxa"/>
            <w:vAlign w:val="bottom"/>
            <w:gridSpan w:val="3"/>
          </w:tcPr>
          <w:p>
            <w:pPr>
              <w:jc w:val="center"/>
              <w:ind w:left="419"/>
              <w:spacing w:after="0" w:line="175" w:lineRule="exact"/>
              <w:rPr>
                <w:rFonts w:ascii="Arial" w:cs="Arial" w:eastAsia="Arial" w:hAnsi="Arial"/>
                <w:sz w:val="16"/>
                <w:szCs w:val="16"/>
                <w:color w:val="0000FF"/>
                <w:w w:val="89"/>
              </w:rPr>
            </w:pPr>
            <w:hyperlink r:id="rId127">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1"/>
          </w:tcPr>
          <w:p>
            <w:pPr>
              <w:spacing w:after="0" w:line="175" w:lineRule="exact"/>
              <w:rPr>
                <w:rFonts w:ascii="Arial" w:cs="Arial" w:eastAsia="Arial" w:hAnsi="Arial"/>
                <w:sz w:val="16"/>
                <w:szCs w:val="16"/>
                <w:color w:val="0000FF"/>
                <w:w w:val="93"/>
              </w:rPr>
            </w:pPr>
            <w:hyperlink r:id="rId127">
              <w:r>
                <w:rPr>
                  <w:rFonts w:ascii="Arial" w:cs="Arial" w:eastAsia="Arial" w:hAnsi="Arial"/>
                  <w:sz w:val="16"/>
                  <w:szCs w:val="16"/>
                  <w:color w:val="0000FF"/>
                  <w:w w:val="93"/>
                </w:rPr>
                <w:t>The Company's By-laws, as amended and restated as of February 21, 2017, are incorporated by reference from Exhibit 3.2 to the Company’s Annual</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Report on Form 10-K for the fiscal year ended December 31, 2018.</w:t>
              </w:r>
            </w:hyperlink>
          </w:p>
        </w:tc>
        <w:tc>
          <w:tcPr>
            <w:tcW w:w="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r:id="rId12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1"/>
            <w:shd w:val="clear" w:color="auto" w:fill="CCEEFF"/>
          </w:tcPr>
          <w:p>
            <w:pPr>
              <w:spacing w:after="0" w:line="175" w:lineRule="exact"/>
              <w:rPr>
                <w:rFonts w:ascii="Arial" w:cs="Arial" w:eastAsia="Arial" w:hAnsi="Arial"/>
                <w:sz w:val="16"/>
                <w:szCs w:val="16"/>
                <w:color w:val="0000FF"/>
                <w:w w:val="92"/>
              </w:rPr>
            </w:pPr>
            <w:hyperlink r:id="rId128">
              <w:r>
                <w:rPr>
                  <w:rFonts w:ascii="Arial" w:cs="Arial" w:eastAsia="Arial" w:hAnsi="Arial"/>
                  <w:sz w:val="16"/>
                  <w:szCs w:val="16"/>
                  <w:color w:val="0000FF"/>
                  <w:w w:val="92"/>
                </w:rPr>
                <w:t>Stock Purchase Agreement, dated February 13, 2023, between Milton Hershey School Trust, by its trustee, Hershey Trust Company, and The Hershey</w:t>
              </w:r>
            </w:hyperlink>
          </w:p>
        </w:tc>
      </w:tr>
      <w:tr>
        <w:trPr>
          <w:trHeight w:val="163"/>
        </w:trPr>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380" w:type="dxa"/>
            <w:vAlign w:val="bottom"/>
            <w:tcBorders>
              <w:top w:val="single" w:sz="8" w:color="0000FF"/>
              <w:bottom w:val="single" w:sz="8" w:color="0000FF"/>
            </w:tcBorders>
            <w:gridSpan w:val="5"/>
            <w:shd w:val="clear" w:color="auto" w:fill="CCEEFF"/>
          </w:tcPr>
          <w:p>
            <w:pPr>
              <w:spacing w:after="0" w:line="142" w:lineRule="exact"/>
              <w:rPr>
                <w:rFonts w:ascii="Arial" w:cs="Arial" w:eastAsia="Arial" w:hAnsi="Arial"/>
                <w:sz w:val="16"/>
                <w:szCs w:val="16"/>
                <w:color w:val="0000FF"/>
                <w:w w:val="92"/>
              </w:rPr>
            </w:pPr>
            <w:hyperlink r:id="rId128">
              <w:r>
                <w:rPr>
                  <w:rFonts w:ascii="Arial" w:cs="Arial" w:eastAsia="Arial" w:hAnsi="Arial"/>
                  <w:sz w:val="16"/>
                  <w:szCs w:val="16"/>
                  <w:color w:val="0000FF"/>
                  <w:w w:val="92"/>
                </w:rPr>
                <w:t>Company, is incorporated by reference from Exhibit 10.1 to the Company’s Current Report on Form 8-K filed February 15, 2023.</w:t>
              </w:r>
            </w:hyperlink>
          </w:p>
        </w:tc>
        <w:tc>
          <w:tcPr>
            <w:tcW w:w="132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180" w:type="dxa"/>
            <w:vAlign w:val="bottom"/>
            <w:gridSpan w:val="5"/>
          </w:tcPr>
          <w:p>
            <w:pPr>
              <w:jc w:val="center"/>
              <w:spacing w:after="0" w:line="175"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1"/>
          </w:tcPr>
          <w:p>
            <w:pPr>
              <w:spacing w:after="0" w:line="175" w:lineRule="exact"/>
              <w:rPr>
                <w:sz w:val="20"/>
                <w:szCs w:val="20"/>
                <w:color w:val="auto"/>
              </w:rPr>
            </w:pPr>
            <w:r>
              <w:rPr>
                <w:rFonts w:ascii="Arial" w:cs="Arial" w:eastAsia="Arial" w:hAnsi="Arial"/>
                <w:sz w:val="16"/>
                <w:szCs w:val="16"/>
                <w:color w:val="0000FF"/>
              </w:rPr>
              <w:t>Certification of Michele G. Buck, Chief Executive Officer, pursuant to Section 302 of the Sarbanes-Oxley Act of 2002.</w:t>
            </w:r>
            <w:r>
              <w:rPr>
                <w:rFonts w:ascii="Arial" w:cs="Arial" w:eastAsia="Arial" w:hAnsi="Arial"/>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Certification of Steven E. Voskuil, Chief Financial Officer, pursuant to Section 302 of the Sarbanes-Oxley Act of 2002.</w:t>
            </w:r>
            <w:r>
              <w:rPr>
                <w:rFonts w:ascii="Arial" w:cs="Arial" w:eastAsia="Arial" w:hAnsi="Arial"/>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3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sz w:val="20"/>
                <w:szCs w:val="20"/>
                <w:color w:val="auto"/>
              </w:rPr>
            </w:pPr>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1"/>
          </w:tcPr>
          <w:p>
            <w:pPr>
              <w:spacing w:after="0" w:line="175" w:lineRule="exact"/>
              <w:rPr>
                <w:sz w:val="20"/>
                <w:szCs w:val="20"/>
                <w:color w:val="auto"/>
              </w:rPr>
            </w:pPr>
            <w:r>
              <w:rPr>
                <w:rFonts w:ascii="Arial" w:cs="Arial" w:eastAsia="Arial" w:hAnsi="Arial"/>
                <w:sz w:val="16"/>
                <w:szCs w:val="16"/>
                <w:color w:val="0000FF"/>
                <w:w w:val="96"/>
              </w:rPr>
              <w:t>Certification of Michele G. Buck, Chief Executive Officer, and Steven E. Voskuil, Chief Financial Officer, pursuant to Section 906 of the Sarbanes-</w:t>
            </w:r>
          </w:p>
        </w:tc>
      </w:tr>
      <w:tr>
        <w:trPr>
          <w:trHeight w:val="142"/>
        </w:trPr>
        <w:tc>
          <w:tcPr>
            <w:tcW w:w="4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Oxley Act of 2002.</w:t>
            </w:r>
            <w:r>
              <w:rPr>
                <w:rFonts w:ascii="Arial" w:cs="Arial" w:eastAsia="Arial" w:hAnsi="Arial"/>
                <w:sz w:val="16"/>
                <w:szCs w:val="16"/>
                <w:color w:val="000000"/>
              </w:rPr>
              <w:t>**</w:t>
            </w:r>
          </w:p>
        </w:tc>
        <w:tc>
          <w:tcPr>
            <w:tcW w:w="360" w:type="dxa"/>
            <w:vAlign w:val="bottom"/>
            <w:gridSpan w:val="4"/>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6"/>
        </w:trPr>
        <w:tc>
          <w:tcPr>
            <w:tcW w:w="1300" w:type="dxa"/>
            <w:vAlign w:val="bottom"/>
            <w:gridSpan w:val="6"/>
            <w:shd w:val="clear" w:color="auto" w:fill="CCEEFF"/>
          </w:tcPr>
          <w:p>
            <w:pPr>
              <w:jc w:val="center"/>
              <w:ind w:right="120"/>
              <w:spacing w:after="0" w:line="166" w:lineRule="exact"/>
              <w:rPr>
                <w:sz w:val="20"/>
                <w:szCs w:val="20"/>
                <w:color w:val="auto"/>
              </w:rPr>
            </w:pPr>
            <w:r>
              <w:rPr>
                <w:rFonts w:ascii="Arial" w:cs="Arial" w:eastAsia="Arial" w:hAnsi="Arial"/>
                <w:sz w:val="16"/>
                <w:szCs w:val="16"/>
                <w:color w:val="auto"/>
                <w:w w:val="93"/>
              </w:rPr>
              <w:t>101.INS</w:t>
            </w:r>
          </w:p>
        </w:tc>
        <w:tc>
          <w:tcPr>
            <w:tcW w:w="20" w:type="dxa"/>
            <w:vAlign w:val="bottom"/>
            <w:shd w:val="clear" w:color="auto" w:fill="CCEEFF"/>
          </w:tcPr>
          <w:p>
            <w:pPr>
              <w:spacing w:after="0"/>
              <w:rPr>
                <w:sz w:val="14"/>
                <w:szCs w:val="14"/>
                <w:color w:val="auto"/>
              </w:rPr>
            </w:pPr>
          </w:p>
        </w:tc>
        <w:tc>
          <w:tcPr>
            <w:tcW w:w="9920" w:type="dxa"/>
            <w:vAlign w:val="bottom"/>
            <w:gridSpan w:val="11"/>
            <w:shd w:val="clear" w:color="auto" w:fill="CCEEFF"/>
          </w:tcPr>
          <w:p>
            <w:pPr>
              <w:spacing w:after="0" w:line="166" w:lineRule="exact"/>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its XBRL tags are embedded within the</w:t>
            </w:r>
          </w:p>
        </w:tc>
      </w:tr>
      <w:tr>
        <w:trPr>
          <w:trHeight w:val="212"/>
        </w:trPr>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2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Inline XBRL document.</w:t>
            </w:r>
          </w:p>
        </w:tc>
      </w:tr>
      <w:tr>
        <w:trPr>
          <w:trHeight w:val="220"/>
        </w:trPr>
        <w:tc>
          <w:tcPr>
            <w:tcW w:w="1300" w:type="dxa"/>
            <w:vAlign w:val="bottom"/>
            <w:gridSpan w:val="6"/>
          </w:tcPr>
          <w:p>
            <w:pPr>
              <w:jc w:val="center"/>
              <w:ind w:right="10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19"/>
                <w:szCs w:val="19"/>
                <w:color w:val="auto"/>
              </w:rPr>
            </w:pPr>
          </w:p>
        </w:tc>
        <w:tc>
          <w:tcPr>
            <w:tcW w:w="992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w:t>
            </w:r>
          </w:p>
        </w:tc>
      </w:tr>
      <w:tr>
        <w:trPr>
          <w:trHeight w:val="239"/>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6"/>
              </w:rPr>
              <w:t>101.CAL</w:t>
            </w:r>
          </w:p>
        </w:tc>
        <w:tc>
          <w:tcPr>
            <w:tcW w:w="20" w:type="dxa"/>
            <w:vAlign w:val="bottom"/>
            <w:shd w:val="clear" w:color="auto" w:fill="CCEEFF"/>
          </w:tcPr>
          <w:p>
            <w:pPr>
              <w:spacing w:after="0"/>
              <w:rPr>
                <w:sz w:val="20"/>
                <w:szCs w:val="20"/>
                <w:color w:val="auto"/>
              </w:rPr>
            </w:pPr>
          </w:p>
        </w:tc>
        <w:tc>
          <w:tcPr>
            <w:tcW w:w="992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213"/>
        </w:trPr>
        <w:tc>
          <w:tcPr>
            <w:tcW w:w="1300" w:type="dxa"/>
            <w:vAlign w:val="bottom"/>
            <w:gridSpan w:val="6"/>
          </w:tcPr>
          <w:p>
            <w:pPr>
              <w:jc w:val="center"/>
              <w:ind w:right="100"/>
              <w:spacing w:after="0"/>
              <w:rPr>
                <w:sz w:val="20"/>
                <w:szCs w:val="20"/>
                <w:color w:val="auto"/>
              </w:rPr>
            </w:pPr>
            <w:r>
              <w:rPr>
                <w:rFonts w:ascii="Arial" w:cs="Arial" w:eastAsia="Arial" w:hAnsi="Arial"/>
                <w:sz w:val="16"/>
                <w:szCs w:val="16"/>
                <w:color w:val="auto"/>
                <w:w w:val="97"/>
              </w:rPr>
              <w:t>101.LAB</w:t>
            </w:r>
          </w:p>
        </w:tc>
        <w:tc>
          <w:tcPr>
            <w:tcW w:w="20" w:type="dxa"/>
            <w:vAlign w:val="bottom"/>
          </w:tcPr>
          <w:p>
            <w:pPr>
              <w:spacing w:after="0"/>
              <w:rPr>
                <w:sz w:val="18"/>
                <w:szCs w:val="18"/>
                <w:color w:val="auto"/>
              </w:rPr>
            </w:pPr>
          </w:p>
        </w:tc>
        <w:tc>
          <w:tcPr>
            <w:tcW w:w="992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219"/>
        </w:trPr>
        <w:tc>
          <w:tcPr>
            <w:tcW w:w="1300" w:type="dxa"/>
            <w:vAlign w:val="bottom"/>
            <w:gridSpan w:val="6"/>
            <w:shd w:val="clear" w:color="auto" w:fill="CCEEFF"/>
          </w:tcPr>
          <w:p>
            <w:pPr>
              <w:jc w:val="center"/>
              <w:ind w:right="120"/>
              <w:spacing w:after="0"/>
              <w:rPr>
                <w:sz w:val="20"/>
                <w:szCs w:val="20"/>
                <w:color w:val="auto"/>
              </w:rPr>
            </w:pPr>
            <w:r>
              <w:rPr>
                <w:rFonts w:ascii="Arial" w:cs="Arial" w:eastAsia="Arial" w:hAnsi="Arial"/>
                <w:sz w:val="16"/>
                <w:szCs w:val="16"/>
                <w:color w:val="auto"/>
                <w:w w:val="90"/>
              </w:rPr>
              <w:t>101.PRE</w:t>
            </w:r>
          </w:p>
        </w:tc>
        <w:tc>
          <w:tcPr>
            <w:tcW w:w="20" w:type="dxa"/>
            <w:vAlign w:val="bottom"/>
            <w:shd w:val="clear" w:color="auto" w:fill="CCEEFF"/>
          </w:tcPr>
          <w:p>
            <w:pPr>
              <w:spacing w:after="0"/>
              <w:rPr>
                <w:sz w:val="19"/>
                <w:szCs w:val="19"/>
                <w:color w:val="auto"/>
              </w:rPr>
            </w:pPr>
          </w:p>
        </w:tc>
        <w:tc>
          <w:tcPr>
            <w:tcW w:w="992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210"/>
        </w:trPr>
        <w:tc>
          <w:tcPr>
            <w:tcW w:w="1300" w:type="dxa"/>
            <w:vAlign w:val="bottom"/>
            <w:gridSpan w:val="6"/>
          </w:tcPr>
          <w:p>
            <w:pPr>
              <w:jc w:val="center"/>
              <w:ind w:right="100"/>
              <w:spacing w:after="0"/>
              <w:rPr>
                <w:sz w:val="20"/>
                <w:szCs w:val="20"/>
                <w:color w:val="auto"/>
              </w:rPr>
            </w:pPr>
            <w:r>
              <w:rPr>
                <w:rFonts w:ascii="Arial" w:cs="Arial" w:eastAsia="Arial" w:hAnsi="Arial"/>
                <w:sz w:val="16"/>
                <w:szCs w:val="16"/>
                <w:color w:val="auto"/>
                <w:w w:val="94"/>
              </w:rPr>
              <w:t>101.DEF</w:t>
            </w:r>
          </w:p>
        </w:tc>
        <w:tc>
          <w:tcPr>
            <w:tcW w:w="20" w:type="dxa"/>
            <w:vAlign w:val="bottom"/>
          </w:tcPr>
          <w:p>
            <w:pPr>
              <w:spacing w:after="0"/>
              <w:rPr>
                <w:sz w:val="18"/>
                <w:szCs w:val="18"/>
                <w:color w:val="auto"/>
              </w:rPr>
            </w:pPr>
          </w:p>
        </w:tc>
        <w:tc>
          <w:tcPr>
            <w:tcW w:w="992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83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3" w:lineRule="exact"/>
        <w:rPr>
          <w:sz w:val="20"/>
          <w:szCs w:val="20"/>
          <w:color w:val="auto"/>
        </w:rPr>
      </w:pPr>
    </w:p>
    <w:p>
      <w:pPr>
        <w:ind w:left="1300" w:right="540" w:hanging="826"/>
        <w:spacing w:after="0" w:line="293"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quarterly period ended April 2, 2023, formatted in Inline XBRL and contained in Exhibit 101.</w:t>
      </w:r>
    </w:p>
    <w:p>
      <w:pPr>
        <w:spacing w:after="0" w:line="253" w:lineRule="exact"/>
        <w:rPr>
          <w:sz w:val="20"/>
          <w:szCs w:val="20"/>
          <w:color w:val="auto"/>
        </w:rPr>
      </w:pPr>
    </w:p>
    <w:p>
      <w:pPr>
        <w:ind w:left="1300" w:hanging="745"/>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1166495</wp:posOffset>
            </wp:positionV>
            <wp:extent cx="19685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34"/>
        </w:trPr>
        <w:tc>
          <w:tcPr>
            <w:tcW w:w="264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499"/>
        </w:trPr>
        <w:tc>
          <w:tcPr>
            <w:tcW w:w="2640" w:type="dxa"/>
            <w:vAlign w:val="bottom"/>
          </w:tcPr>
          <w:p>
            <w:pPr>
              <w:spacing w:after="0"/>
              <w:rPr>
                <w:sz w:val="20"/>
                <w:szCs w:val="20"/>
                <w:color w:val="auto"/>
              </w:rPr>
            </w:pPr>
            <w:r>
              <w:rPr>
                <w:rFonts w:ascii="Arial" w:cs="Arial" w:eastAsia="Arial" w:hAnsi="Arial"/>
                <w:sz w:val="18"/>
                <w:szCs w:val="18"/>
                <w:color w:val="auto"/>
              </w:rPr>
              <w:t>Date: April 27, 2023</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Steven E. Voskuil</w:t>
            </w:r>
          </w:p>
        </w:tc>
      </w:tr>
      <w:tr>
        <w:trPr>
          <w:trHeight w:val="222"/>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Steven E. Voskuil</w:t>
            </w:r>
          </w:p>
        </w:tc>
      </w:tr>
      <w:tr>
        <w:trPr>
          <w:trHeight w:val="229"/>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r>
        <w:trPr>
          <w:trHeight w:val="500"/>
        </w:trPr>
        <w:tc>
          <w:tcPr>
            <w:tcW w:w="2640" w:type="dxa"/>
            <w:vAlign w:val="bottom"/>
          </w:tcPr>
          <w:p>
            <w:pPr>
              <w:spacing w:after="0"/>
              <w:rPr>
                <w:sz w:val="20"/>
                <w:szCs w:val="20"/>
                <w:color w:val="auto"/>
              </w:rPr>
            </w:pPr>
            <w:r>
              <w:rPr>
                <w:rFonts w:ascii="Arial" w:cs="Arial" w:eastAsia="Arial" w:hAnsi="Arial"/>
                <w:sz w:val="18"/>
                <w:szCs w:val="18"/>
                <w:color w:val="auto"/>
              </w:rPr>
              <w:t>Date: April 27, 2023</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Jennifer L. McCalman</w:t>
            </w:r>
          </w:p>
        </w:tc>
      </w:tr>
      <w:tr>
        <w:trPr>
          <w:trHeight w:val="222"/>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Jennifer L. McCalman</w:t>
            </w:r>
          </w:p>
        </w:tc>
      </w:tr>
      <w:tr>
        <w:trPr>
          <w:trHeight w:val="230"/>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Vice President, Chief Accounting Officer</w:t>
            </w:r>
          </w:p>
        </w:tc>
      </w:tr>
      <w:tr>
        <w:trPr>
          <w:trHeight w:val="230"/>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Q1 2023 Form 10-Q | Page 47</w:t>
      </w:r>
    </w:p>
    <w:p>
      <w:pPr>
        <w:sectPr>
          <w:pgSz w:w="11900" w:h="16838" w:orient="portrait"/>
          <w:cols w:equalWidth="0" w:num="1">
            <w:col w:w="11220"/>
          </w:cols>
          <w:pgMar w:left="320" w:top="1255" w:right="3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20" w:hanging="412"/>
        <w:spacing w:after="0" w:line="308" w:lineRule="auto"/>
        <w:tabs>
          <w:tab w:leader="none" w:pos="32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25"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20" w:hanging="406"/>
        <w:spacing w:after="0" w:line="277" w:lineRule="auto"/>
        <w:tabs>
          <w:tab w:leader="none" w:pos="8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81280</wp:posOffset>
            </wp:positionV>
            <wp:extent cx="34632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26"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Michele G. Buck</w:t>
      </w:r>
    </w:p>
    <w:p>
      <w:pPr>
        <w:spacing w:after="0" w:line="25"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Chief Executive Officer</w:t>
      </w:r>
    </w:p>
    <w:p>
      <w:pPr>
        <w:spacing w:after="0" w:line="15"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(Principal Executive Officer)</w:t>
      </w:r>
    </w:p>
    <w:p>
      <w:pPr>
        <w:spacing w:after="0" w:line="31"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486410</wp:posOffset>
            </wp:positionV>
            <wp:extent cx="1968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Q1 2023 Form 10-Q | Exhibit 31.1</w:t>
      </w:r>
    </w:p>
    <w:p>
      <w:pPr>
        <w:sectPr>
          <w:pgSz w:w="11900" w:h="16838" w:orient="portrait"/>
          <w:cols w:equalWidth="0" w:num="1">
            <w:col w:w="11200"/>
          </w:cols>
          <w:pgMar w:left="360" w:top="76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20" w:hanging="412"/>
        <w:spacing w:after="0" w:line="308" w:lineRule="auto"/>
        <w:tabs>
          <w:tab w:leader="none" w:pos="32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25"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20" w:hanging="406"/>
        <w:spacing w:after="0" w:line="277" w:lineRule="auto"/>
        <w:tabs>
          <w:tab w:leader="none" w:pos="8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jc w:val="center"/>
        <w:ind w:right="582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89535</wp:posOffset>
            </wp:positionV>
            <wp:extent cx="34632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39"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Steven E. Voskuil</w:t>
      </w:r>
    </w:p>
    <w:p>
      <w:pPr>
        <w:spacing w:after="0" w:line="25"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Chief Financial Officer</w:t>
      </w:r>
    </w:p>
    <w:p>
      <w:pPr>
        <w:spacing w:after="0" w:line="15"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(Principal Financial Officer)</w:t>
      </w:r>
    </w:p>
    <w:p>
      <w:pPr>
        <w:spacing w:after="0" w:line="31"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640715</wp:posOffset>
            </wp:positionV>
            <wp:extent cx="19685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Q1 2023 Form 10-Q | Exhibit 31.2</w:t>
      </w:r>
    </w:p>
    <w:p>
      <w:pPr>
        <w:sectPr>
          <w:pgSz w:w="11900" w:h="16838" w:orient="portrait"/>
          <w:cols w:equalWidth="0" w:num="1">
            <w:col w:w="11200"/>
          </w:cols>
          <w:pgMar w:left="360" w:top="76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April 2,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5" w:lineRule="exact"/>
        <w:rPr>
          <w:sz w:val="20"/>
          <w:szCs w:val="20"/>
          <w:color w:val="auto"/>
        </w:rPr>
      </w:pPr>
    </w:p>
    <w:tbl>
      <w:tblPr>
        <w:tblLayout w:type="fixed"/>
        <w:tblInd w:w="540" w:type="dxa"/>
        <w:tblCellMar>
          <w:top w:w="0" w:type="dxa"/>
          <w:left w:w="0" w:type="dxa"/>
          <w:bottom w:w="0" w:type="dxa"/>
          <w:right w:w="0" w:type="dxa"/>
        </w:tblCellMar>
      </w:tblP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Date:   April 27, 2023</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MICHELE G. BUCK</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Chief Executive Officer</w:t>
            </w:r>
          </w:p>
        </w:tc>
      </w:tr>
      <w:tr>
        <w:trPr>
          <w:trHeight w:val="210"/>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3"/>
              </w:rPr>
              <w:t>(Principal Executive Officer)</w:t>
            </w:r>
          </w:p>
        </w:tc>
      </w:tr>
    </w:tbl>
    <w:p>
      <w:pPr>
        <w:spacing w:after="0" w:line="234" w:lineRule="exact"/>
        <w:rPr>
          <w:sz w:val="20"/>
          <w:szCs w:val="20"/>
          <w:color w:val="auto"/>
        </w:rPr>
      </w:pPr>
    </w:p>
    <w:tbl>
      <w:tblPr>
        <w:tblLayout w:type="fixed"/>
        <w:tblInd w:w="540" w:type="dxa"/>
        <w:tblCellMar>
          <w:top w:w="0" w:type="dxa"/>
          <w:left w:w="0" w:type="dxa"/>
          <w:bottom w:w="0" w:type="dxa"/>
          <w:right w:w="0" w:type="dxa"/>
        </w:tblCellMar>
      </w:tblP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Date:   April 27, 2023</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STEVEN E. VOSKUIL</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Chief Financial Officer</w:t>
            </w:r>
          </w:p>
        </w:tc>
      </w:tr>
      <w:tr>
        <w:trPr>
          <w:trHeight w:val="210"/>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5"/>
              </w:rPr>
              <w:t>(Principal Financial Officer)</w:t>
            </w:r>
          </w:p>
        </w:tc>
      </w:tr>
    </w:tbl>
    <w:p>
      <w:pPr>
        <w:spacing w:after="0" w:line="24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1051560</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Hershey Company | Q1 2023 Form 10-Q | Exhibit 32.1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jpeg"/><Relationship Id="rId131" Type="http://schemas.openxmlformats.org/officeDocument/2006/relationships/image" Target="media/image121.png"/><Relationship Id="rId132" Type="http://schemas.openxmlformats.org/officeDocument/2006/relationships/image" Target="media/image122.jpeg"/><Relationship Id="rId133" Type="http://schemas.openxmlformats.org/officeDocument/2006/relationships/image" Target="media/image123.png"/><Relationship Id="rId134" Type="http://schemas.openxmlformats.org/officeDocument/2006/relationships/image" Target="media/image124.jpeg"/><Relationship Id="rId135" Type="http://schemas.openxmlformats.org/officeDocument/2006/relationships/image" Target="media/image125.png"/><Relationship Id="rId136" Type="http://schemas.openxmlformats.org/officeDocument/2006/relationships/image" Target="media/image126.jpeg"/><Relationship Id="rId137" Type="http://schemas.openxmlformats.org/officeDocument/2006/relationships/image" Target="media/image127.jpeg"/><Relationship Id="rId126" Type="http://schemas.openxmlformats.org/officeDocument/2006/relationships/hyperlink" Target="http://www.sec.gov/Archives/edgar/data/47111/000004711105000159/exhibit3.htm?_sm_byp=iVV7PRrr5tFtD2T5" TargetMode="External"/><Relationship Id="rId127" Type="http://schemas.openxmlformats.org/officeDocument/2006/relationships/hyperlink" Target="http://www.sec.gov/Archives/edgar/data/47111/000004711119000010/hsy_20181231exhibit32by-la.htm" TargetMode="External"/><Relationship Id="rId128" Type="http://schemas.openxmlformats.org/officeDocument/2006/relationships/hyperlink" Target="https://www.sec.gov/Archives/edgar/data/47111/000004711123000008/stockpurchaseagreement-2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2023-04-27T09:27:17Z</dcterms:created>
  <dcterms:modified xsi:type="dcterms:W3CDTF">2023-04-27T09:27:17Z</dcterms:modified>
</cp:coreProperties>
</file>