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UNITED STATES </w:t>
      </w:r>
    </w:p>
    <w:p>
      <w:pPr>
        <w:pStyle w:val="TextBody"/>
        <w:bidi w:val="0"/>
        <w:spacing w:lineRule="auto" w:line="240"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SECURITIES AND EXCHANGE COMMISSION </w: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WASHINGTON, D.C. 20549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30, 2025</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______to_______</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94310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809625"/>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THE HERSHEY COMPANY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23-0691590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40"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 xml:space="preserve">19 East Chocolate Avenue, Hershey, PA 17033 </w:t>
      </w:r>
    </w:p>
    <w:p>
      <w:pPr>
        <w:pStyle w:val="TextBody"/>
        <w:bidi w:val="0"/>
        <w:spacing w:lineRule="auto" w:line="240"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p>
      <w:pPr>
        <w:pStyle w:val="TextBody"/>
        <w:bidi w:val="0"/>
        <w:spacing w:lineRule="auto" w:line="240"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 xml:space="preserve">(717) 534-4200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262" w:type="dxa"/>
        <w:jc w:val="left"/>
        <w:tblInd w:w="0" w:type="dxa"/>
        <w:tblLayout w:type="fixed"/>
        <w:tblCellMar>
          <w:top w:w="28" w:type="dxa"/>
          <w:left w:w="28" w:type="dxa"/>
          <w:bottom w:w="28" w:type="dxa"/>
          <w:right w:w="28" w:type="dxa"/>
        </w:tblCellMar>
      </w:tblPr>
      <w:tblGrid>
        <w:gridCol w:w="1116"/>
        <w:gridCol w:w="981"/>
        <w:gridCol w:w="992"/>
        <w:gridCol w:w="109"/>
        <w:gridCol w:w="109"/>
        <w:gridCol w:w="109"/>
        <w:gridCol w:w="564"/>
        <w:gridCol w:w="564"/>
        <w:gridCol w:w="566"/>
        <w:gridCol w:w="109"/>
        <w:gridCol w:w="109"/>
        <w:gridCol w:w="109"/>
        <w:gridCol w:w="1118"/>
        <w:gridCol w:w="1118"/>
        <w:gridCol w:w="1589"/>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one dollar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ans-serif" w:hAnsi="Times New Roman;sans-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40" w:before="240" w:after="10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shares outstanding of each of the registrant’s classes of common stock, as of the latest practicable date.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one dollar par value—147,990,276 shares, as of April 25, 2025.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one dollar par value—54,613,514 shares, as of April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Period Ended March 30, 2025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441"/>
        <w:gridCol w:w="3029"/>
        <w:gridCol w:w="3034"/>
        <w:gridCol w:w="109"/>
        <w:gridCol w:w="109"/>
        <w:gridCol w:w="109"/>
        <w:gridCol w:w="109"/>
        <w:gridCol w:w="109"/>
        <w:gridCol w:w="156"/>
      </w:tblGrid>
      <w:tr>
        <w:trPr/>
        <w:tc>
          <w:tcPr>
            <w:tcW w:w="3441"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0">
              <w:r>
                <w:rPr>
                  <w:rStyle w:val="InternetLink"/>
                  <w:rFonts w:ascii="Times New Roman;sans-serif" w:hAnsi="Times New Roman;sans-serif"/>
                  <w:b w:val="false"/>
                  <w:color w:val="0000FF"/>
                  <w:sz w:val="20"/>
                  <w:u w:val="single"/>
                </w:rPr>
                <w:t>PART I.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0">
              <w:r>
                <w:rPr>
                  <w:rStyle w:val="InternetLink"/>
                  <w:rFonts w:ascii="Times New Roman;sans-serif" w:hAnsi="Times New Roman;sans-serif"/>
                  <w:b w:val="false"/>
                  <w:color w:val="0000FF"/>
                  <w:sz w:val="20"/>
                  <w:u w:val="single"/>
                </w:rPr>
                <w:t>2</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3">
              <w:r>
                <w:rPr>
                  <w:rStyle w:val="InternetLink"/>
                  <w:rFonts w:ascii="Times New Roman;sans-serif" w:hAnsi="Times New Roman;sans-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3">
              <w:r>
                <w:rPr>
                  <w:rStyle w:val="InternetLink"/>
                  <w:rFonts w:ascii="Times New Roman;sans-serif" w:hAnsi="Times New Roman;sans-serif"/>
                  <w:b w:val="false"/>
                  <w:color w:val="0000FF"/>
                  <w:sz w:val="20"/>
                  <w:u w:val="single"/>
                </w:rPr>
                <w:t>2</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6">
              <w:r>
                <w:rPr>
                  <w:rStyle w:val="InternetLink"/>
                  <w:rFonts w:ascii="Times New Roman;sans-serif" w:hAnsi="Times New Roman;sans-serif"/>
                  <w:b w:val="false"/>
                  <w:color w:val="000080"/>
                  <w:sz w:val="20"/>
                  <w:u w:val="single"/>
                </w:rPr>
                <w:t xml:space="preserve">Consolidated Statements of Income for the Three </w:t>
              </w:r>
            </w:hyperlink>
            <w:hyperlink w:anchor="i742b29d23e2f4a678134a3152628d673_16">
              <w:r>
                <w:rPr>
                  <w:rStyle w:val="InternetLink"/>
                  <w:rFonts w:ascii="Times New Roman;sans-serif" w:hAnsi="Times New Roman;sans-serif"/>
                  <w:b w:val="false"/>
                  <w:color w:val="000080"/>
                  <w:sz w:val="20"/>
                  <w:u w:val="single"/>
                </w:rPr>
                <w:t xml:space="preserve">Months Ended </w:t>
              </w:r>
            </w:hyperlink>
            <w:hyperlink w:anchor="i742b29d23e2f4a678134a3152628d673_16">
              <w:r>
                <w:rPr>
                  <w:rStyle w:val="InternetLink"/>
                  <w:rFonts w:ascii="Times New Roman;sans-serif" w:hAnsi="Times New Roman;sans-serif"/>
                  <w:b w:val="false"/>
                  <w:color w:val="000080"/>
                  <w:sz w:val="20"/>
                  <w:u w:val="single"/>
                </w:rPr>
                <w:t>March 30, 2025</w:t>
              </w:r>
            </w:hyperlink>
            <w:hyperlink w:anchor="i742b29d23e2f4a678134a3152628d673_16">
              <w:r>
                <w:rPr>
                  <w:rStyle w:val="InternetLink"/>
                  <w:rFonts w:ascii="Times New Roman;sans-serif" w:hAnsi="Times New Roman;sans-serif"/>
                  <w:b w:val="false"/>
                  <w:color w:val="000080"/>
                  <w:sz w:val="20"/>
                  <w:u w:val="single"/>
                </w:rPr>
                <w:t xml:space="preserve"> and </w:t>
              </w:r>
            </w:hyperlink>
            <w:hyperlink w:anchor="i742b29d23e2f4a678134a3152628d673_16">
              <w:r>
                <w:rPr>
                  <w:rStyle w:val="InternetLink"/>
                  <w:rFonts w:ascii="Times New Roman;sans-serif" w:hAnsi="Times New Roman;sans-serif"/>
                  <w:b w:val="false"/>
                  <w:color w:val="000080"/>
                  <w:sz w:val="20"/>
                  <w:u w:val="single"/>
                </w:rPr>
                <w:t>March</w:t>
              </w:r>
            </w:hyperlink>
            <w:hyperlink w:anchor="i742b29d23e2f4a678134a3152628d673_16">
              <w:r>
                <w:rPr>
                  <w:rStyle w:val="InternetLink"/>
                  <w:rFonts w:ascii="Times New Roman;sans-serif" w:hAnsi="Times New Roman;sans-serif"/>
                  <w:b w:val="false"/>
                  <w:color w:val="000080"/>
                  <w:sz w:val="20"/>
                  <w:u w:val="single"/>
                </w:rPr>
                <w:t xml:space="preserve"> </w:t>
              </w:r>
            </w:hyperlink>
            <w:hyperlink w:anchor="i742b29d23e2f4a678134a3152628d673_16">
              <w:r>
                <w:rPr>
                  <w:rStyle w:val="InternetLink"/>
                  <w:rFonts w:ascii="Times New Roman;sans-serif" w:hAnsi="Times New Roman;sans-serif"/>
                  <w:b w:val="false"/>
                  <w:color w:val="000080"/>
                  <w:sz w:val="20"/>
                  <w:u w:val="single"/>
                </w:rPr>
                <w:t>3</w:t>
              </w:r>
            </w:hyperlink>
            <w:hyperlink w:anchor="i742b29d23e2f4a678134a3152628d673_16">
              <w:r>
                <w:rPr>
                  <w:rStyle w:val="InternetLink"/>
                  <w:rFonts w:ascii="Times New Roman;sans-serif" w:hAnsi="Times New Roman;sans-serif"/>
                  <w:b w:val="false"/>
                  <w:color w:val="000080"/>
                  <w:sz w:val="20"/>
                  <w:u w:val="single"/>
                </w:rPr>
                <w:t>1, 20</w:t>
              </w:r>
            </w:hyperlink>
            <w:hyperlink w:anchor="i742b29d23e2f4a678134a3152628d673_16">
              <w:r>
                <w:rPr>
                  <w:rStyle w:val="InternetLink"/>
                  <w:rFonts w:ascii="Times New Roman;sans-serif" w:hAnsi="Times New Roman;sans-serif"/>
                  <w:b w:val="false"/>
                  <w:color w:val="000080"/>
                  <w:sz w:val="20"/>
                  <w:u w:val="single"/>
                </w:rPr>
                <w:t>2</w:t>
              </w:r>
            </w:hyperlink>
            <w:hyperlink w:anchor="i742b29d23e2f4a678134a3152628d673_16">
              <w:r>
                <w:rPr>
                  <w:rStyle w:val="InternetLink"/>
                  <w:rFonts w:ascii="Times New Roman;sans-serif" w:hAnsi="Times New Roman;sans-serif"/>
                  <w:b w:val="false"/>
                  <w:color w:val="000080"/>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6">
              <w:r>
                <w:rPr>
                  <w:rStyle w:val="InternetLink"/>
                  <w:rFonts w:ascii="Times New Roman;sans-serif" w:hAnsi="Times New Roman;sans-serif"/>
                  <w:b w:val="false"/>
                  <w:color w:val="0000FF"/>
                  <w:sz w:val="20"/>
                  <w:u w:val="single"/>
                </w:rPr>
                <w:t>2</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9">
              <w:r>
                <w:rPr>
                  <w:rStyle w:val="InternetLink"/>
                  <w:rFonts w:ascii="Times New Roman;sans-serif" w:hAnsi="Times New Roman;sans-serif"/>
                  <w:b w:val="false"/>
                  <w:color w:val="000080"/>
                  <w:sz w:val="20"/>
                  <w:u w:val="single"/>
                </w:rPr>
                <w:t xml:space="preserve">Consolidated Statements of Comprehensive Income for the Three </w:t>
              </w:r>
            </w:hyperlink>
            <w:hyperlink w:anchor="i742b29d23e2f4a678134a3152628d673_19">
              <w:r>
                <w:rPr>
                  <w:rStyle w:val="InternetLink"/>
                  <w:rFonts w:ascii="Times New Roman;sans-serif" w:hAnsi="Times New Roman;sans-serif"/>
                  <w:b w:val="false"/>
                  <w:color w:val="000080"/>
                  <w:sz w:val="20"/>
                  <w:u w:val="single"/>
                </w:rPr>
                <w:t xml:space="preserve">Months Ended </w:t>
              </w:r>
            </w:hyperlink>
            <w:hyperlink w:anchor="i742b29d23e2f4a678134a3152628d673_16">
              <w:r>
                <w:rPr>
                  <w:rStyle w:val="InternetLink"/>
                  <w:rFonts w:ascii="Times New Roman;sans-serif" w:hAnsi="Times New Roman;sans-serif"/>
                  <w:b w:val="false"/>
                  <w:color w:val="000080"/>
                  <w:sz w:val="20"/>
                  <w:u w:val="single"/>
                </w:rPr>
                <w:t>March 30, 2025 and March 31,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9">
              <w:r>
                <w:rPr>
                  <w:rStyle w:val="InternetLink"/>
                  <w:rFonts w:ascii="Times New Roman;sans-serif" w:hAnsi="Times New Roman;sans-serif"/>
                  <w:b w:val="false"/>
                  <w:color w:val="0000FF"/>
                  <w:sz w:val="20"/>
                  <w:u w:val="single"/>
                </w:rPr>
                <w:t>3</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22">
              <w:r>
                <w:rPr>
                  <w:rStyle w:val="InternetLink"/>
                  <w:rFonts w:ascii="Times New Roman;sans-serif" w:hAnsi="Times New Roman;sans-serif"/>
                  <w:b w:val="false"/>
                  <w:color w:val="000080"/>
                  <w:sz w:val="20"/>
                  <w:u w:val="single"/>
                </w:rPr>
                <w:t xml:space="preserve">Consolidated Balance Sheets as of </w:t>
              </w:r>
            </w:hyperlink>
            <w:hyperlink w:anchor="i742b29d23e2f4a678134a3152628d673_22">
              <w:r>
                <w:rPr>
                  <w:rStyle w:val="InternetLink"/>
                  <w:rFonts w:ascii="Times New Roman;sans-serif" w:hAnsi="Times New Roman;sans-serif"/>
                  <w:b w:val="false"/>
                  <w:color w:val="000080"/>
                  <w:sz w:val="20"/>
                  <w:u w:val="single"/>
                </w:rPr>
                <w:t>March 30, 2025</w:t>
              </w:r>
            </w:hyperlink>
            <w:hyperlink w:anchor="i742b29d23e2f4a678134a3152628d673_22">
              <w:r>
                <w:rPr>
                  <w:rStyle w:val="InternetLink"/>
                  <w:rFonts w:ascii="Times New Roman;sans-serif" w:hAnsi="Times New Roman;sans-serif"/>
                  <w:b w:val="false"/>
                  <w:color w:val="000080"/>
                  <w:sz w:val="20"/>
                  <w:u w:val="single"/>
                </w:rPr>
                <w:t xml:space="preserve"> and December 31, 202</w:t>
              </w:r>
            </w:hyperlink>
            <w:hyperlink w:anchor="i742b29d23e2f4a678134a3152628d673_22">
              <w:r>
                <w:rPr>
                  <w:rStyle w:val="InternetLink"/>
                  <w:rFonts w:ascii="Times New Roman;sans-serif" w:hAnsi="Times New Roman;sans-serif"/>
                  <w:b w:val="false"/>
                  <w:color w:val="000080"/>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22">
              <w:r>
                <w:rPr>
                  <w:rStyle w:val="InternetLink"/>
                  <w:rFonts w:ascii="Times New Roman;sans-serif" w:hAnsi="Times New Roman;sans-serif"/>
                  <w:b w:val="false"/>
                  <w:color w:val="0000FF"/>
                  <w:sz w:val="20"/>
                  <w:u w:val="single"/>
                </w:rPr>
                <w:t>4</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28">
              <w:r>
                <w:rPr>
                  <w:rStyle w:val="InternetLink"/>
                  <w:rFonts w:ascii="Times New Roman;sans-serif" w:hAnsi="Times New Roman;sans-serif"/>
                  <w:b w:val="false"/>
                  <w:color w:val="000080"/>
                  <w:sz w:val="20"/>
                  <w:u w:val="single"/>
                </w:rPr>
                <w:t xml:space="preserve">Consolidated Statements of Cash Flows for the </w:t>
              </w:r>
            </w:hyperlink>
            <w:hyperlink w:anchor="i742b29d23e2f4a678134a3152628d673_28">
              <w:r>
                <w:rPr>
                  <w:rStyle w:val="InternetLink"/>
                  <w:rFonts w:ascii="Times New Roman;sans-serif" w:hAnsi="Times New Roman;sans-serif"/>
                  <w:b w:val="false"/>
                  <w:color w:val="000080"/>
                  <w:sz w:val="20"/>
                  <w:u w:val="single"/>
                </w:rPr>
                <w:t>T</w:t>
              </w:r>
            </w:hyperlink>
            <w:hyperlink w:anchor="i742b29d23e2f4a678134a3152628d673_28">
              <w:r>
                <w:rPr>
                  <w:rStyle w:val="InternetLink"/>
                  <w:rFonts w:ascii="Times New Roman;sans-serif" w:hAnsi="Times New Roman;sans-serif"/>
                  <w:b w:val="false"/>
                  <w:color w:val="000080"/>
                  <w:sz w:val="20"/>
                  <w:u w:val="single"/>
                </w:rPr>
                <w:t>hree</w:t>
              </w:r>
            </w:hyperlink>
            <w:hyperlink w:anchor="i742b29d23e2f4a678134a3152628d673_28">
              <w:r>
                <w:rPr>
                  <w:rStyle w:val="InternetLink"/>
                  <w:rFonts w:ascii="Times New Roman;sans-serif" w:hAnsi="Times New Roman;sans-serif"/>
                  <w:b w:val="false"/>
                  <w:color w:val="000080"/>
                  <w:sz w:val="20"/>
                  <w:u w:val="single"/>
                </w:rPr>
                <w:t xml:space="preserve"> Months Ended </w:t>
              </w:r>
            </w:hyperlink>
            <w:hyperlink w:anchor="i742b29d23e2f4a678134a3152628d673_16">
              <w:r>
                <w:rPr>
                  <w:rStyle w:val="InternetLink"/>
                  <w:rFonts w:ascii="Times New Roman;sans-serif" w:hAnsi="Times New Roman;sans-serif"/>
                  <w:b w:val="false"/>
                  <w:color w:val="000080"/>
                  <w:sz w:val="20"/>
                  <w:u w:val="single"/>
                </w:rPr>
                <w:t>March 30, 2025 and March 31,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28">
              <w:r>
                <w:rPr>
                  <w:rStyle w:val="InternetLink"/>
                  <w:rFonts w:ascii="Times New Roman;sans-serif" w:hAnsi="Times New Roman;sans-serif"/>
                  <w:b w:val="false"/>
                  <w:color w:val="0000FF"/>
                  <w:sz w:val="20"/>
                  <w:u w:val="single"/>
                </w:rPr>
                <w:t>5</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31">
              <w:r>
                <w:rPr>
                  <w:rStyle w:val="InternetLink"/>
                  <w:rFonts w:ascii="Times New Roman;sans-serif" w:hAnsi="Times New Roman;sans-serif"/>
                  <w:b w:val="false"/>
                  <w:color w:val="000080"/>
                  <w:sz w:val="20"/>
                  <w:u w:val="single"/>
                </w:rPr>
                <w:t xml:space="preserve">Consolidated Statements of Stockholders’ Equity for the Three </w:t>
              </w:r>
            </w:hyperlink>
            <w:hyperlink w:anchor="i742b29d23e2f4a678134a3152628d673_31">
              <w:r>
                <w:rPr>
                  <w:rStyle w:val="InternetLink"/>
                  <w:rFonts w:ascii="Times New Roman;sans-serif" w:hAnsi="Times New Roman;sans-serif"/>
                  <w:b w:val="false"/>
                  <w:color w:val="000080"/>
                  <w:sz w:val="20"/>
                  <w:u w:val="single"/>
                </w:rPr>
                <w:t>Months Ended</w:t>
              </w:r>
            </w:hyperlink>
            <w:r>
              <w:rPr>
                <w:color w:val="000000"/>
              </w:rPr>
              <w:t xml:space="preserve"> </w:t>
            </w:r>
            <w:hyperlink w:anchor="i742b29d23e2f4a678134a3152628d673_16">
              <w:r>
                <w:rPr>
                  <w:rStyle w:val="InternetLink"/>
                  <w:rFonts w:ascii="Times New Roman;sans-serif" w:hAnsi="Times New Roman;sans-serif"/>
                  <w:b w:val="false"/>
                  <w:color w:val="0000FF"/>
                  <w:sz w:val="20"/>
                  <w:u w:val="single"/>
                </w:rPr>
                <w:t>March 30, 2025 and March 31,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31">
              <w:r>
                <w:rPr>
                  <w:rStyle w:val="InternetLink"/>
                  <w:rFonts w:ascii="Times New Roman;sans-serif" w:hAnsi="Times New Roman;sans-serif"/>
                  <w:b w:val="false"/>
                  <w:color w:val="0000FF"/>
                  <w:sz w:val="20"/>
                  <w:u w:val="single"/>
                </w:rPr>
                <w:t>6</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34">
              <w:r>
                <w:rPr>
                  <w:rStyle w:val="InternetLink"/>
                  <w:rFonts w:ascii="Times New Roman;sans-serif" w:hAnsi="Times New Roman;sans-serif"/>
                  <w:b w:val="false"/>
                  <w:color w:val="0000FF"/>
                  <w:sz w:val="20"/>
                  <w:u w:val="single"/>
                </w:rPr>
                <w:t>Notes to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34">
              <w:r>
                <w:rPr>
                  <w:rStyle w:val="InternetLink"/>
                  <w:rFonts w:ascii="Times New Roman;sans-serif" w:hAnsi="Times New Roman;sans-serif"/>
                  <w:b w:val="false"/>
                  <w:color w:val="0000FF"/>
                  <w:sz w:val="20"/>
                  <w:u w:val="single"/>
                </w:rPr>
                <w:t>7</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37">
              <w:r>
                <w:rPr>
                  <w:rStyle w:val="InternetLink"/>
                  <w:rFonts w:ascii="Times New Roman;sans-serif" w:hAnsi="Times New Roman;sans-serif"/>
                  <w:b w:val="false"/>
                  <w:color w:val="0000FF"/>
                  <w:sz w:val="20"/>
                  <w:u w:val="single"/>
                </w:rPr>
                <w:t>Note 1 - Summary of Significant Accounting Policies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37">
              <w:r>
                <w:rPr>
                  <w:rStyle w:val="InternetLink"/>
                  <w:rFonts w:ascii="Times New Roman;sans-serif" w:hAnsi="Times New Roman;sans-serif"/>
                  <w:b w:val="false"/>
                  <w:color w:val="0000FF"/>
                  <w:sz w:val="20"/>
                  <w:u w:val="single"/>
                </w:rPr>
                <w:t>7</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40">
              <w:r>
                <w:rPr>
                  <w:rStyle w:val="InternetLink"/>
                  <w:rFonts w:ascii="Times New Roman;sans-serif" w:hAnsi="Times New Roman;sans-serif"/>
                  <w:b w:val="false"/>
                  <w:color w:val="0000FF"/>
                  <w:sz w:val="20"/>
                  <w:u w:val="single"/>
                </w:rPr>
                <w:t>Note 2 - Business Acquisitions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40">
              <w:r>
                <w:rPr>
                  <w:rStyle w:val="InternetLink"/>
                  <w:rFonts w:ascii="Times New Roman;sans-serif" w:hAnsi="Times New Roman;sans-serif"/>
                  <w:b w:val="false"/>
                  <w:color w:val="0000FF"/>
                  <w:sz w:val="20"/>
                  <w:u w:val="single"/>
                </w:rPr>
                <w:t>8</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43">
              <w:r>
                <w:rPr>
                  <w:rStyle w:val="InternetLink"/>
                  <w:rFonts w:ascii="Times New Roman;sans-serif" w:hAnsi="Times New Roman;sans-serif"/>
                  <w:b w:val="false"/>
                  <w:color w:val="0000FF"/>
                  <w:sz w:val="20"/>
                  <w:u w:val="single"/>
                </w:rPr>
                <w:t>Note 3 - Goodwill and Intangible Assets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43">
              <w:r>
                <w:rPr>
                  <w:rStyle w:val="InternetLink"/>
                  <w:rFonts w:ascii="Times New Roman;sans-serif" w:hAnsi="Times New Roman;sans-serif"/>
                  <w:b w:val="false"/>
                  <w:color w:val="0000FF"/>
                  <w:sz w:val="20"/>
                  <w:u w:val="single"/>
                </w:rPr>
                <w:t>9</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46">
              <w:r>
                <w:rPr>
                  <w:rStyle w:val="InternetLink"/>
                  <w:rFonts w:ascii="Times New Roman;sans-serif" w:hAnsi="Times New Roman;sans-serif"/>
                  <w:b w:val="false"/>
                  <w:color w:val="0000FF"/>
                  <w:sz w:val="20"/>
                  <w:u w:val="single"/>
                </w:rPr>
                <w:t>Note 4 - Short and Long-Term Debt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46">
              <w:r>
                <w:rPr>
                  <w:rStyle w:val="InternetLink"/>
                  <w:rFonts w:ascii="Times New Roman;sans-serif" w:hAnsi="Times New Roman;sans-serif"/>
                  <w:b w:val="false"/>
                  <w:color w:val="0000FF"/>
                  <w:sz w:val="20"/>
                  <w:u w:val="single"/>
                </w:rPr>
                <w:t>9</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52">
              <w:r>
                <w:rPr>
                  <w:rStyle w:val="InternetLink"/>
                  <w:rFonts w:ascii="Times New Roman;sans-serif" w:hAnsi="Times New Roman;sans-serif"/>
                  <w:b w:val="false"/>
                  <w:color w:val="0000FF"/>
                  <w:sz w:val="20"/>
                  <w:u w:val="single"/>
                </w:rPr>
                <w:t>Note 5 - Derivative Instruments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52">
              <w:r>
                <w:rPr>
                  <w:rStyle w:val="InternetLink"/>
                  <w:rFonts w:ascii="Times New Roman;sans-serif" w:hAnsi="Times New Roman;sans-serif"/>
                  <w:b w:val="false"/>
                  <w:color w:val="0000FF"/>
                  <w:sz w:val="20"/>
                  <w:u w:val="single"/>
                </w:rPr>
                <w:t>11</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55">
              <w:r>
                <w:rPr>
                  <w:rStyle w:val="InternetLink"/>
                  <w:rFonts w:ascii="Times New Roman;sans-serif" w:hAnsi="Times New Roman;sans-serif"/>
                  <w:b w:val="false"/>
                  <w:color w:val="0000FF"/>
                  <w:sz w:val="20"/>
                  <w:u w:val="single"/>
                </w:rPr>
                <w:t>Note 6 - Fair Value Measurements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55">
              <w:r>
                <w:rPr>
                  <w:rStyle w:val="InternetLink"/>
                  <w:rFonts w:ascii="Times New Roman;sans-serif" w:hAnsi="Times New Roman;sans-serif"/>
                  <w:b w:val="false"/>
                  <w:color w:val="0000FF"/>
                  <w:sz w:val="20"/>
                  <w:u w:val="single"/>
                </w:rPr>
                <w:t>13</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58">
              <w:r>
                <w:rPr>
                  <w:rStyle w:val="InternetLink"/>
                  <w:rFonts w:ascii="Times New Roman;sans-serif" w:hAnsi="Times New Roman;sans-serif"/>
                  <w:b w:val="false"/>
                  <w:color w:val="0000FF"/>
                  <w:sz w:val="20"/>
                  <w:u w:val="single"/>
                </w:rPr>
                <w:t>Note 7 - Leases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58">
              <w:r>
                <w:rPr>
                  <w:rStyle w:val="InternetLink"/>
                  <w:rFonts w:ascii="Times New Roman;sans-serif" w:hAnsi="Times New Roman;sans-serif"/>
                  <w:b w:val="false"/>
                  <w:color w:val="0000FF"/>
                  <w:sz w:val="20"/>
                  <w:u w:val="single"/>
                </w:rPr>
                <w:t>14</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61">
              <w:r>
                <w:rPr>
                  <w:rStyle w:val="InternetLink"/>
                  <w:rFonts w:ascii="Times New Roman;sans-serif" w:hAnsi="Times New Roman;sans-serif"/>
                  <w:b w:val="false"/>
                  <w:color w:val="0000FF"/>
                  <w:sz w:val="20"/>
                  <w:u w:val="single"/>
                </w:rPr>
                <w:t>Note 8 - Investments in Unconsolidated Affiliates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61">
              <w:r>
                <w:rPr>
                  <w:rStyle w:val="InternetLink"/>
                  <w:rFonts w:ascii="Times New Roman;sans-serif" w:hAnsi="Times New Roman;sans-serif"/>
                  <w:b w:val="false"/>
                  <w:color w:val="0000FF"/>
                  <w:sz w:val="20"/>
                  <w:u w:val="single"/>
                </w:rPr>
                <w:t>16</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64">
              <w:r>
                <w:rPr>
                  <w:rStyle w:val="InternetLink"/>
                  <w:rFonts w:ascii="Times New Roman;sans-serif" w:hAnsi="Times New Roman;sans-serif"/>
                  <w:b w:val="false"/>
                  <w:color w:val="0000FF"/>
                  <w:sz w:val="20"/>
                  <w:u w:val="single"/>
                </w:rPr>
                <w:t>Note 9 - Business Realignment Activities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64">
              <w:r>
                <w:rPr>
                  <w:rStyle w:val="InternetLink"/>
                  <w:rFonts w:ascii="Times New Roman;sans-serif" w:hAnsi="Times New Roman;sans-serif"/>
                  <w:b w:val="false"/>
                  <w:color w:val="0000FF"/>
                  <w:sz w:val="20"/>
                  <w:u w:val="single"/>
                </w:rPr>
                <w:t>16</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67">
              <w:r>
                <w:rPr>
                  <w:rStyle w:val="InternetLink"/>
                  <w:rFonts w:ascii="Times New Roman;sans-serif" w:hAnsi="Times New Roman;sans-serif"/>
                  <w:b w:val="false"/>
                  <w:color w:val="0000FF"/>
                  <w:sz w:val="20"/>
                  <w:u w:val="single"/>
                </w:rPr>
                <w:t>Note 10 - Income Taxes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67">
              <w:r>
                <w:rPr>
                  <w:rStyle w:val="InternetLink"/>
                  <w:rFonts w:ascii="Times New Roman;sans-serif" w:hAnsi="Times New Roman;sans-serif"/>
                  <w:b w:val="false"/>
                  <w:color w:val="0000FF"/>
                  <w:sz w:val="20"/>
                  <w:u w:val="single"/>
                </w:rPr>
                <w:t>18</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0">
              <w:r>
                <w:rPr>
                  <w:rStyle w:val="InternetLink"/>
                  <w:rFonts w:ascii="Times New Roman;sans-serif" w:hAnsi="Times New Roman;sans-serif"/>
                  <w:b w:val="false"/>
                  <w:color w:val="0000FF"/>
                  <w:sz w:val="20"/>
                  <w:u w:val="single"/>
                </w:rPr>
                <w:t>Note 11 - Pension and Other Post-Retirement Benefit Plans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70">
              <w:r>
                <w:rPr>
                  <w:rStyle w:val="InternetLink"/>
                  <w:rFonts w:ascii="Times New Roman;sans-serif" w:hAnsi="Times New Roman;sans-serif"/>
                  <w:b w:val="false"/>
                  <w:color w:val="0000FF"/>
                  <w:sz w:val="20"/>
                  <w:u w:val="single"/>
                </w:rPr>
                <w:t>18</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3">
              <w:r>
                <w:rPr>
                  <w:rStyle w:val="InternetLink"/>
                  <w:rFonts w:ascii="Times New Roman;sans-serif" w:hAnsi="Times New Roman;sans-serif"/>
                  <w:b w:val="false"/>
                  <w:color w:val="0000FF"/>
                  <w:sz w:val="20"/>
                  <w:u w:val="single"/>
                </w:rPr>
                <w:t>Note 12 - Stock Compensation Plans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73">
              <w:r>
                <w:rPr>
                  <w:rStyle w:val="InternetLink"/>
                  <w:rFonts w:ascii="Times New Roman;sans-serif" w:hAnsi="Times New Roman;sans-serif"/>
                  <w:b w:val="false"/>
                  <w:color w:val="0000FF"/>
                  <w:sz w:val="20"/>
                  <w:u w:val="single"/>
                </w:rPr>
                <w:t>19</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6">
              <w:r>
                <w:rPr>
                  <w:rStyle w:val="InternetLink"/>
                  <w:rFonts w:ascii="Times New Roman;sans-serif" w:hAnsi="Times New Roman;sans-serif"/>
                  <w:b w:val="false"/>
                  <w:color w:val="0000FF"/>
                  <w:sz w:val="20"/>
                  <w:u w:val="single"/>
                </w:rPr>
                <w:t>Note 13 - Segment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76">
              <w:r>
                <w:rPr>
                  <w:rStyle w:val="InternetLink"/>
                  <w:rFonts w:ascii="Times New Roman;sans-serif" w:hAnsi="Times New Roman;sans-serif"/>
                  <w:b w:val="false"/>
                  <w:color w:val="0000FF"/>
                  <w:sz w:val="20"/>
                  <w:u w:val="single"/>
                </w:rPr>
                <w:t>21</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9">
              <w:r>
                <w:rPr>
                  <w:rStyle w:val="InternetLink"/>
                  <w:rFonts w:ascii="Times New Roman;sans-serif" w:hAnsi="Times New Roman;sans-serif"/>
                  <w:b w:val="false"/>
                  <w:color w:val="0000FF"/>
                  <w:sz w:val="20"/>
                  <w:u w:val="single"/>
                </w:rPr>
                <w:t>Note 14 - Treasury Stock Activity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79">
              <w:r>
                <w:rPr>
                  <w:rStyle w:val="InternetLink"/>
                  <w:rFonts w:ascii="Times New Roman;sans-serif" w:hAnsi="Times New Roman;sans-serif"/>
                  <w:b w:val="false"/>
                  <w:color w:val="0000FF"/>
                  <w:sz w:val="20"/>
                  <w:u w:val="single"/>
                </w:rPr>
                <w:t>24</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82">
              <w:r>
                <w:rPr>
                  <w:rStyle w:val="InternetLink"/>
                  <w:rFonts w:ascii="Times New Roman;sans-serif" w:hAnsi="Times New Roman;sans-serif"/>
                  <w:b w:val="false"/>
                  <w:color w:val="0000FF"/>
                  <w:sz w:val="20"/>
                  <w:u w:val="single"/>
                </w:rPr>
                <w:t>Note 15 - Contingencies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82">
              <w:r>
                <w:rPr>
                  <w:rStyle w:val="InternetLink"/>
                  <w:rFonts w:ascii="Times New Roman;sans-serif" w:hAnsi="Times New Roman;sans-serif"/>
                  <w:b w:val="false"/>
                  <w:color w:val="0000FF"/>
                  <w:sz w:val="20"/>
                  <w:u w:val="single"/>
                </w:rPr>
                <w:t>24</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85">
              <w:r>
                <w:rPr>
                  <w:rStyle w:val="InternetLink"/>
                  <w:rFonts w:ascii="Times New Roman;sans-serif" w:hAnsi="Times New Roman;sans-serif"/>
                  <w:b w:val="false"/>
                  <w:color w:val="0000FF"/>
                  <w:sz w:val="20"/>
                  <w:u w:val="single"/>
                </w:rPr>
                <w:t>Note 16 - Earnings Per Share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85">
              <w:r>
                <w:rPr>
                  <w:rStyle w:val="InternetLink"/>
                  <w:rFonts w:ascii="Times New Roman;sans-serif" w:hAnsi="Times New Roman;sans-serif"/>
                  <w:b w:val="false"/>
                  <w:color w:val="0000FF"/>
                  <w:sz w:val="20"/>
                  <w:u w:val="single"/>
                </w:rPr>
                <w:t>25</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88">
              <w:r>
                <w:rPr>
                  <w:rStyle w:val="InternetLink"/>
                  <w:rFonts w:ascii="Times New Roman;sans-serif" w:hAnsi="Times New Roman;sans-serif"/>
                  <w:b w:val="false"/>
                  <w:color w:val="0000FF"/>
                  <w:sz w:val="20"/>
                  <w:u w:val="single"/>
                </w:rPr>
                <w:t>Note 17 - Other (Income) Expense, Net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88">
              <w:r>
                <w:rPr>
                  <w:rStyle w:val="InternetLink"/>
                  <w:rFonts w:ascii="Times New Roman;sans-serif" w:hAnsi="Times New Roman;sans-serif"/>
                  <w:b w:val="false"/>
                  <w:color w:val="0000FF"/>
                  <w:sz w:val="20"/>
                  <w:u w:val="single"/>
                </w:rPr>
                <w:t>26</w:t>
              </w:r>
            </w:hyperlink>
          </w:p>
        </w:tc>
      </w:tr>
      <w:tr>
        <w:trPr/>
        <w:tc>
          <w:tcPr>
            <w:tcW w:w="9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94">
              <w:r>
                <w:rPr>
                  <w:rStyle w:val="InternetLink"/>
                  <w:rFonts w:ascii="Times New Roman;sans-serif" w:hAnsi="Times New Roman;sans-serif"/>
                  <w:b w:val="false"/>
                  <w:color w:val="0000FF"/>
                  <w:sz w:val="20"/>
                  <w:u w:val="single"/>
                </w:rPr>
                <w:t>Note 18 - Supplemental Balance Sheet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94">
              <w:r>
                <w:rPr>
                  <w:rStyle w:val="InternetLink"/>
                  <w:rFonts w:ascii="Times New Roman;sans-serif" w:hAnsi="Times New Roman;sans-serif"/>
                  <w:b w:val="false"/>
                  <w:color w:val="0000FF"/>
                  <w:sz w:val="20"/>
                  <w:u w:val="single"/>
                </w:rPr>
                <w:t>27</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9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97">
              <w:r>
                <w:rPr>
                  <w:rStyle w:val="InternetLink"/>
                  <w:rFonts w:ascii="Times New Roman;sans-serif" w:hAnsi="Times New Roman;sans-serif"/>
                  <w:b w:val="false"/>
                  <w:color w:val="0000FF"/>
                  <w:sz w:val="20"/>
                  <w:u w:val="single"/>
                </w:rPr>
                <w:t>29</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18">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18">
              <w:r>
                <w:rPr>
                  <w:rStyle w:val="InternetLink"/>
                  <w:rFonts w:ascii="Times New Roman;sans-serif" w:hAnsi="Times New Roman;sans-serif"/>
                  <w:b w:val="false"/>
                  <w:color w:val="0000FF"/>
                  <w:sz w:val="20"/>
                  <w:u w:val="single"/>
                </w:rPr>
                <w:t>39</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21">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21">
              <w:r>
                <w:rPr>
                  <w:rStyle w:val="InternetLink"/>
                  <w:rFonts w:ascii="Times New Roman;sans-serif" w:hAnsi="Times New Roman;sans-serif"/>
                  <w:b w:val="false"/>
                  <w:color w:val="0000FF"/>
                  <w:sz w:val="20"/>
                  <w:u w:val="single"/>
                </w:rPr>
                <w:t>41</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24">
              <w:r>
                <w:rPr>
                  <w:rStyle w:val="InternetLink"/>
                  <w:rFonts w:ascii="Times New Roman;sans-serif" w:hAnsi="Times New Roman;sans-serif"/>
                  <w:b w:val="false"/>
                  <w:color w:val="0000FF"/>
                  <w:sz w:val="20"/>
                  <w:u w:val="single"/>
                </w:rPr>
                <w:t>PART II.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24">
              <w:r>
                <w:rPr>
                  <w:rStyle w:val="InternetLink"/>
                  <w:rFonts w:ascii="Times New Roman;sans-serif" w:hAnsi="Times New Roman;sans-serif"/>
                  <w:b w:val="false"/>
                  <w:color w:val="0000FF"/>
                  <w:sz w:val="20"/>
                  <w:u w:val="single"/>
                </w:rPr>
                <w:t>42</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27">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27">
              <w:r>
                <w:rPr>
                  <w:rStyle w:val="InternetLink"/>
                  <w:rFonts w:ascii="Times New Roman;sans-serif" w:hAnsi="Times New Roman;sans-serif"/>
                  <w:b w:val="false"/>
                  <w:color w:val="0000FF"/>
                  <w:sz w:val="20"/>
                  <w:u w:val="single"/>
                </w:rPr>
                <w:t>42</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30">
              <w:r>
                <w:rPr>
                  <w:rStyle w:val="InternetLink"/>
                  <w:rFonts w:ascii="Times New Roman;sans-serif" w:hAnsi="Times New Roman;sans-serif"/>
                  <w:b w:val="false"/>
                  <w:color w:val="0000FF"/>
                  <w:sz w:val="20"/>
                  <w:u w:val="single"/>
                </w:rPr>
                <w:t>Item 1A. 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30">
              <w:r>
                <w:rPr>
                  <w:rStyle w:val="InternetLink"/>
                  <w:rFonts w:ascii="Times New Roman;sans-serif" w:hAnsi="Times New Roman;sans-serif"/>
                  <w:b w:val="false"/>
                  <w:color w:val="0000FF"/>
                  <w:sz w:val="20"/>
                  <w:u w:val="single"/>
                </w:rPr>
                <w:t>42</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33">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33">
              <w:r>
                <w:rPr>
                  <w:rStyle w:val="InternetLink"/>
                  <w:rFonts w:ascii="Times New Roman;sans-serif" w:hAnsi="Times New Roman;sans-serif"/>
                  <w:b w:val="false"/>
                  <w:color w:val="0000FF"/>
                  <w:sz w:val="20"/>
                  <w:u w:val="single"/>
                </w:rPr>
                <w:t>42</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39">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39">
              <w:r>
                <w:rPr>
                  <w:rStyle w:val="InternetLink"/>
                  <w:rFonts w:ascii="Times New Roman;sans-serif" w:hAnsi="Times New Roman;sans-serif"/>
                  <w:b w:val="false"/>
                  <w:color w:val="0000FF"/>
                  <w:sz w:val="20"/>
                  <w:u w:val="single"/>
                </w:rPr>
                <w:t>42</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42">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42">
              <w:r>
                <w:rPr>
                  <w:rStyle w:val="InternetLink"/>
                  <w:rFonts w:ascii="Times New Roman;sans-serif" w:hAnsi="Times New Roman;sans-serif"/>
                  <w:b w:val="false"/>
                  <w:color w:val="0000FF"/>
                  <w:sz w:val="20"/>
                  <w:u w:val="single"/>
                </w:rPr>
                <w:t>42</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45">
              <w:r>
                <w:rPr>
                  <w:rStyle w:val="InternetLink"/>
                  <w:rFonts w:ascii="Times New Roman;sans-serif" w:hAnsi="Times New Roman;sans-serif"/>
                  <w:b w:val="false"/>
                  <w:color w:val="0000FF"/>
                  <w:sz w:val="20"/>
                  <w:u w:val="single"/>
                </w:rPr>
                <w:t>Item 5.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45">
              <w:r>
                <w:rPr>
                  <w:rStyle w:val="InternetLink"/>
                  <w:rFonts w:ascii="Times New Roman;sans-serif" w:hAnsi="Times New Roman;sans-serif"/>
                  <w:b w:val="false"/>
                  <w:color w:val="0000FF"/>
                  <w:sz w:val="20"/>
                  <w:u w:val="single"/>
                </w:rPr>
                <w:t>42</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51">
              <w:r>
                <w:rPr>
                  <w:rStyle w:val="InternetLink"/>
                  <w:rFonts w:ascii="Times New Roman;sans-serif" w:hAnsi="Times New Roman;sans-serif"/>
                  <w:b w:val="false"/>
                  <w:color w:val="0000FF"/>
                  <w:sz w:val="20"/>
                  <w:u w:val="single"/>
                </w:rPr>
                <w:t>Item 6. 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51">
              <w:r>
                <w:rPr>
                  <w:rStyle w:val="InternetLink"/>
                  <w:rFonts w:ascii="Times New Roman;sans-serif" w:hAnsi="Times New Roman;sans-serif"/>
                  <w:b w:val="false"/>
                  <w:color w:val="0000FF"/>
                  <w:sz w:val="20"/>
                  <w:u w:val="single"/>
                </w:rPr>
                <w:t>44</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154">
              <w:r>
                <w:rPr>
                  <w:rStyle w:val="InternetLink"/>
                  <w:rFonts w:ascii="Times New Roman;sans-serif" w:hAnsi="Times New Roman;sans-serif"/>
                  <w:b w:val="false"/>
                  <w:color w:val="0000FF"/>
                  <w:sz w:val="20"/>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42b29d23e2f4a678134a3152628d673_154">
              <w:r>
                <w:rPr>
                  <w:rStyle w:val="InternetLink"/>
                  <w:rFonts w:ascii="Times New Roman;sans-serif" w:hAnsi="Times New Roman;sans-serif"/>
                  <w:b w:val="false"/>
                  <w:color w:val="0000FF"/>
                  <w:sz w:val="20"/>
                  <w:u w:val="single"/>
                </w:rPr>
                <w:t>45</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73735"/>
                <wp:effectExtent l="0" t="0" r="0" b="0"/>
                <wp:wrapNone/>
                <wp:docPr id="3" name="Frame2"/>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HERSHEY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135"/>
        <w:jc w:val="left"/>
        <w:rPr>
          <w:color w:val="000000"/>
        </w:rPr>
      </w:pPr>
      <w:r>
        <w:rPr>
          <w:color w:val="000000"/>
        </w:rPr>
        <w:t> </w:t>
      </w:r>
    </w:p>
    <w:tbl>
      <w:tblPr>
        <w:tblW w:w="7934" w:type="dxa"/>
        <w:jc w:val="left"/>
        <w:tblInd w:w="0" w:type="dxa"/>
        <w:tblLayout w:type="fixed"/>
        <w:tblCellMar>
          <w:top w:w="28" w:type="dxa"/>
          <w:left w:w="28" w:type="dxa"/>
          <w:bottom w:w="28" w:type="dxa"/>
          <w:right w:w="28" w:type="dxa"/>
        </w:tblCellMar>
      </w:tblPr>
      <w:tblGrid>
        <w:gridCol w:w="1405"/>
        <w:gridCol w:w="1231"/>
        <w:gridCol w:w="1248"/>
        <w:gridCol w:w="109"/>
        <w:gridCol w:w="109"/>
        <w:gridCol w:w="109"/>
        <w:gridCol w:w="118"/>
        <w:gridCol w:w="118"/>
        <w:gridCol w:w="118"/>
        <w:gridCol w:w="118"/>
        <w:gridCol w:w="234"/>
        <w:gridCol w:w="1085"/>
        <w:gridCol w:w="121"/>
        <w:gridCol w:w="109"/>
        <w:gridCol w:w="109"/>
        <w:gridCol w:w="109"/>
        <w:gridCol w:w="233"/>
        <w:gridCol w:w="1081"/>
        <w:gridCol w:w="170"/>
      </w:tblGrid>
      <w:tr>
        <w:trPr/>
        <w:tc>
          <w:tcPr>
            <w:tcW w:w="140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2,805,419 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3,252,749 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1,861,152 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1,576,668 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1,676,081 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marketing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558,672 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617,981 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realignment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369,221 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1,058,100 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323,654 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797,453 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See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73735"/>
                <wp:effectExtent l="0" t="0" r="0" b="0"/>
                <wp:wrapNone/>
                <wp:docPr id="6" name="Frame3"/>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HERSHEY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053" w:type="dxa"/>
        <w:jc w:val="center"/>
        <w:tblInd w:w="0" w:type="dxa"/>
        <w:tblLayout w:type="fixed"/>
        <w:tblCellMar>
          <w:top w:w="28" w:type="dxa"/>
          <w:left w:w="28" w:type="dxa"/>
          <w:bottom w:w="28" w:type="dxa"/>
          <w:right w:w="28" w:type="dxa"/>
        </w:tblCellMar>
      </w:tblPr>
      <w:tblGrid>
        <w:gridCol w:w="549"/>
        <w:gridCol w:w="443"/>
        <w:gridCol w:w="449"/>
        <w:gridCol w:w="109"/>
        <w:gridCol w:w="109"/>
        <w:gridCol w:w="109"/>
        <w:gridCol w:w="109"/>
        <w:gridCol w:w="109"/>
        <w:gridCol w:w="135"/>
        <w:gridCol w:w="135"/>
        <w:gridCol w:w="135"/>
        <w:gridCol w:w="135"/>
        <w:gridCol w:w="136"/>
        <w:gridCol w:w="109"/>
        <w:gridCol w:w="109"/>
        <w:gridCol w:w="109"/>
        <w:gridCol w:w="109"/>
        <w:gridCol w:w="109"/>
        <w:gridCol w:w="211"/>
        <w:gridCol w:w="721"/>
        <w:gridCol w:w="109"/>
        <w:gridCol w:w="109"/>
        <w:gridCol w:w="109"/>
        <w:gridCol w:w="109"/>
        <w:gridCol w:w="245"/>
        <w:gridCol w:w="559"/>
        <w:gridCol w:w="127"/>
        <w:gridCol w:w="109"/>
        <w:gridCol w:w="109"/>
        <w:gridCol w:w="109"/>
        <w:gridCol w:w="211"/>
        <w:gridCol w:w="826"/>
        <w:gridCol w:w="109"/>
        <w:gridCol w:w="109"/>
        <w:gridCol w:w="109"/>
        <w:gridCol w:w="109"/>
        <w:gridCol w:w="211"/>
        <w:gridCol w:w="631"/>
        <w:gridCol w:w="109"/>
        <w:gridCol w:w="109"/>
        <w:gridCol w:w="109"/>
        <w:gridCol w:w="109"/>
        <w:gridCol w:w="211"/>
        <w:gridCol w:w="631"/>
        <w:gridCol w:w="109"/>
        <w:gridCol w:w="109"/>
        <w:gridCol w:w="109"/>
        <w:gridCol w:w="109"/>
        <w:gridCol w:w="211"/>
        <w:gridCol w:w="82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6805" w:type="dxa"/>
            <w:gridSpan w:val="30"/>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5547" w:type="dxa"/>
            <w:gridSpan w:val="24"/>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After-Tax Amount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 during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gain (loss) and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cash flow hedging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48995"/>
                <wp:effectExtent l="0" t="0" r="0" b="0"/>
                <wp:wrapNone/>
                <wp:docPr id="9" name="Frame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THE HERSHEY COMPANY </w:t>
      </w:r>
    </w:p>
    <w:p>
      <w:pPr>
        <w:pStyle w:val="TextBody"/>
        <w:bidi w:val="0"/>
        <w:spacing w:lineRule="auto" w:line="288" w:before="20" w:after="283"/>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20" w:after="283"/>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500"/>
        <w:gridCol w:w="2010"/>
        <w:gridCol w:w="1959"/>
        <w:gridCol w:w="109"/>
        <w:gridCol w:w="109"/>
        <w:gridCol w:w="109"/>
        <w:gridCol w:w="214"/>
        <w:gridCol w:w="1100"/>
        <w:gridCol w:w="110"/>
        <w:gridCol w:w="109"/>
        <w:gridCol w:w="109"/>
        <w:gridCol w:w="109"/>
        <w:gridCol w:w="241"/>
        <w:gridCol w:w="1236"/>
        <w:gridCol w:w="181"/>
      </w:tblGrid>
      <w:tr>
        <w:trPr/>
        <w:tc>
          <w:tcPr>
            <w:tcW w:w="250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6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receivable—trade,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879,633 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800,402 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1,467,333 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974,215 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4,804,136 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3,759,457 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3,436,981 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3,458,853 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2,707,786 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2,705,753 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1,873,866 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13,967,764 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12,946,861 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603,617 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604,965 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3,016,145 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3,929,495 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5,177,251 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3,190,210 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424,243 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8,232,207 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Hershey Company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shares issued: none in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issued: 166,939,511 at March 30, 2025 and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shares issued: 54,613,514 at March 30,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1,372,137 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1,377,226 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5,652,065 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5,698,316 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Treasury—common stock shares, at cost: 18,956,021 at March 30, 2025 and 19,169,956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(2,269,560)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(2,278,551)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(291,299)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r>
      <w:tr>
        <w:trPr/>
        <w:tc>
          <w:tcPr>
            <w:tcW w:w="6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r>
      <w:tr>
        <w:trPr/>
        <w:tc>
          <w:tcPr>
            <w:tcW w:w="6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4,684,896 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4,714,654 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13,967,764 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12,946,861 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See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48995"/>
                <wp:effectExtent l="0" t="0" r="0" b="0"/>
                <wp:wrapNone/>
                <wp:docPr id="12" name="Frame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THE HERSHEY COMPANY </w:t>
      </w:r>
    </w:p>
    <w:p>
      <w:pPr>
        <w:pStyle w:val="TextBody"/>
        <w:bidi w:val="0"/>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17" w:type="dxa"/>
        <w:jc w:val="center"/>
        <w:tblInd w:w="0" w:type="dxa"/>
        <w:tblLayout w:type="fixed"/>
        <w:tblCellMar>
          <w:top w:w="28" w:type="dxa"/>
          <w:left w:w="28" w:type="dxa"/>
          <w:bottom w:w="28" w:type="dxa"/>
          <w:right w:w="28" w:type="dxa"/>
        </w:tblCellMar>
      </w:tblPr>
      <w:tblGrid>
        <w:gridCol w:w="2232"/>
        <w:gridCol w:w="1963"/>
        <w:gridCol w:w="1970"/>
        <w:gridCol w:w="215"/>
        <w:gridCol w:w="956"/>
        <w:gridCol w:w="119"/>
        <w:gridCol w:w="109"/>
        <w:gridCol w:w="109"/>
        <w:gridCol w:w="109"/>
        <w:gridCol w:w="241"/>
        <w:gridCol w:w="905"/>
        <w:gridCol w:w="189"/>
      </w:tblGrid>
      <w:tr>
        <w:trPr/>
        <w:tc>
          <w:tcPr>
            <w:tcW w:w="223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797,453 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equity investments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(gains) on derivative contracts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business acquisition:</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receivable—trade,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(383,417)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(339,155)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147,537 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to pension and other benefit plans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569,134 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additions (including software)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Receipts (payments) related to equity investments in tax credit qualifying partnerships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(146,986)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(227,569)</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short-term debt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(1,165,724)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 net of debt issuance costs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1,986,026 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 and finance leases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(494,191)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exercised stock options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and paid on employee stock awards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537,076 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118,502 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730,746 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1,515,252 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520,404 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w:t>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48995"/>
                <wp:effectExtent l="0" t="0" r="0" b="0"/>
                <wp:wrapNone/>
                <wp:docPr id="15" name="Frame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HERSHEY COMPANY</w:t>
      </w:r>
    </w:p>
    <w:p>
      <w:pPr>
        <w:pStyle w:val="TextBody"/>
        <w:bidi w:val="0"/>
        <w:spacing w:lineRule="auto" w:line="240"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40"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30, 2025 and March 31, 2024</w:t>
      </w:r>
    </w:p>
    <w:p>
      <w:pPr>
        <w:pStyle w:val="TextBody"/>
        <w:bidi w:val="0"/>
        <w:spacing w:lineRule="auto" w:line="240"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2600" w:type="dxa"/>
        <w:jc w:val="center"/>
        <w:tblInd w:w="0" w:type="dxa"/>
        <w:tblLayout w:type="fixed"/>
        <w:tblCellMar>
          <w:top w:w="28" w:type="dxa"/>
          <w:left w:w="28" w:type="dxa"/>
          <w:bottom w:w="28" w:type="dxa"/>
          <w:right w:w="28" w:type="dxa"/>
        </w:tblCellMar>
      </w:tblPr>
      <w:tblGrid>
        <w:gridCol w:w="731"/>
        <w:gridCol w:w="234"/>
        <w:gridCol w:w="236"/>
        <w:gridCol w:w="109"/>
        <w:gridCol w:w="109"/>
        <w:gridCol w:w="109"/>
        <w:gridCol w:w="223"/>
        <w:gridCol w:w="463"/>
        <w:gridCol w:w="125"/>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 xml:space="preserve">Comprehensive </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(303,890)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4,714,654 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Dividends (including dividend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$1.370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Class B Common Stock, $1.245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incentive-based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6"/>
              </w:rPr>
            </w:pPr>
            <w:r>
              <w:rPr>
                <w:rFonts w:ascii="Times New Roman;sans-serif" w:hAnsi="Times New Roman;sans-serif"/>
                <w:b/>
                <w:color w:val="000000"/>
                <w:sz w:val="16"/>
              </w:rPr>
              <w:t>Balance,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5,652,065 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(2,269,560)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(291,299)</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4,684,896 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2818" w:type="dxa"/>
        <w:jc w:val="center"/>
        <w:tblInd w:w="0" w:type="dxa"/>
        <w:tblLayout w:type="fixed"/>
        <w:tblCellMar>
          <w:top w:w="28" w:type="dxa"/>
          <w:left w:w="28" w:type="dxa"/>
          <w:bottom w:w="28" w:type="dxa"/>
          <w:right w:w="28" w:type="dxa"/>
        </w:tblCellMar>
      </w:tblPr>
      <w:tblGrid>
        <w:gridCol w:w="731"/>
        <w:gridCol w:w="234"/>
        <w:gridCol w:w="236"/>
        <w:gridCol w:w="109"/>
        <w:gridCol w:w="109"/>
        <w:gridCol w:w="109"/>
        <w:gridCol w:w="223"/>
        <w:gridCol w:w="463"/>
        <w:gridCol w:w="125"/>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09"/>
        <w:gridCol w:w="109"/>
        <w:gridCol w:w="196"/>
        <w:gridCol w:w="8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 xml:space="preserve">Comprehensive </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(230,078)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Dividends (including dividend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$1.370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Class B Common Stock, $1.245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and incentive-based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(including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5,087,126 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(2,285,370)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(230,835)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4,108,287 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48995"/>
                <wp:effectExtent l="0" t="0" r="0" b="0"/>
                <wp:wrapNone/>
                <wp:docPr id="18" name="Frame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 SUMMARY OF SIGNIFICANT ACCOUNTING POLICIES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method investments and cost, less impairment, investments are included as Other non-current assets in the Consolidated Balance Sheets.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results for the quarter ended March 30, 2025 may not be indicative of the results that may be expected for the year ending December 31, 2025 because of seasonal effects on our business. These financial statements should be read in conjunction with our Annual Report on Form 10-K for the year ended December 31, 2024 (our “2024 Annual Report on Form 10-K”), which provides a more complete understanding of our accounting policies, financial position, operating results and other matters.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80" w:after="283"/>
        <w:jc w:val="left"/>
        <w:rPr/>
      </w:pPr>
      <w:r>
        <w:rPr>
          <w:rFonts w:ascii="Times New Roman;sans-serif" w:hAnsi="Times New Roman;sans-serif"/>
          <w:b w:val="false"/>
          <w:color w:val="000000"/>
          <w:sz w:val="20"/>
        </w:rPr>
        <w:t xml:space="preserve">In November 2023, the Financial Accounting Standards Board (“FASB”) issued Accounting Standards Update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This ASU requires disclosure of significant segment expenses that are regularly provided to the chief operating decision maker (“CODM”), an amount for other segment items with a description of the composition, and disclosure of the title and position of the CODM. ASU 2023-07 is effective for annual periods beginning after December 15, 2023 and interim periods within fiscal years beginning after December 15, 2024. We adopted the provisions of this ASU in the fourth quarter of 2024 and applied the provisions retrospectively to each period presented in the consolidated financial statements. Adoption of the new standard did not have a material impact on our consolidated financial statements.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180" w:after="283"/>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Early adoption is permitted and the update should be applied on a prospective basis, with a retrospective application permitted in the financial statements. We are currently evaluating the impact of the new standard on our consolidated financial statements and related disclosures. As a result, we intend to adopt the provisions of this ASU in the fourth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48995"/>
                <wp:effectExtent l="0" t="0" r="0" b="0"/>
                <wp:wrapNone/>
                <wp:docPr id="21" name="Frame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This ASU requires entities to disclose certain additional expense information including, among other items, purchases of inventory, employee compensation, depreciation and intangible asset amortization included within each Consolidated Statement of Income expense caption. ASU 2024-03 is effective for annual reporting periods beginning after December 15, 2026, and interim reporting periods beginning after December 15, 2027. Early adoption is permitted and the update should be applied on a prospective basis, with a retrospective application permitted in the financial statements. We are currently evaluating the impact of the new standard on our consolidated financial statements and related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other new accounting pronouncement issued or effective during the fiscal year had or is expected to have a material impact on our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 BUSINESS ACQUISITIONS</w:t>
      </w:r>
    </w:p>
    <w:p>
      <w:pPr>
        <w:pStyle w:val="TextBody"/>
        <w:bidi w:val="0"/>
        <w:spacing w:lineRule="auto" w:line="268" w:before="18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LesserEvil, LLC</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2025, we entered into a Merger Agreement to acquire LesserEvil, LLC, a privately held company that produces and sells organic popcorn and puffed snack products to retailers and distributors in the United States and Canada, which complements Hershey’s existing product portfolio. The Merger Agreement contains customary conditions, including, among others, (i) the expiration or termination of the waiting period under the Hart-Scott-Rodino Antitrust Improvements Act of 1976, as amended, (ii) the absence of any law or order prohibiting the consummation of the transactions contemplated in the Merger Agreement and (iii) the accuracy, to specified degrees, of representations and warranties set forth therein and material compliance with covenants. If approved, the Company expects the acquisition to close by mid-2025 and will be financed with of cash on hand and short-term borrowings.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Sour Strips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2024, we completed the acquisition of the Sour Strips brand from Actual Candy, LLC. Sour Strips is an emerging sour candy brand and is available in a wide range of food distribution channels in the United States. The initial cash consideration paid for Sour Strips was deemed immaterial and consisted of cash on hand and short-term borrowings; however, the Company may be required to pay additional contingent consideration if certain defined targets are met over a multi-year period. Acquisition-related costs for the Sour Strips acquisition were immaterial.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has been accounted for as a business combination and, accordingly, Sour Strips has been included within the North America Confectionery segment from the date of acquisition. The purchase consideration, inclusive of the acquisition date fair value of the contingent consideration, was allocated to minimal net assets acquired, goodwill and other intangible assets. The first quarter of 2025 includes an immaterial amount of measurement period adjustments to the initial allocation. We are in process of evaluating additional information necessary to finalize the valuation of assets acquired and liabilities assumed as of the acquisition date. We expect to finalize the purchase price allocation by mid-2025.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commercial capabilities and retail relationships to accelerate growth.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include trademarks valued at $41,800 and customer relationships valued at $41,300. Trademarks were assigned an estimated useful life of 22 years and customer relationships were assigned estimated useful lives ranging from 14 to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48995"/>
                <wp:effectExtent l="0" t="0" r="0" b="0"/>
                <wp:wrapNone/>
                <wp:docPr id="24" name="Frame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3. GOODWILL AND INTANGIBLE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carrying value of goodwill by reportable segment for the three months ended March 30, 2025 are as follows: </w:t>
      </w:r>
    </w:p>
    <w:tbl>
      <w:tblPr>
        <w:tblW w:w="10205" w:type="dxa"/>
        <w:jc w:val="left"/>
        <w:tblInd w:w="0" w:type="dxa"/>
        <w:tblLayout w:type="fixed"/>
        <w:tblCellMar>
          <w:top w:w="28" w:type="dxa"/>
          <w:left w:w="28" w:type="dxa"/>
          <w:bottom w:w="28" w:type="dxa"/>
          <w:right w:w="28" w:type="dxa"/>
        </w:tblCellMar>
      </w:tblPr>
      <w:tblGrid>
        <w:gridCol w:w="801"/>
        <w:gridCol w:w="704"/>
        <w:gridCol w:w="706"/>
        <w:gridCol w:w="109"/>
        <w:gridCol w:w="109"/>
        <w:gridCol w:w="109"/>
        <w:gridCol w:w="345"/>
        <w:gridCol w:w="1602"/>
        <w:gridCol w:w="180"/>
        <w:gridCol w:w="109"/>
        <w:gridCol w:w="109"/>
        <w:gridCol w:w="109"/>
        <w:gridCol w:w="365"/>
        <w:gridCol w:w="1430"/>
        <w:gridCol w:w="188"/>
        <w:gridCol w:w="109"/>
        <w:gridCol w:w="109"/>
        <w:gridCol w:w="109"/>
        <w:gridCol w:w="249"/>
        <w:gridCol w:w="852"/>
        <w:gridCol w:w="130"/>
        <w:gridCol w:w="109"/>
        <w:gridCol w:w="109"/>
        <w:gridCol w:w="109"/>
        <w:gridCol w:w="211"/>
        <w:gridCol w:w="976"/>
        <w:gridCol w:w="158"/>
      </w:tblGrid>
      <w:tr>
        <w:trPr/>
        <w:tc>
          <w:tcPr>
            <w:tcW w:w="8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 Confectionery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9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 Salty Snacks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2,032,857 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657,001 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2,705,753 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2,034,702 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657,001 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2,707,786 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gross carrying amount and accumulated amortization for each major class of intangible asset:</w:t>
      </w:r>
    </w:p>
    <w:tbl>
      <w:tblPr>
        <w:tblW w:w="10205" w:type="dxa"/>
        <w:jc w:val="left"/>
        <w:tblInd w:w="0" w:type="dxa"/>
        <w:tblLayout w:type="fixed"/>
        <w:tblCellMar>
          <w:top w:w="28" w:type="dxa"/>
          <w:left w:w="28" w:type="dxa"/>
          <w:bottom w:w="28" w:type="dxa"/>
          <w:right w:w="28" w:type="dxa"/>
        </w:tblCellMar>
      </w:tblPr>
      <w:tblGrid>
        <w:gridCol w:w="988"/>
        <w:gridCol w:w="665"/>
        <w:gridCol w:w="667"/>
        <w:gridCol w:w="109"/>
        <w:gridCol w:w="109"/>
        <w:gridCol w:w="109"/>
        <w:gridCol w:w="261"/>
        <w:gridCol w:w="1209"/>
        <w:gridCol w:w="134"/>
        <w:gridCol w:w="109"/>
        <w:gridCol w:w="109"/>
        <w:gridCol w:w="109"/>
        <w:gridCol w:w="300"/>
        <w:gridCol w:w="1201"/>
        <w:gridCol w:w="157"/>
        <w:gridCol w:w="109"/>
        <w:gridCol w:w="109"/>
        <w:gridCol w:w="109"/>
        <w:gridCol w:w="261"/>
        <w:gridCol w:w="1209"/>
        <w:gridCol w:w="134"/>
        <w:gridCol w:w="109"/>
        <w:gridCol w:w="109"/>
        <w:gridCol w:w="109"/>
        <w:gridCol w:w="296"/>
        <w:gridCol w:w="1188"/>
        <w:gridCol w:w="227"/>
      </w:tblGrid>
      <w:tr>
        <w:trPr/>
        <w:tc>
          <w:tcPr>
            <w:tcW w:w="98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(282,819)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(462,625)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2,281,332 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(441,807)</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1,853,530 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1,873,866 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amortization expense for the three months ended March 30, 2025 and March 31, 2024 was $20,568 and $19,554,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4. SHORT AND LONG-TERM DEBT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source of short-term financing, we utilize cash on hand and commercial paper or bank loans with an original maturity of three months or less. We maintain a $1.35 billion unsecured revolving credit facility with the option to increase borrowings by an additional $500 million with the consent of the lenders. The credit facility is scheduled to expire on April 26, 2028; however, we may extend the termination date for up to two additional one-year periods upon notice to the administrative agent.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agreements governing the credit facility contain certain financial and other covenants, customary representations, warranties and events of default. As of March 30, 2025, we were in compliance with all covenants pertaining to the credit facility, and we had no significant compensating balance agreements that legally restricted access to these funds. For more information, refer to the Consolidated Financial Statements included in our 2024 Annual Report on Form 10-K.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48995"/>
                <wp:effectExtent l="0" t="0" r="0" b="0"/>
                <wp:wrapNone/>
                <wp:docPr id="27" name="Frame1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tbl>
      <w:tblPr>
        <w:tblW w:w="8875" w:type="dxa"/>
        <w:jc w:val="left"/>
        <w:tblInd w:w="0" w:type="dxa"/>
        <w:tblLayout w:type="fixed"/>
        <w:tblCellMar>
          <w:top w:w="28" w:type="dxa"/>
          <w:left w:w="28" w:type="dxa"/>
          <w:bottom w:w="28" w:type="dxa"/>
          <w:right w:w="28" w:type="dxa"/>
        </w:tblCellMar>
      </w:tblPr>
      <w:tblGrid>
        <w:gridCol w:w="1933"/>
        <w:gridCol w:w="1701"/>
        <w:gridCol w:w="1706"/>
        <w:gridCol w:w="513"/>
        <w:gridCol w:w="264"/>
        <w:gridCol w:w="662"/>
        <w:gridCol w:w="109"/>
        <w:gridCol w:w="109"/>
        <w:gridCol w:w="109"/>
        <w:gridCol w:w="586"/>
        <w:gridCol w:w="302"/>
        <w:gridCol w:w="881"/>
      </w:tblGrid>
      <w:tr>
        <w:trPr/>
        <w:tc>
          <w:tcPr>
            <w:tcW w:w="193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foreign bank borrowings against lines of credit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161,364</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paper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1,145,612</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1,306,976</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on outstanding commercial paper</w:t>
            </w:r>
          </w:p>
        </w:tc>
        <w:tc>
          <w:tcPr>
            <w:tcW w:w="7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8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consisted of the following: </w:t>
      </w:r>
    </w:p>
    <w:tbl>
      <w:tblPr>
        <w:tblW w:w="10205" w:type="dxa"/>
        <w:jc w:val="left"/>
        <w:tblInd w:w="0" w:type="dxa"/>
        <w:tblLayout w:type="fixed"/>
        <w:tblCellMar>
          <w:top w:w="28" w:type="dxa"/>
          <w:left w:w="28" w:type="dxa"/>
          <w:bottom w:w="28" w:type="dxa"/>
          <w:right w:w="28" w:type="dxa"/>
        </w:tblCellMar>
      </w:tblPr>
      <w:tblGrid>
        <w:gridCol w:w="1907"/>
        <w:gridCol w:w="1572"/>
        <w:gridCol w:w="1498"/>
        <w:gridCol w:w="109"/>
        <w:gridCol w:w="109"/>
        <w:gridCol w:w="109"/>
        <w:gridCol w:w="555"/>
        <w:gridCol w:w="455"/>
        <w:gridCol w:w="434"/>
        <w:gridCol w:w="109"/>
        <w:gridCol w:w="109"/>
        <w:gridCol w:w="109"/>
        <w:gridCol w:w="211"/>
        <w:gridCol w:w="976"/>
        <w:gridCol w:w="109"/>
        <w:gridCol w:w="109"/>
        <w:gridCol w:w="109"/>
        <w:gridCol w:w="109"/>
        <w:gridCol w:w="236"/>
        <w:gridCol w:w="1094"/>
        <w:gridCol w:w="177"/>
      </w:tblGrid>
      <w:tr>
        <w:trPr/>
        <w:tc>
          <w:tcPr>
            <w:tcW w:w="190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ind w:left="0" w:right="0" w:hanging="270"/>
              <w:jc w:val="left"/>
              <w:rPr>
                <w:rFonts w:ascii="Times New Roman;sans-serif" w:hAnsi="Times New Roman;sans-serif"/>
                <w:b/>
                <w:color w:val="000000"/>
                <w:sz w:val="18"/>
              </w:rPr>
            </w:pPr>
            <w:r>
              <w:rPr>
                <w:rFonts w:ascii="Times New Roman;sans-serif" w:hAnsi="Times New Roman;sans-serif"/>
                <w:b/>
                <w:color w:val="000000"/>
                <w:sz w:val="18"/>
              </w:rPr>
              <w:t>Debt Type and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ind w:left="0" w:right="0" w:hanging="270"/>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0.900%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2.300%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7.200%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4.550% Notes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24,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4,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2.450%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4.750% Notes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24,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1.700%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4.950% Notes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24,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4,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5.100% Notes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24,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3.375%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15, 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2.650%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w:t>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 obligations (see </w:t>
            </w:r>
            <w:hyperlink w:anchor="i742b29d23e2f4a678134a3152628d673_58">
              <w:r>
                <w:rPr>
                  <w:rStyle w:val="InternetLink"/>
                  <w:rFonts w:ascii="Times New Roman;sans-serif" w:hAnsi="Times New Roman;sans-serif"/>
                  <w:b w:val="false"/>
                  <w:color w:val="0000FF"/>
                  <w:sz w:val="20"/>
                  <w:u w:val="single"/>
                </w:rPr>
                <w:t>Note 7</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73,802</w:t>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interest rate swaps, debt issuance costs and unamortized debt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(22,266)</w:t>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3,795,175 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604,965</w:t>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3,190,210 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During the first quarter of 2025, we issued $500,000 of 4.550% Notes due in February 2028, $500,000 of 4.750% Notes due in February 2030, $500,000 of 4.950% Notes due in February 2032 and $500,000 of 5.100% Notes due in February 2035 (together, the “2025 Notes”). Proceeds from the issuance of the 2025 Notes, net of discounts and issuance costs, totaled $1,986,026. The 2025 Notes were issued under a shelf registration on Form S-3 filed in May 2024 that registered an indeterminate amount of debt securities.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 consists of the following:</w:t>
      </w:r>
    </w:p>
    <w:tbl>
      <w:tblPr>
        <w:tblW w:w="5563" w:type="dxa"/>
        <w:jc w:val="left"/>
        <w:tblInd w:w="0" w:type="dxa"/>
        <w:tblLayout w:type="fixed"/>
        <w:tblCellMar>
          <w:top w:w="28" w:type="dxa"/>
          <w:left w:w="28" w:type="dxa"/>
          <w:bottom w:w="28" w:type="dxa"/>
          <w:right w:w="28" w:type="dxa"/>
        </w:tblCellMar>
      </w:tblPr>
      <w:tblGrid>
        <w:gridCol w:w="641"/>
        <w:gridCol w:w="562"/>
        <w:gridCol w:w="566"/>
        <w:gridCol w:w="109"/>
        <w:gridCol w:w="109"/>
        <w:gridCol w:w="109"/>
        <w:gridCol w:w="129"/>
        <w:gridCol w:w="129"/>
        <w:gridCol w:w="129"/>
        <w:gridCol w:w="129"/>
        <w:gridCol w:w="261"/>
        <w:gridCol w:w="895"/>
        <w:gridCol w:w="134"/>
        <w:gridCol w:w="109"/>
        <w:gridCol w:w="109"/>
        <w:gridCol w:w="109"/>
        <w:gridCol w:w="259"/>
        <w:gridCol w:w="886"/>
        <w:gridCol w:w="189"/>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48995"/>
                <wp:effectExtent l="0" t="0" r="0" b="0"/>
                <wp:wrapNone/>
                <wp:docPr id="30" name="Frame1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5. DERIVATIVE INSTRUMENTS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$274,738 as of March 30, 2025 and $667,421 as of December 31, 2024.</w:t>
      </w:r>
    </w:p>
    <w:p>
      <w:pPr>
        <w:pStyle w:val="TextBody"/>
        <w:bidi w:val="0"/>
        <w:spacing w:lineRule="auto" w:line="288" w:before="180" w:after="283"/>
        <w:jc w:val="left"/>
        <w:rPr/>
      </w:pPr>
      <w:r>
        <w:rPr>
          <w:rFonts w:ascii="Times New Roman;sans-serif" w:hAnsi="Times New Roman;sans-serif"/>
          <w:b w:val="false"/>
          <w:color w:val="000000"/>
          <w:sz w:val="20"/>
        </w:rPr>
        <w:t xml:space="preserve">Derivatives used to manage commodity price risk are not designated for hedge accounting treatment. Therefore, the changes in fair value of these derivatives are recorded as incurred within cost of sales. As discussed in </w:t>
      </w:r>
      <w:hyperlink w:anchor="i742b29d23e2f4a678134a3152628d673_76">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 Price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18 months. The contracts are either designated as cash flow hedges or are undesignated. The net notional amount of foreign exchange contracts accounted for as cash flow hedges was $102,965 at March 30, 2025 and $79,028 at December 31, 2024.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$95,887 at March 30, 2025 and $123,014 at December 31, 2024. The change in fair value on these instruments is recorded directly in cost of sales or selling, marketing and administrative (“SM&amp;A”) expense, depending on the nature of the underlying exposure.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Equity Price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March 30, 2025 and December 31, 2024 was $31,391 and $30,524,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48995"/>
                <wp:effectExtent l="0" t="0" r="0" b="0"/>
                <wp:wrapNone/>
                <wp:docPr id="33" name="Frame1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classification of derivative assets and liabilities within the Consolidated Balance Sheets as of March 30, 2025 and December 31, 2024: </w:t>
      </w:r>
    </w:p>
    <w:tbl>
      <w:tblPr>
        <w:tblW w:w="10205" w:type="dxa"/>
        <w:jc w:val="left"/>
        <w:tblInd w:w="0" w:type="dxa"/>
        <w:tblLayout w:type="fixed"/>
        <w:tblCellMar>
          <w:top w:w="28" w:type="dxa"/>
          <w:left w:w="28" w:type="dxa"/>
          <w:bottom w:w="28" w:type="dxa"/>
          <w:right w:w="28" w:type="dxa"/>
        </w:tblCellMar>
      </w:tblPr>
      <w:tblGrid>
        <w:gridCol w:w="1523"/>
        <w:gridCol w:w="1314"/>
        <w:gridCol w:w="1317"/>
        <w:gridCol w:w="109"/>
        <w:gridCol w:w="109"/>
        <w:gridCol w:w="109"/>
        <w:gridCol w:w="211"/>
        <w:gridCol w:w="826"/>
        <w:gridCol w:w="109"/>
        <w:gridCol w:w="109"/>
        <w:gridCol w:w="109"/>
        <w:gridCol w:w="109"/>
        <w:gridCol w:w="243"/>
        <w:gridCol w:w="832"/>
        <w:gridCol w:w="125"/>
        <w:gridCol w:w="109"/>
        <w:gridCol w:w="109"/>
        <w:gridCol w:w="109"/>
        <w:gridCol w:w="211"/>
        <w:gridCol w:w="826"/>
        <w:gridCol w:w="109"/>
        <w:gridCol w:w="109"/>
        <w:gridCol w:w="109"/>
        <w:gridCol w:w="109"/>
        <w:gridCol w:w="241"/>
        <w:gridCol w:w="829"/>
        <w:gridCol w:w="181"/>
      </w:tblGrid>
      <w:tr>
        <w:trPr/>
        <w:tc>
          <w:tcPr>
            <w:tcW w:w="152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(1)</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Commodities futures and options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(1)Derivative assets are classified on our Consolidated Balance Sheets within prepaid expenses and other as well as other non-current assets. Derivative liabilities are classified on our Consolidated Balance Sheets within accrued liabilities and other long-term liabilities. </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(2)As of March 30, 2025, amounts reflected on a net basis in assets were assets of $311,408 and liabilities of $74,132, which are associated with cash transfers receivable or payable on commodities futures contracts reflecting the change in quoted market prices on the last trading day for the period. The comparable amounts reflected on a net basis in liabilities at December 31, 2024 were assets of $533,115 and liabilities of $32,998. At March 30, 2025 and December 31, 2024, the remaining amount reflected in assets and liabilities related to the fair value of other non-exchange traded derivative instruments, respectively. </w:t>
      </w:r>
    </w:p>
    <w:p>
      <w:pPr>
        <w:pStyle w:val="TextBody"/>
        <w:bidi w:val="0"/>
        <w:spacing w:before="60" w:after="283"/>
        <w:ind w:left="0" w:right="0" w:hanging="540"/>
        <w:jc w:val="left"/>
        <w:rPr/>
      </w:pPr>
      <w:r>
        <w:rPr/>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Income Statement Impact of Derivative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derivative instruments on the Consolidated Statements of Income for the three months ended March 30, 2025 and March 31, 2024 was as follows:</w:t>
      </w:r>
    </w:p>
    <w:tbl>
      <w:tblPr>
        <w:tblW w:w="10205" w:type="dxa"/>
        <w:jc w:val="left"/>
        <w:tblInd w:w="0" w:type="dxa"/>
        <w:tblLayout w:type="fixed"/>
        <w:tblCellMar>
          <w:top w:w="28" w:type="dxa"/>
          <w:left w:w="28" w:type="dxa"/>
          <w:bottom w:w="28" w:type="dxa"/>
          <w:right w:w="28" w:type="dxa"/>
        </w:tblCellMar>
      </w:tblPr>
      <w:tblGrid>
        <w:gridCol w:w="489"/>
        <w:gridCol w:w="394"/>
        <w:gridCol w:w="396"/>
        <w:gridCol w:w="109"/>
        <w:gridCol w:w="109"/>
        <w:gridCol w:w="109"/>
        <w:gridCol w:w="214"/>
        <w:gridCol w:w="757"/>
        <w:gridCol w:w="111"/>
        <w:gridCol w:w="111"/>
        <w:gridCol w:w="111"/>
        <w:gridCol w:w="111"/>
        <w:gridCol w:w="214"/>
        <w:gridCol w:w="841"/>
        <w:gridCol w:w="111"/>
        <w:gridCol w:w="109"/>
        <w:gridCol w:w="109"/>
        <w:gridCol w:w="109"/>
        <w:gridCol w:w="242"/>
        <w:gridCol w:w="569"/>
        <w:gridCol w:w="125"/>
        <w:gridCol w:w="125"/>
        <w:gridCol w:w="125"/>
        <w:gridCol w:w="125"/>
        <w:gridCol w:w="242"/>
        <w:gridCol w:w="708"/>
        <w:gridCol w:w="125"/>
        <w:gridCol w:w="109"/>
        <w:gridCol w:w="109"/>
        <w:gridCol w:w="109"/>
        <w:gridCol w:w="248"/>
        <w:gridCol w:w="584"/>
        <w:gridCol w:w="128"/>
        <w:gridCol w:w="128"/>
        <w:gridCol w:w="128"/>
        <w:gridCol w:w="128"/>
        <w:gridCol w:w="248"/>
        <w:gridCol w:w="761"/>
        <w:gridCol w:w="128"/>
        <w:gridCol w:w="109"/>
        <w:gridCol w:w="109"/>
        <w:gridCol w:w="109"/>
        <w:gridCol w:w="170"/>
      </w:tblGrid>
      <w:tr>
        <w:trPr/>
        <w:tc>
          <w:tcPr>
            <w:tcW w:w="4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Non-designated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Flow Hedges</w:t>
            </w:r>
          </w:p>
        </w:tc>
        <w:tc>
          <w:tcPr>
            <w:tcW w:w="497" w:type="dxa"/>
            <w:gridSpan w:val="4"/>
            <w:tcBorders/>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Gains (losses) recognized in income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Gains (losses) recognized in other comprehensive income (“OCI”)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Gains (losses) reclassified from accumulated OCI (“AOCI”) into income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Commodities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48995"/>
                <wp:effectExtent l="0" t="0" r="0" b="0"/>
                <wp:wrapNone/>
                <wp:docPr id="36" name="Frame1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pre-tax net loss on derivative instruments, including interest rate swap agreements and foreign currency forward exchange contracts expected to be reclassified into earnings in the next 12 months was approximately $5,361 as of March 30, 2025. This amount is primarily associated with interest rate swap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6. FAIR VALUE MEASUREMENTS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guidance on fair value measurements requires that financial assets and liabilities be classified and disclosed in one of the following categories of the fair value hierarchy:</w:t>
      </w:r>
    </w:p>
    <w:tbl>
      <w:tblPr>
        <w:tblW w:w="10205" w:type="dxa"/>
        <w:jc w:val="left"/>
        <w:tblInd w:w="0" w:type="dxa"/>
        <w:tblLayout w:type="fixed"/>
        <w:tblCellMar>
          <w:top w:w="28" w:type="dxa"/>
          <w:left w:w="28" w:type="dxa"/>
          <w:bottom w:w="28" w:type="dxa"/>
          <w:right w:w="28" w:type="dxa"/>
        </w:tblCellMar>
      </w:tblPr>
      <w:tblGrid>
        <w:gridCol w:w="3303"/>
        <w:gridCol w:w="2855"/>
        <w:gridCol w:w="4047"/>
      </w:tblGrid>
      <w:tr>
        <w:trPr/>
        <w:tc>
          <w:tcPr>
            <w:tcW w:w="3303"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 xml:space="preserve">Based on unadjusted quoted prices for identical assets or liabilities in an active market.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Based on observable market-based inputs or unobservable inputs that are corroborated by market data.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Based on unobservable inputs that reflect the entity’s own assumptions about the assumptions that a market participant would use in pricing the asset or liability.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any Level 3 financial assets or liabilities, nor were there any transfers between levels during the periods presented.</w:t>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assets and liabilities that were measured at fair value in the Consolidated Balance Sheets on a recurring basis as of March 30, 2025 and December 31, 2024:</w:t>
      </w:r>
    </w:p>
    <w:tbl>
      <w:tblPr>
        <w:tblW w:w="8313" w:type="dxa"/>
        <w:jc w:val="left"/>
        <w:tblInd w:w="0" w:type="dxa"/>
        <w:tblLayout w:type="fixed"/>
        <w:tblCellMar>
          <w:top w:w="28" w:type="dxa"/>
          <w:left w:w="28" w:type="dxa"/>
          <w:bottom w:w="28" w:type="dxa"/>
          <w:right w:w="28" w:type="dxa"/>
        </w:tblCellMar>
      </w:tblPr>
      <w:tblGrid>
        <w:gridCol w:w="1164"/>
        <w:gridCol w:w="1020"/>
        <w:gridCol w:w="1025"/>
        <w:gridCol w:w="109"/>
        <w:gridCol w:w="109"/>
        <w:gridCol w:w="109"/>
        <w:gridCol w:w="317"/>
        <w:gridCol w:w="385"/>
        <w:gridCol w:w="396"/>
        <w:gridCol w:w="109"/>
        <w:gridCol w:w="109"/>
        <w:gridCol w:w="109"/>
        <w:gridCol w:w="317"/>
        <w:gridCol w:w="327"/>
        <w:gridCol w:w="288"/>
        <w:gridCol w:w="109"/>
        <w:gridCol w:w="109"/>
        <w:gridCol w:w="109"/>
        <w:gridCol w:w="317"/>
        <w:gridCol w:w="171"/>
        <w:gridCol w:w="175"/>
        <w:gridCol w:w="109"/>
        <w:gridCol w:w="109"/>
        <w:gridCol w:w="109"/>
        <w:gridCol w:w="259"/>
        <w:gridCol w:w="357"/>
        <w:gridCol w:w="487"/>
      </w:tblGrid>
      <w:tr>
        <w:trPr/>
        <w:tc>
          <w:tcPr>
            <w:tcW w:w="116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 / Liabilities</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Commodities futures and options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242,791</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derivatives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Commodities futures and options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28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derivatives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Commodities futures and options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Commodities futures and options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14,321</w:t>
            </w:r>
          </w:p>
        </w:tc>
      </w:tr>
    </w:tbl>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fair value of deferred compensation derivatives is based on quoted prices for market interest rates and a broad market equity index. </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fair value of commodities futures and options contracts is based on quoted market prices.</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48995"/>
                <wp:effectExtent l="0" t="0" r="0" b="0"/>
                <wp:wrapNone/>
                <wp:docPr id="39" name="Frame1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Other Financial Instruments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accounts receivable, accounts payable and short-term debt approximated fair values as of March 30, 2025 and December 31, 2024 because of the relatively short maturity of these instruments.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tbl>
      <w:tblPr>
        <w:tblW w:w="9868" w:type="dxa"/>
        <w:jc w:val="left"/>
        <w:tblInd w:w="0" w:type="dxa"/>
        <w:tblLayout w:type="fixed"/>
        <w:tblCellMar>
          <w:top w:w="28" w:type="dxa"/>
          <w:left w:w="28" w:type="dxa"/>
          <w:bottom w:w="28" w:type="dxa"/>
          <w:right w:w="28" w:type="dxa"/>
        </w:tblCellMar>
      </w:tblPr>
      <w:tblGrid>
        <w:gridCol w:w="1027"/>
        <w:gridCol w:w="900"/>
        <w:gridCol w:w="907"/>
        <w:gridCol w:w="109"/>
        <w:gridCol w:w="109"/>
        <w:gridCol w:w="109"/>
        <w:gridCol w:w="211"/>
        <w:gridCol w:w="976"/>
        <w:gridCol w:w="109"/>
        <w:gridCol w:w="109"/>
        <w:gridCol w:w="109"/>
        <w:gridCol w:w="109"/>
        <w:gridCol w:w="251"/>
        <w:gridCol w:w="1164"/>
        <w:gridCol w:w="130"/>
        <w:gridCol w:w="109"/>
        <w:gridCol w:w="109"/>
        <w:gridCol w:w="109"/>
        <w:gridCol w:w="211"/>
        <w:gridCol w:w="976"/>
        <w:gridCol w:w="109"/>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604,965</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2,734,322 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3,190,210 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3,331,869 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3,795,175 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Measurements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assets and liabilities that are recorded at fair value on a recurring basis, GAAP requires that, under certain circumstances, we also record assets and liabilities at fair value on a nonrecurring basis. </w:t>
      </w:r>
    </w:p>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Activity</w:t>
      </w:r>
    </w:p>
    <w:p>
      <w:pPr>
        <w:pStyle w:val="TextBody"/>
        <w:bidi w:val="0"/>
        <w:spacing w:lineRule="auto" w:line="288" w:before="0" w:after="160"/>
        <w:jc w:val="left"/>
        <w:rPr/>
      </w:pPr>
      <w:r>
        <w:rPr>
          <w:rFonts w:ascii="Times New Roman;sans-serif" w:hAnsi="Times New Roman;sans-serif"/>
          <w:b w:val="false"/>
          <w:color w:val="000000"/>
          <w:sz w:val="20"/>
        </w:rPr>
        <w:t xml:space="preserve">In connection with the acquisition of Sour Strips in 2024, as discussed in </w:t>
      </w:r>
      <w:hyperlink w:anchor="i742b29d23e2f4a678134a3152628d673_40">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xml:space="preserve">,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 Additionally, we estimated the fair value of the contingent consideration using a Monte Carlo simulation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most of our leases do not provide an implicit rate, we use our estimated incremental borrowing rate in determining the present value of lease payments. The estimated incremental borrowing rate is derived from information available at the lease commencement date.</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48995"/>
                <wp:effectExtent l="0" t="0" r="0" b="0"/>
                <wp:wrapNone/>
                <wp:docPr id="42" name="Frame1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 xml:space="preserve">The components of lease expense for the three months ended March 30, 2025 and March 31, 2024 were as follows: </w:t>
      </w:r>
      <w:r>
        <w:rPr>
          <w:color w:val="000000"/>
        </w:rPr>
        <w:t> </w:t>
      </w:r>
    </w:p>
    <w:tbl>
      <w:tblPr>
        <w:tblW w:w="8824" w:type="dxa"/>
        <w:jc w:val="left"/>
        <w:tblInd w:w="0" w:type="dxa"/>
        <w:tblLayout w:type="fixed"/>
        <w:tblCellMar>
          <w:top w:w="28" w:type="dxa"/>
          <w:left w:w="28" w:type="dxa"/>
          <w:bottom w:w="28" w:type="dxa"/>
          <w:right w:w="28" w:type="dxa"/>
        </w:tblCellMar>
      </w:tblPr>
      <w:tblGrid>
        <w:gridCol w:w="858"/>
        <w:gridCol w:w="752"/>
        <w:gridCol w:w="759"/>
        <w:gridCol w:w="109"/>
        <w:gridCol w:w="109"/>
        <w:gridCol w:w="109"/>
        <w:gridCol w:w="949"/>
        <w:gridCol w:w="949"/>
        <w:gridCol w:w="952"/>
        <w:gridCol w:w="109"/>
        <w:gridCol w:w="109"/>
        <w:gridCol w:w="109"/>
        <w:gridCol w:w="261"/>
        <w:gridCol w:w="894"/>
        <w:gridCol w:w="135"/>
        <w:gridCol w:w="109"/>
        <w:gridCol w:w="109"/>
        <w:gridCol w:w="109"/>
        <w:gridCol w:w="259"/>
        <w:gridCol w:w="886"/>
        <w:gridCol w:w="189"/>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or SM&amp;A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cost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(1)Supply chain-related amounts were included in cost of sales.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(2)Net lease cost does not include short-term leases, variable lease costs or sublease income, all of which are immaterial.</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lease terms and discount rates were as follows:</w:t>
      </w:r>
    </w:p>
    <w:tbl>
      <w:tblPr>
        <w:tblW w:w="7449" w:type="dxa"/>
        <w:jc w:val="left"/>
        <w:tblInd w:w="0" w:type="dxa"/>
        <w:tblLayout w:type="fixed"/>
        <w:tblCellMar>
          <w:top w:w="28" w:type="dxa"/>
          <w:left w:w="28" w:type="dxa"/>
          <w:bottom w:w="28" w:type="dxa"/>
          <w:right w:w="28" w:type="dxa"/>
        </w:tblCellMar>
      </w:tblPr>
      <w:tblGrid>
        <w:gridCol w:w="1419"/>
        <w:gridCol w:w="1246"/>
        <w:gridCol w:w="1250"/>
        <w:gridCol w:w="109"/>
        <w:gridCol w:w="109"/>
        <w:gridCol w:w="109"/>
        <w:gridCol w:w="287"/>
        <w:gridCol w:w="287"/>
        <w:gridCol w:w="716"/>
        <w:gridCol w:w="109"/>
        <w:gridCol w:w="109"/>
        <w:gridCol w:w="109"/>
        <w:gridCol w:w="323"/>
        <w:gridCol w:w="323"/>
        <w:gridCol w:w="94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were as follows:</w:t>
      </w:r>
    </w:p>
    <w:tbl>
      <w:tblPr>
        <w:tblW w:w="9724" w:type="dxa"/>
        <w:jc w:val="left"/>
        <w:tblInd w:w="0" w:type="dxa"/>
        <w:tblLayout w:type="fixed"/>
        <w:tblCellMar>
          <w:top w:w="28" w:type="dxa"/>
          <w:left w:w="28" w:type="dxa"/>
          <w:bottom w:w="28" w:type="dxa"/>
          <w:right w:w="28" w:type="dxa"/>
        </w:tblCellMar>
      </w:tblPr>
      <w:tblGrid>
        <w:gridCol w:w="1007"/>
        <w:gridCol w:w="887"/>
        <w:gridCol w:w="896"/>
        <w:gridCol w:w="109"/>
        <w:gridCol w:w="109"/>
        <w:gridCol w:w="109"/>
        <w:gridCol w:w="1024"/>
        <w:gridCol w:w="1024"/>
        <w:gridCol w:w="1027"/>
        <w:gridCol w:w="109"/>
        <w:gridCol w:w="109"/>
        <w:gridCol w:w="109"/>
        <w:gridCol w:w="237"/>
        <w:gridCol w:w="930"/>
        <w:gridCol w:w="122"/>
        <w:gridCol w:w="109"/>
        <w:gridCol w:w="109"/>
        <w:gridCol w:w="109"/>
        <w:gridCol w:w="281"/>
        <w:gridCol w:w="1103"/>
        <w:gridCol w:w="205"/>
      </w:tblGrid>
      <w:tr>
        <w:trPr/>
        <w:tc>
          <w:tcPr>
            <w:tcW w:w="10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337,739 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ROU assets,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ROU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417,127 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400,223 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437,703 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419,205 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48995"/>
                <wp:effectExtent l="0" t="0" r="0" b="0"/>
                <wp:wrapNone/>
                <wp:docPr id="45" name="Frame1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maturities of our lease liabilities as of March 30, 2025 were as follows:</w:t>
      </w:r>
    </w:p>
    <w:tbl>
      <w:tblPr>
        <w:tblW w:w="6298" w:type="dxa"/>
        <w:jc w:val="left"/>
        <w:tblInd w:w="0" w:type="dxa"/>
        <w:tblLayout w:type="fixed"/>
        <w:tblCellMar>
          <w:top w:w="28" w:type="dxa"/>
          <w:left w:w="28" w:type="dxa"/>
          <w:bottom w:w="28" w:type="dxa"/>
          <w:right w:w="28" w:type="dxa"/>
        </w:tblCellMar>
      </w:tblPr>
      <w:tblGrid>
        <w:gridCol w:w="690"/>
        <w:gridCol w:w="605"/>
        <w:gridCol w:w="609"/>
        <w:gridCol w:w="251"/>
        <w:gridCol w:w="984"/>
        <w:gridCol w:w="129"/>
        <w:gridCol w:w="109"/>
        <w:gridCol w:w="109"/>
        <w:gridCol w:w="109"/>
        <w:gridCol w:w="240"/>
        <w:gridCol w:w="821"/>
        <w:gridCol w:w="124"/>
        <w:gridCol w:w="109"/>
        <w:gridCol w:w="109"/>
        <w:gridCol w:w="109"/>
        <w:gridCol w:w="211"/>
        <w:gridCol w:w="82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(rest of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365,322 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other information related to leases were as follows:</w:t>
      </w:r>
    </w:p>
    <w:tbl>
      <w:tblPr>
        <w:tblW w:w="9142"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61"/>
        <w:gridCol w:w="894"/>
        <w:gridCol w:w="135"/>
        <w:gridCol w:w="109"/>
        <w:gridCol w:w="109"/>
        <w:gridCol w:w="109"/>
        <w:gridCol w:w="259"/>
        <w:gridCol w:w="886"/>
        <w:gridCol w:w="189"/>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8. INVESTMENTS IN UNCONSOLIDATED AFFILIATES</w:t>
      </w:r>
    </w:p>
    <w:p>
      <w:pPr>
        <w:pStyle w:val="TextBody"/>
        <w:bidi w:val="0"/>
        <w:spacing w:lineRule="auto" w:line="288" w:before="100" w:after="283"/>
        <w:jc w:val="left"/>
        <w:rPr/>
      </w:pPr>
      <w:r>
        <w:rPr>
          <w:rFonts w:ascii="Times New Roman;sans-serif" w:hAnsi="Times New Roman;sans-serif"/>
          <w:b w:val="false"/>
          <w:color w:val="000000"/>
          <w:sz w:val="20"/>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hyperlink w:anchor="i742b29d23e2f4a678134a3152628d673_88">
        <w:r>
          <w:rPr>
            <w:rStyle w:val="InternetLink"/>
            <w:rFonts w:ascii="Times New Roman;sans-serif" w:hAnsi="Times New Roman;sans-serif"/>
            <w:b w:val="false"/>
            <w:color w:val="0000FF"/>
            <w:sz w:val="20"/>
            <w:u w:val="single"/>
          </w:rPr>
          <w:t>Note 17</w:t>
        </w:r>
      </w:hyperlink>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$209,578 and $212,928 as of March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48995"/>
                <wp:effectExtent l="0" t="0" r="0" b="0"/>
                <wp:wrapNone/>
                <wp:docPr id="48" name="Frame1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9. BUSINESS REALIGNMENT ACTIVITIES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undertake business realignment activities designed to increase our efficiency and focus our business in support of our key growth strategies. </w:t>
      </w:r>
    </w:p>
    <w:p>
      <w:pPr>
        <w:pStyle w:val="TextBody"/>
        <w:bidi w:val="0"/>
        <w:spacing w:lineRule="auto" w:line="288" w:before="180" w:after="10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Advancing Agility &amp; Automation Initiative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2024, the Board of Directors of the Company approved a multi-year productivity initiative (“Advancing Agility &amp; Automation Initiative” or "AAA Initiative") to improve supply chain and manufacturing-related spend, optimize selling, general and administrative expenses, leverage new technology and business models to further simplify and automate processes, and generate long-term savings.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$300,000 to $350,000.</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through March 30, 2025, we recognized total costs associated with the AAA Initiative of $143,390. These charges predominantly included employee severance and related separation benefits related to workforce reductions and third-party costs supporting the design and implementation of the new organizational structure, as well as technology capability costs. The costs and related benefits of the AAA Initiative predominantly relates to the North America Confectionery segment and Corporate. However, segment operating results do not include these business realignment expenses because we evaluate segment performance excluding such costs.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business realignment activities are classified in our Consolidated Statements of Income as follows:</w:t>
      </w:r>
    </w:p>
    <w:tbl>
      <w:tblPr>
        <w:tblW w:w="8204" w:type="dxa"/>
        <w:jc w:val="left"/>
        <w:tblInd w:w="0" w:type="dxa"/>
        <w:tblLayout w:type="fixed"/>
        <w:tblCellMar>
          <w:top w:w="28" w:type="dxa"/>
          <w:left w:w="28" w:type="dxa"/>
          <w:bottom w:w="28" w:type="dxa"/>
          <w:right w:w="28" w:type="dxa"/>
        </w:tblCellMar>
      </w:tblPr>
      <w:tblGrid>
        <w:gridCol w:w="1595"/>
        <w:gridCol w:w="1397"/>
        <w:gridCol w:w="1418"/>
        <w:gridCol w:w="109"/>
        <w:gridCol w:w="109"/>
        <w:gridCol w:w="109"/>
        <w:gridCol w:w="129"/>
        <w:gridCol w:w="129"/>
        <w:gridCol w:w="129"/>
        <w:gridCol w:w="129"/>
        <w:gridCol w:w="261"/>
        <w:gridCol w:w="895"/>
        <w:gridCol w:w="134"/>
        <w:gridCol w:w="109"/>
        <w:gridCol w:w="109"/>
        <w:gridCol w:w="109"/>
        <w:gridCol w:w="259"/>
        <w:gridCol w:w="886"/>
        <w:gridCol w:w="189"/>
      </w:tblGrid>
      <w:tr>
        <w:trPr/>
        <w:tc>
          <w:tcPr>
            <w:tcW w:w="159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marketing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realignment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business realignment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recorded by program during the three months ended March 30, 2025 and March 31, 2024 related to these activities were as follows:</w:t>
      </w:r>
    </w:p>
    <w:tbl>
      <w:tblPr>
        <w:tblW w:w="7513" w:type="dxa"/>
        <w:jc w:val="left"/>
        <w:tblInd w:w="0" w:type="dxa"/>
        <w:tblLayout w:type="fixed"/>
        <w:tblCellMar>
          <w:top w:w="28" w:type="dxa"/>
          <w:left w:w="28" w:type="dxa"/>
          <w:bottom w:w="28" w:type="dxa"/>
          <w:right w:w="28" w:type="dxa"/>
        </w:tblCellMar>
      </w:tblPr>
      <w:tblGrid>
        <w:gridCol w:w="1348"/>
        <w:gridCol w:w="1184"/>
        <w:gridCol w:w="1187"/>
        <w:gridCol w:w="109"/>
        <w:gridCol w:w="109"/>
        <w:gridCol w:w="109"/>
        <w:gridCol w:w="129"/>
        <w:gridCol w:w="129"/>
        <w:gridCol w:w="129"/>
        <w:gridCol w:w="129"/>
        <w:gridCol w:w="261"/>
        <w:gridCol w:w="895"/>
        <w:gridCol w:w="134"/>
        <w:gridCol w:w="109"/>
        <w:gridCol w:w="109"/>
        <w:gridCol w:w="109"/>
        <w:gridCol w:w="259"/>
        <w:gridCol w:w="886"/>
        <w:gridCol w:w="189"/>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Advancing Agility &amp; Automation Initiative: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employee benefit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liability activity for costs qualifying as exit and disposal costs for the three months ended March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48995"/>
                <wp:effectExtent l="0" t="0" r="0" b="0"/>
                <wp:wrapNone/>
                <wp:docPr id="51" name="Frame1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tbl>
      <w:tblPr>
        <w:tblW w:w="4685" w:type="dxa"/>
        <w:jc w:val="left"/>
        <w:tblInd w:w="0" w:type="dxa"/>
        <w:tblLayout w:type="fixed"/>
        <w:tblCellMar>
          <w:top w:w="28" w:type="dxa"/>
          <w:left w:w="28" w:type="dxa"/>
          <w:bottom w:w="28" w:type="dxa"/>
          <w:right w:w="28" w:type="dxa"/>
        </w:tblCellMar>
      </w:tblPr>
      <w:tblGrid>
        <w:gridCol w:w="1304"/>
        <w:gridCol w:w="1146"/>
        <w:gridCol w:w="1149"/>
        <w:gridCol w:w="211"/>
        <w:gridCol w:w="721"/>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at December 31, 2024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business realignment charges (2)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at March 30, 2025 (1)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liability balances reflected above are reported within accrued liabilities and other long-term liabilities.</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costs reflected in the liability roll-forward represent employee-related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taxable income is generated in the United States and taxed at the United States statutory rate of 21%. The effective tax rates for the three months ended March 30, 2025 and March 31, 2024 were 30.7% and 19.1%, respectively. Relative to the statutory rate, the 2025 effective tax rate was primarily impacted by foreign rate differential and state taxes.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Switzerland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$17,885 within the next 12 months because of the expiration of statutes of limitations and settlements of tax audits.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11. PENSION AND OTHER POST-RETIREMENT BENEFIT PLANS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Periodic Benefit Cost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net periodic benefit cost for the three months ended March 30, 2025 and March 31, 2024 were as follows: </w:t>
      </w:r>
    </w:p>
    <w:tbl>
      <w:tblPr>
        <w:tblW w:w="9482" w:type="dxa"/>
        <w:jc w:val="left"/>
        <w:tblInd w:w="0" w:type="dxa"/>
        <w:tblLayout w:type="fixed"/>
        <w:tblCellMar>
          <w:top w:w="28" w:type="dxa"/>
          <w:left w:w="28" w:type="dxa"/>
          <w:bottom w:w="28" w:type="dxa"/>
          <w:right w:w="28" w:type="dxa"/>
        </w:tblCellMar>
      </w:tblPr>
      <w:tblGrid>
        <w:gridCol w:w="1074"/>
        <w:gridCol w:w="944"/>
        <w:gridCol w:w="952"/>
        <w:gridCol w:w="109"/>
        <w:gridCol w:w="109"/>
        <w:gridCol w:w="109"/>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87"/>
        <w:gridCol w:w="838"/>
        <w:gridCol w:w="209"/>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Benefits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periodic benefit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made contributions of $689 and $2,437 to the pension plans and other benefits plans, respectively, during the first quarter of 2025. In the first quarter of 2024, we made contributions of $816 and $1,592 to our pension plans and other benefit plans, respectively. The contributions in 2025 and 2024 also included benefit payments from our non-qualified pension plans and post-retirement benefit plans.</w:t>
      </w:r>
    </w:p>
    <w:p>
      <w:pPr>
        <w:pStyle w:val="TextBody"/>
        <w:bidi w:val="0"/>
        <w:spacing w:lineRule="auto" w:line="288" w:before="180" w:after="283"/>
        <w:jc w:val="left"/>
        <w:rPr/>
      </w:pPr>
      <w:r>
        <w:rPr>
          <w:rFonts w:ascii="Times New Roman;sans-serif" w:hAnsi="Times New Roman;sans-serif"/>
          <w:b w:val="false"/>
          <w:color w:val="000000"/>
          <w:sz w:val="20"/>
        </w:rPr>
        <w:t xml:space="preserve">The non-service cost components of net periodic benefit cost relating to pension and other post-retirement benefit plans is reflected within other (income) expense, net in the Consolidated Statements of Income (see </w:t>
      </w:r>
      <w:hyperlink w:anchor="i742b29d23e2f4a678134a3152628d673_88">
        <w:r>
          <w:rPr>
            <w:rStyle w:val="InternetLink"/>
            <w:rFonts w:ascii="Times New Roman;sans-serif" w:hAnsi="Times New Roman;sans-serif"/>
            <w:b w:val="false"/>
            <w:color w:val="0000FF"/>
            <w:sz w:val="20"/>
            <w:u w:val="single"/>
          </w:rPr>
          <w:t>Note 17</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48995"/>
                <wp:effectExtent l="0" t="0" r="0" b="0"/>
                <wp:wrapNone/>
                <wp:docPr id="54" name="Frame1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12. STOCK COMPENSATION PLANS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Non-qualified stock options (“stock options”);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 stock units (“PSUs”) and performance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Stock appreciation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Restricted stock units (“RSUs”) and restricted stock;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stock-based awards.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compensation expense for all types of stock-based compensation programs and the related income tax benefit recognized were as follows:</w:t>
      </w:r>
    </w:p>
    <w:tbl>
      <w:tblPr>
        <w:tblW w:w="6374" w:type="dxa"/>
        <w:jc w:val="left"/>
        <w:tblInd w:w="0" w:type="dxa"/>
        <w:tblLayout w:type="fixed"/>
        <w:tblCellMar>
          <w:top w:w="28" w:type="dxa"/>
          <w:left w:w="28" w:type="dxa"/>
          <w:bottom w:w="28" w:type="dxa"/>
          <w:right w:w="28" w:type="dxa"/>
        </w:tblCellMar>
      </w:tblPr>
      <w:tblGrid>
        <w:gridCol w:w="933"/>
        <w:gridCol w:w="821"/>
        <w:gridCol w:w="826"/>
        <w:gridCol w:w="109"/>
        <w:gridCol w:w="109"/>
        <w:gridCol w:w="109"/>
        <w:gridCol w:w="129"/>
        <w:gridCol w:w="129"/>
        <w:gridCol w:w="129"/>
        <w:gridCol w:w="129"/>
        <w:gridCol w:w="261"/>
        <w:gridCol w:w="895"/>
        <w:gridCol w:w="134"/>
        <w:gridCol w:w="109"/>
        <w:gridCol w:w="109"/>
        <w:gridCol w:w="109"/>
        <w:gridCol w:w="287"/>
        <w:gridCol w:w="838"/>
        <w:gridCol w:w="209"/>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Pre-tax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expenses for stock compensation plans are primarily included in SM&amp;A expense. As of March 30, 2025, total stock-based compensation expense related to non-vested awards not yet recognized was $105,959 and the weighted-average period over which this amount is expected to be recognized was approximately 2.1 years.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 Options </w:t>
      </w:r>
    </w:p>
    <w:p>
      <w:pPr>
        <w:pStyle w:val="TextBody"/>
        <w:bidi w:val="0"/>
        <w:spacing w:lineRule="auto" w:line="288" w:before="180" w:after="283"/>
        <w:jc w:val="left"/>
        <w:rPr/>
      </w:pPr>
      <w:r>
        <w:rPr>
          <w:rFonts w:ascii="Times New Roman;sans-serif" w:hAnsi="Times New Roman;sans-serif"/>
          <w:b w:val="false"/>
          <w:color w:val="000000"/>
          <w:sz w:val="20"/>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w:t>
      </w:r>
      <w:r>
        <w:rPr>
          <w:color w:val="000000"/>
        </w:rPr>
        <w:t xml:space="preserve"> </w:t>
      </w:r>
      <w:r>
        <w:rPr>
          <w:rFonts w:ascii="Times New Roman;sans-serif" w:hAnsi="Times New Roman;sans-serif"/>
          <w:b w:val="false"/>
          <w:color w:val="000000"/>
          <w:sz w:val="20"/>
        </w:rPr>
        <w:t>Expense for stock options is based on grant date fair value and recognized on a straight-line method over the vesting period, net of estimated forfeitures.</w:t>
      </w:r>
    </w:p>
    <w:p>
      <w:pPr>
        <w:pStyle w:val="TextBody"/>
        <w:bidi w:val="0"/>
        <w:spacing w:before="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48995"/>
                <wp:effectExtent l="0" t="0" r="0" b="0"/>
                <wp:wrapNone/>
                <wp:docPr id="57" name="Frame2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19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activity relating to grants of stock options for the period ended March 30, 2025 is as follows: </w:t>
      </w:r>
    </w:p>
    <w:tbl>
      <w:tblPr>
        <w:tblW w:w="10205" w:type="dxa"/>
        <w:jc w:val="left"/>
        <w:tblInd w:w="0" w:type="dxa"/>
        <w:tblLayout w:type="fixed"/>
        <w:tblCellMar>
          <w:top w:w="28" w:type="dxa"/>
          <w:left w:w="28" w:type="dxa"/>
          <w:bottom w:w="28" w:type="dxa"/>
          <w:right w:w="28" w:type="dxa"/>
        </w:tblCellMar>
      </w:tblPr>
      <w:tblGrid>
        <w:gridCol w:w="1010"/>
        <w:gridCol w:w="885"/>
        <w:gridCol w:w="842"/>
        <w:gridCol w:w="413"/>
        <w:gridCol w:w="413"/>
        <w:gridCol w:w="226"/>
        <w:gridCol w:w="701"/>
        <w:gridCol w:w="701"/>
        <w:gridCol w:w="703"/>
        <w:gridCol w:w="787"/>
        <w:gridCol w:w="787"/>
        <w:gridCol w:w="788"/>
        <w:gridCol w:w="377"/>
        <w:gridCol w:w="1292"/>
        <w:gridCol w:w="280"/>
      </w:tblGrid>
      <w:tr>
        <w:trPr/>
        <w:tc>
          <w:tcPr>
            <w:tcW w:w="10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w:t>
              <w:br/>
              <w:t>Exercise Price (per share)</w:t>
            </w:r>
          </w:p>
        </w:tc>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w:t>
              <w:br/>
              <w:t>Contractual Term</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year</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w:t>
            </w:r>
          </w:p>
        </w:tc>
        <w:tc>
          <w:tcPr>
            <w:tcW w:w="2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 years</w:t>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w:t>
            </w:r>
          </w:p>
        </w:tc>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30,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w:t>
            </w:r>
          </w:p>
        </w:tc>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March 30, 2025</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544,098 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w:t>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 years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100"/>
        <w:jc w:val="left"/>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No options were granted for the period ended March 30, 2025. The weighted-average fair value of options granted was $45.95 per share for the period ended March 31, 2024. The fair value was estimated on the date of grant using a Black-Scholes option-pricing model and the following weighted-average assumptions:</w:t>
      </w:r>
    </w:p>
    <w:tbl>
      <w:tblPr>
        <w:tblW w:w="4429"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109"/>
        <w:gridCol w:w="109"/>
        <w:gridCol w:w="391"/>
        <w:gridCol w:w="391"/>
        <w:gridCol w:w="1138"/>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1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was $1,833 and $4,148 for the periods ended March 30, 2025 and March 31, 2024, respectively.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Performance Stock Units and Restricted Stock Units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three months ended March 30, 2025 and March 31, 2024 can range from 0% to 250% of the targeted amounts.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30, 2025 and March 31, 2024, we awarded RSUs to certain executive officers and other key employees under the EICP. We also awarded RSUs to non-employee directors.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compensation expenses associated with employee RSUs over a specified award vesting period based on the grant date fair value of our Common Stock. We recognize expense for employee RSUs based on the straight-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48995"/>
                <wp:effectExtent l="0" t="0" r="0" b="0"/>
                <wp:wrapNone/>
                <wp:docPr id="60" name="Frame2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method. The compensation expenses associated with non-employee director RSUs is recognized ratably over the vesting period, net of estimated forfeitures.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activity relating to grants of PSUs and RSUs for the period ended March 30, 2025 is as follows: </w:t>
      </w:r>
    </w:p>
    <w:tbl>
      <w:tblPr>
        <w:tblW w:w="10205" w:type="dxa"/>
        <w:jc w:val="left"/>
        <w:tblInd w:w="0" w:type="dxa"/>
        <w:tblLayout w:type="fixed"/>
        <w:tblCellMar>
          <w:top w:w="28" w:type="dxa"/>
          <w:left w:w="28" w:type="dxa"/>
          <w:bottom w:w="28" w:type="dxa"/>
          <w:right w:w="28" w:type="dxa"/>
        </w:tblCellMar>
      </w:tblPr>
      <w:tblGrid>
        <w:gridCol w:w="1300"/>
        <w:gridCol w:w="1135"/>
        <w:gridCol w:w="1143"/>
        <w:gridCol w:w="109"/>
        <w:gridCol w:w="109"/>
        <w:gridCol w:w="109"/>
        <w:gridCol w:w="459"/>
        <w:gridCol w:w="445"/>
        <w:gridCol w:w="423"/>
        <w:gridCol w:w="109"/>
        <w:gridCol w:w="109"/>
        <w:gridCol w:w="109"/>
        <w:gridCol w:w="1358"/>
        <w:gridCol w:w="1358"/>
        <w:gridCol w:w="1930"/>
      </w:tblGrid>
      <w:tr>
        <w:trPr/>
        <w:tc>
          <w:tcPr>
            <w:tcW w:w="13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35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Performance Stock Units and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 date fair value for equity awards (per unit)</w:t>
            </w:r>
          </w:p>
        </w:tc>
      </w:tr>
      <w:tr>
        <w:trPr/>
        <w:tc>
          <w:tcPr>
            <w:tcW w:w="3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538,803 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$204.65</w:t>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420,478 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w:t>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assumption change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79,674 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w:t>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(273,976)</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w:t>
            </w:r>
          </w:p>
        </w:tc>
      </w:tr>
      <w:tr>
        <w:trPr/>
        <w:tc>
          <w:tcPr>
            <w:tcW w:w="3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w:t>
            </w:r>
          </w:p>
        </w:tc>
      </w:tr>
      <w:tr>
        <w:trPr/>
        <w:tc>
          <w:tcPr>
            <w:tcW w:w="3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737,845 </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$188.55</w:t>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(1)Reflects the net number of PSUs above and below target levels based on the performance metrics.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tbl>
      <w:tblPr>
        <w:tblW w:w="7002" w:type="dxa"/>
        <w:jc w:val="left"/>
        <w:tblInd w:w="0" w:type="dxa"/>
        <w:tblLayout w:type="fixed"/>
        <w:tblCellMar>
          <w:top w:w="28" w:type="dxa"/>
          <w:left w:w="28" w:type="dxa"/>
          <w:bottom w:w="28" w:type="dxa"/>
          <w:right w:w="28" w:type="dxa"/>
        </w:tblCellMar>
      </w:tblPr>
      <w:tblGrid>
        <w:gridCol w:w="1327"/>
        <w:gridCol w:w="1167"/>
        <w:gridCol w:w="1180"/>
        <w:gridCol w:w="109"/>
        <w:gridCol w:w="109"/>
        <w:gridCol w:w="109"/>
        <w:gridCol w:w="460"/>
        <w:gridCol w:w="237"/>
        <w:gridCol w:w="592"/>
        <w:gridCol w:w="126"/>
        <w:gridCol w:w="126"/>
        <w:gridCol w:w="126"/>
        <w:gridCol w:w="442"/>
        <w:gridCol w:w="228"/>
        <w:gridCol w:w="664"/>
      </w:tblGrid>
      <w:tr>
        <w:trPr/>
        <w:tc>
          <w:tcPr>
            <w:tcW w:w="132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Units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420,478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315,389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at 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196.16</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Monte Carlo simulation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shares vested totaled $46,251 and $84,998 for the periods ended March 30, 2025 and March 31, 2024, respectively.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PSUs, deferred RSUs and deferred stock units representing directors’ fees totaled 244,525 units as of March 30, 2025. Each unit is equivalent to one share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48995"/>
                <wp:effectExtent l="0" t="0" r="0" b="0"/>
                <wp:wrapNone/>
                <wp:docPr id="63" name="Frame2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13. SEGMENT INFORMATION </w:t>
      </w:r>
    </w:p>
    <w:p>
      <w:pPr>
        <w:pStyle w:val="TextBody"/>
        <w:bidi w:val="0"/>
        <w:spacing w:lineRule="auto" w:line="26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its operations through three segments: (i) North America Confectionery, (ii) North America Salty Snacks and (iii) International. This organizational structure aligns with how our CODM, Michele Buck, Chairman of the Board, President, and Chief Executive Officer, manages our business, including resource allocation and performance assessment, and further aligns with our product categories and the key markets we serve. </w:t>
      </w:r>
    </w:p>
    <w:p>
      <w:pPr>
        <w:pStyle w:val="TextBody"/>
        <w:bidi w:val="0"/>
        <w:spacing w:lineRule="auto" w:line="268" w:before="180" w:after="283"/>
        <w:ind w:left="0" w:right="0" w:hanging="360"/>
        <w:jc w:val="left"/>
        <w:rPr/>
      </w:pPr>
      <w:r>
        <w:rPr>
          <w:color w:val="000000"/>
        </w:rPr>
        <w:t>•</w:t>
      </w:r>
      <w:r>
        <w:rPr>
          <w:rFonts w:ascii="Times New Roman;sans-serif" w:hAnsi="Times New Roman;sans-serif"/>
          <w:b/>
          <w:i/>
          <w:color w:val="000000"/>
          <w:sz w:val="20"/>
        </w:rPr>
        <w:t>North America Confectionery</w:t>
      </w:r>
      <w:r>
        <w:rPr>
          <w:color w:val="000000"/>
        </w:rPr>
        <w:t xml:space="preserve"> – </w:t>
      </w:r>
      <w:r>
        <w:rPr>
          <w:rFonts w:ascii="Times New Roman;sans-serif" w:hAnsi="Times New Roman;sans-serif"/>
          <w:b w:val="false"/>
          <w:color w:val="000000"/>
          <w:sz w:val="20"/>
        </w:rPr>
        <w:t>This segment is responsible for our traditional chocolate and non-chocolate confectionery market position in the 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North America Salty Snacks</w:t>
      </w:r>
      <w:r>
        <w:rPr>
          <w:color w:val="000000"/>
        </w:rPr>
        <w:t xml:space="preserve"> – </w:t>
      </w:r>
      <w:r>
        <w:rPr>
          <w:rFonts w:ascii="Times New Roman;sans-serif" w:hAnsi="Times New Roman;sans-serif"/>
          <w:b w:val="false"/>
          <w:color w:val="000000"/>
          <w:sz w:val="20"/>
        </w:rPr>
        <w:t>This segment is responsible for our salty snacking products in the United States. This includes ready-to-eat popcorn, baked and trans fat free snacks, pretzels and other snacks.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i/>
          <w:color w:val="000000"/>
          <w:sz w:val="20"/>
        </w:rPr>
        <w:t>International</w:t>
      </w:r>
      <w:r>
        <w:rPr>
          <w:color w:val="000000"/>
        </w:rPr>
        <w:t xml:space="preserve"> – </w:t>
      </w:r>
      <w:r>
        <w:rPr>
          <w:rFonts w:ascii="Times New Roman;sans-serif" w:hAnsi="Times New Roman;sans-serif"/>
          <w:b w:val="false"/>
          <w:color w:val="000000"/>
          <w:sz w:val="20"/>
        </w:rPr>
        <w:t>International is a combination of all other operating segments that are not individually material, including those geographic 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segment reporting purposes, the CODM uses “segment income” to evaluate segment performance and allocate resources, including considering budget-to-actual variances and prior year-to-actual variances on a monthly basis.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profit are managed centrally at the corporate level and are excluded from the measure of segment income reviewed by the CODM as well as the measure of segment performance used for incentive compensation purposes.</w:t>
      </w:r>
    </w:p>
    <w:p>
      <w:pPr>
        <w:pStyle w:val="TextBody"/>
        <w:bidi w:val="0"/>
        <w:spacing w:lineRule="auto" w:line="288" w:before="180" w:after="283"/>
        <w:jc w:val="left"/>
        <w:rPr/>
      </w:pPr>
      <w:r>
        <w:rPr>
          <w:rFonts w:ascii="Times New Roman;sans-serif" w:hAnsi="Times New Roman;sans-serif"/>
          <w:b w:val="false"/>
          <w:color w:val="000000"/>
          <w:sz w:val="20"/>
        </w:rPr>
        <w:t xml:space="preserve">As discussed in </w:t>
      </w:r>
      <w:hyperlink w:anchor="i742b29d23e2f4a678134a3152628d673_52">
        <w:r>
          <w:rPr>
            <w:rStyle w:val="InternetLink"/>
            <w:rFonts w:ascii="Times New Roman;sans-serif" w:hAnsi="Times New Roman;sans-serif"/>
            <w:b w:val="false"/>
            <w:color w:val="0000FF"/>
            <w:sz w:val="20"/>
            <w:u w:val="single"/>
          </w:rPr>
          <w:t>Note 5</w:t>
        </w:r>
      </w:hyperlink>
      <w:r>
        <w:rPr>
          <w:rFonts w:ascii="Times New Roman;sans-serif" w:hAnsi="Times New Roman;sans-serif"/>
          <w:b w:val="false"/>
          <w:color w:val="000000"/>
          <w:sz w:val="20"/>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48995"/>
                <wp:effectExtent l="0" t="0" r="0" b="0"/>
                <wp:wrapNone/>
                <wp:docPr id="66" name="Frame2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segment net sales and earnings were as follows:</w:t>
      </w:r>
    </w:p>
    <w:tbl>
      <w:tblPr>
        <w:tblW w:w="10205" w:type="dxa"/>
        <w:jc w:val="left"/>
        <w:tblInd w:w="0" w:type="dxa"/>
        <w:tblLayout w:type="fixed"/>
        <w:tblCellMar>
          <w:top w:w="28" w:type="dxa"/>
          <w:left w:w="28" w:type="dxa"/>
          <w:bottom w:w="28" w:type="dxa"/>
          <w:right w:w="28" w:type="dxa"/>
        </w:tblCellMar>
      </w:tblPr>
      <w:tblGrid>
        <w:gridCol w:w="832"/>
        <w:gridCol w:w="690"/>
        <w:gridCol w:w="695"/>
        <w:gridCol w:w="109"/>
        <w:gridCol w:w="109"/>
        <w:gridCol w:w="109"/>
        <w:gridCol w:w="344"/>
        <w:gridCol w:w="1600"/>
        <w:gridCol w:w="180"/>
        <w:gridCol w:w="109"/>
        <w:gridCol w:w="109"/>
        <w:gridCol w:w="109"/>
        <w:gridCol w:w="364"/>
        <w:gridCol w:w="1428"/>
        <w:gridCol w:w="187"/>
        <w:gridCol w:w="109"/>
        <w:gridCol w:w="109"/>
        <w:gridCol w:w="109"/>
        <w:gridCol w:w="226"/>
        <w:gridCol w:w="887"/>
        <w:gridCol w:w="118"/>
        <w:gridCol w:w="109"/>
        <w:gridCol w:w="109"/>
        <w:gridCol w:w="109"/>
        <w:gridCol w:w="211"/>
        <w:gridCol w:w="976"/>
        <w:gridCol w:w="159"/>
      </w:tblGrid>
      <w:tr>
        <w:trPr/>
        <w:tc>
          <w:tcPr>
            <w:tcW w:w="83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 Confectionery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 Salty 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2,300,140 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277,798 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2,805,419 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1,315,076 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696,374 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mark-to-market losses on commodity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Costs associated with business realignment activities (see </w:t>
            </w:r>
            <w:hyperlink w:anchor="i742b29d23e2f4a678134a3152628d673_64">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(see </w:t>
            </w:r>
            <w:hyperlink w:anchor="i742b29d23e2f4a678134a3152628d673_46">
              <w:r>
                <w:rPr>
                  <w:rStyle w:val="InternetLink"/>
                  <w:rFonts w:ascii="Times New Roman;sans-serif" w:hAnsi="Times New Roman;sans-serif"/>
                  <w:b w:val="false"/>
                  <w:color w:val="0000FF"/>
                  <w:sz w:val="20"/>
                  <w:u w:val="single"/>
                </w:rPr>
                <w:t>Note 4</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(see </w:t>
            </w:r>
            <w:hyperlink w:anchor="i742b29d23e2f4a678134a3152628d673_88">
              <w:r>
                <w:rPr>
                  <w:rStyle w:val="InternetLink"/>
                  <w:rFonts w:ascii="Times New Roman;sans-serif" w:hAnsi="Times New Roman;sans-serif"/>
                  <w:b w:val="false"/>
                  <w:color w:val="0000FF"/>
                  <w:sz w:val="20"/>
                  <w:u w:val="single"/>
                </w:rPr>
                <w:t>Note 17</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323,654 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2"/>
        <w:gridCol w:w="690"/>
        <w:gridCol w:w="695"/>
        <w:gridCol w:w="109"/>
        <w:gridCol w:w="109"/>
        <w:gridCol w:w="109"/>
        <w:gridCol w:w="344"/>
        <w:gridCol w:w="1600"/>
        <w:gridCol w:w="180"/>
        <w:gridCol w:w="109"/>
        <w:gridCol w:w="109"/>
        <w:gridCol w:w="109"/>
        <w:gridCol w:w="364"/>
        <w:gridCol w:w="1428"/>
        <w:gridCol w:w="187"/>
        <w:gridCol w:w="109"/>
        <w:gridCol w:w="109"/>
        <w:gridCol w:w="109"/>
        <w:gridCol w:w="226"/>
        <w:gridCol w:w="887"/>
        <w:gridCol w:w="118"/>
        <w:gridCol w:w="109"/>
        <w:gridCol w:w="109"/>
        <w:gridCol w:w="109"/>
        <w:gridCol w:w="211"/>
        <w:gridCol w:w="976"/>
        <w:gridCol w:w="159"/>
      </w:tblGrid>
      <w:tr>
        <w:trPr/>
        <w:tc>
          <w:tcPr>
            <w:tcW w:w="83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 Confectionery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 Salty 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2,707,310 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275,106 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948,195 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1,029,650 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mark-to-market gains on commodity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Costs associated with business realignment activities (see </w:t>
            </w:r>
            <w:hyperlink w:anchor="i742b29d23e2f4a678134a3152628d673_64">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1,058,100 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(see </w:t>
            </w:r>
            <w:hyperlink w:anchor="i742b29d23e2f4a678134a3152628d673_46">
              <w:r>
                <w:rPr>
                  <w:rStyle w:val="InternetLink"/>
                  <w:rFonts w:ascii="Times New Roman;sans-serif" w:hAnsi="Times New Roman;sans-serif"/>
                  <w:b w:val="false"/>
                  <w:color w:val="0000FF"/>
                  <w:sz w:val="20"/>
                  <w:u w:val="single"/>
                </w:rPr>
                <w:t>Note 4</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(see </w:t>
            </w:r>
            <w:hyperlink w:anchor="i742b29d23e2f4a678134a3152628d673_88">
              <w:r>
                <w:rPr>
                  <w:rStyle w:val="InternetLink"/>
                  <w:rFonts w:ascii="Times New Roman;sans-serif" w:hAnsi="Times New Roman;sans-serif"/>
                  <w:b w:val="false"/>
                  <w:color w:val="0000FF"/>
                  <w:sz w:val="20"/>
                  <w:u w:val="single"/>
                </w:rPr>
                <w:t>Note 17</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986,258 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within the unallocated mark-to-market adjustment for commodity derivatives is as follows:</w:t>
      </w:r>
    </w:p>
    <w:tbl>
      <w:tblPr>
        <w:tblW w:w="10205" w:type="dxa"/>
        <w:jc w:val="left"/>
        <w:tblInd w:w="0" w:type="dxa"/>
        <w:tblLayout w:type="fixed"/>
        <w:tblCellMar>
          <w:top w:w="28" w:type="dxa"/>
          <w:left w:w="28" w:type="dxa"/>
          <w:bottom w:w="28" w:type="dxa"/>
          <w:right w:w="28" w:type="dxa"/>
        </w:tblCellMar>
      </w:tblPr>
      <w:tblGrid>
        <w:gridCol w:w="2388"/>
        <w:gridCol w:w="2099"/>
        <w:gridCol w:w="2103"/>
        <w:gridCol w:w="109"/>
        <w:gridCol w:w="109"/>
        <w:gridCol w:w="109"/>
        <w:gridCol w:w="115"/>
        <w:gridCol w:w="115"/>
        <w:gridCol w:w="115"/>
        <w:gridCol w:w="115"/>
        <w:gridCol w:w="225"/>
        <w:gridCol w:w="883"/>
        <w:gridCol w:w="115"/>
        <w:gridCol w:w="109"/>
        <w:gridCol w:w="109"/>
        <w:gridCol w:w="109"/>
        <w:gridCol w:w="217"/>
        <w:gridCol w:w="900"/>
        <w:gridCol w:w="161"/>
      </w:tblGrid>
      <w:tr>
        <w:trPr/>
        <w:tc>
          <w:tcPr>
            <w:tcW w:w="2388"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05" w:type="dxa"/>
            <w:gridSpan w:val="6"/>
            <w:tcBorders/>
          </w:tcPr>
          <w:p>
            <w:pPr>
              <w:pStyle w:val="TableContents"/>
              <w:bidi w:val="0"/>
              <w:spacing w:before="0" w:after="283"/>
              <w:jc w:val="left"/>
              <w:rPr>
                <w:sz w:val="4"/>
                <w:szCs w:val="4"/>
              </w:rPr>
            </w:pPr>
            <w:r>
              <w:rPr>
                <w:sz w:val="4"/>
                <w:szCs w:val="4"/>
              </w:rPr>
            </w:r>
          </w:p>
        </w:tc>
      </w:tr>
      <w:tr>
        <w:trPr/>
        <w:tc>
          <w:tcPr>
            <w:tcW w:w="6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(gains) on mark-to-market valuation of commodity derivative positions recognized in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gains (losses) on commodity derivative positions reclassified from unallocated to segment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(gains) on mark-to-market valuation of commodity derivative positions recognized in unallocated derivative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211,453 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(218,015)</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30, 2025, the cumulative amount of mark-to-market gains on commodity derivatives that have been recognized in our consolidated cost of sales and not yet allocated to reportable segments was $198,776. Based on our forecasts of the timing of the recognition of the underlying hedged items, we expect to reclassify net pre-tax gains on commodity derivatives of $163,720 to segment operating results in the next twelve months.</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48995"/>
                <wp:effectExtent l="0" t="0" r="0" b="0"/>
                <wp:wrapNone/>
                <wp:docPr id="69" name="Frame2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included within segment income presented above is as follows:</w:t>
      </w:r>
    </w:p>
    <w:tbl>
      <w:tblPr>
        <w:tblW w:w="6276"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120"/>
        <w:gridCol w:w="120"/>
        <w:gridCol w:w="120"/>
        <w:gridCol w:w="120"/>
        <w:gridCol w:w="237"/>
        <w:gridCol w:w="931"/>
        <w:gridCol w:w="121"/>
        <w:gridCol w:w="109"/>
        <w:gridCol w:w="109"/>
        <w:gridCol w:w="109"/>
        <w:gridCol w:w="236"/>
        <w:gridCol w:w="926"/>
        <w:gridCol w:w="172"/>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Confectionery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Salty Snacks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119,564 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our net sales disaggregated by geographical region is as follows:</w:t>
      </w:r>
    </w:p>
    <w:tbl>
      <w:tblPr>
        <w:tblW w:w="5382" w:type="dxa"/>
        <w:jc w:val="left"/>
        <w:tblInd w:w="0" w:type="dxa"/>
        <w:tblLayout w:type="fixed"/>
        <w:tblCellMar>
          <w:top w:w="28" w:type="dxa"/>
          <w:left w:w="28" w:type="dxa"/>
          <w:bottom w:w="28" w:type="dxa"/>
          <w:right w:w="28" w:type="dxa"/>
        </w:tblCellMar>
      </w:tblPr>
      <w:tblGrid>
        <w:gridCol w:w="593"/>
        <w:gridCol w:w="518"/>
        <w:gridCol w:w="524"/>
        <w:gridCol w:w="109"/>
        <w:gridCol w:w="109"/>
        <w:gridCol w:w="109"/>
        <w:gridCol w:w="110"/>
        <w:gridCol w:w="110"/>
        <w:gridCol w:w="110"/>
        <w:gridCol w:w="110"/>
        <w:gridCol w:w="213"/>
        <w:gridCol w:w="989"/>
        <w:gridCol w:w="110"/>
        <w:gridCol w:w="109"/>
        <w:gridCol w:w="109"/>
        <w:gridCol w:w="109"/>
        <w:gridCol w:w="211"/>
        <w:gridCol w:w="976"/>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8"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2,467,754 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2,854,432 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2,805,419 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3,252,749 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14. TREASURY STOCK ACTIVITY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treasury stock activity is as follows:</w:t>
      </w:r>
    </w:p>
    <w:tbl>
      <w:tblPr>
        <w:tblW w:w="8743" w:type="dxa"/>
        <w:jc w:val="left"/>
        <w:tblInd w:w="0" w:type="dxa"/>
        <w:tblLayout w:type="fixed"/>
        <w:tblCellMar>
          <w:top w:w="28" w:type="dxa"/>
          <w:left w:w="28" w:type="dxa"/>
          <w:bottom w:w="28" w:type="dxa"/>
          <w:right w:w="28" w:type="dxa"/>
        </w:tblCellMar>
      </w:tblPr>
      <w:tblGrid>
        <w:gridCol w:w="1794"/>
        <w:gridCol w:w="1574"/>
        <w:gridCol w:w="1582"/>
        <w:gridCol w:w="449"/>
        <w:gridCol w:w="451"/>
        <w:gridCol w:w="226"/>
        <w:gridCol w:w="210"/>
        <w:gridCol w:w="210"/>
        <w:gridCol w:w="210"/>
        <w:gridCol w:w="407"/>
        <w:gridCol w:w="1333"/>
        <w:gridCol w:w="297"/>
      </w:tblGrid>
      <w:tr>
        <w:trPr/>
        <w:tc>
          <w:tcPr>
            <w:tcW w:w="179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30, 2025</w:t>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2667" w:type="dxa"/>
            <w:gridSpan w:val="6"/>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stock options and incentive compensation</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15. CONTINGENCIES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48995"/>
                <wp:effectExtent l="0" t="0" r="0" b="0"/>
                <wp:wrapNone/>
                <wp:docPr id="72" name="Frame2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16. EARNINGS PER SHARE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 </w:t>
      </w:r>
    </w:p>
    <w:tbl>
      <w:tblPr>
        <w:tblW w:w="10205" w:type="dxa"/>
        <w:jc w:val="left"/>
        <w:tblInd w:w="0" w:type="dxa"/>
        <w:tblLayout w:type="fixed"/>
        <w:tblCellMar>
          <w:top w:w="28" w:type="dxa"/>
          <w:left w:w="28" w:type="dxa"/>
          <w:bottom w:w="28" w:type="dxa"/>
          <w:right w:w="28" w:type="dxa"/>
        </w:tblCellMar>
      </w:tblPr>
      <w:tblGrid>
        <w:gridCol w:w="1619"/>
        <w:gridCol w:w="1074"/>
        <w:gridCol w:w="1083"/>
        <w:gridCol w:w="109"/>
        <w:gridCol w:w="109"/>
        <w:gridCol w:w="109"/>
        <w:gridCol w:w="216"/>
        <w:gridCol w:w="813"/>
        <w:gridCol w:w="120"/>
        <w:gridCol w:w="109"/>
        <w:gridCol w:w="109"/>
        <w:gridCol w:w="109"/>
        <w:gridCol w:w="280"/>
        <w:gridCol w:w="924"/>
        <w:gridCol w:w="155"/>
        <w:gridCol w:w="109"/>
        <w:gridCol w:w="109"/>
        <w:gridCol w:w="109"/>
        <w:gridCol w:w="216"/>
        <w:gridCol w:w="813"/>
        <w:gridCol w:w="120"/>
        <w:gridCol w:w="109"/>
        <w:gridCol w:w="109"/>
        <w:gridCol w:w="109"/>
        <w:gridCol w:w="262"/>
        <w:gridCol w:w="988"/>
        <w:gridCol w:w="214"/>
      </w:tblGrid>
      <w:tr>
        <w:trPr/>
        <w:tc>
          <w:tcPr>
            <w:tcW w:w="161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distributed earnings (cash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undistributed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393,508 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130,540 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earnings—basic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198,534 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weighted-average shares—basic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148,097 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total earnings used in basic computation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168,104 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56,099 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598,919 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198,534 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total earnings as a result of conversion of Class B common stock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undistributed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earnings—diluted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797,453 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used in basic computation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148,097 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and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weighted-average shares—diluted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earnings per share calculations for the three months ended March 30, 2025 and March 31, 2024 excluded 27 and 12 stock options (in thousands), respectively, that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48995"/>
                <wp:effectExtent l="0" t="0" r="0" b="0"/>
                <wp:wrapNone/>
                <wp:docPr id="75" name="Frame2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17. OTHER (INCOME) EXPENSE, NET</w:t>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reports certain gains and losses associated with activities not directly related to our core operations. A summary of the components of other (income) expense, net is as follows: </w:t>
      </w:r>
    </w:p>
    <w:tbl>
      <w:tblPr>
        <w:tblW w:w="10205" w:type="dxa"/>
        <w:jc w:val="left"/>
        <w:tblInd w:w="0" w:type="dxa"/>
        <w:tblLayout w:type="fixed"/>
        <w:tblCellMar>
          <w:top w:w="28" w:type="dxa"/>
          <w:left w:w="28" w:type="dxa"/>
          <w:bottom w:w="28" w:type="dxa"/>
          <w:right w:w="28" w:type="dxa"/>
        </w:tblCellMar>
      </w:tblPr>
      <w:tblGrid>
        <w:gridCol w:w="2580"/>
        <w:gridCol w:w="2188"/>
        <w:gridCol w:w="2194"/>
        <w:gridCol w:w="109"/>
        <w:gridCol w:w="109"/>
        <w:gridCol w:w="158"/>
        <w:gridCol w:w="158"/>
        <w:gridCol w:w="306"/>
        <w:gridCol w:w="678"/>
        <w:gridCol w:w="158"/>
        <w:gridCol w:w="109"/>
        <w:gridCol w:w="109"/>
        <w:gridCol w:w="109"/>
        <w:gridCol w:w="240"/>
        <w:gridCol w:w="821"/>
        <w:gridCol w:w="179"/>
      </w:tblGrid>
      <w:tr>
        <w:trPr/>
        <w:tc>
          <w:tcPr>
            <w:tcW w:w="258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567" w:type="dxa"/>
            <w:gridSpan w:val="6"/>
            <w:tcBorders/>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Write-down of equity investments in partnerships qualifying for historic and renewable energy tax credits (see </w:t>
            </w:r>
            <w:hyperlink w:anchor="i742b29d23e2f4a678134a3152628d673_61">
              <w:r>
                <w:rPr>
                  <w:rStyle w:val="InternetLink"/>
                  <w:rFonts w:ascii="Times New Roman;sans-serif" w:hAnsi="Times New Roman;sans-serif"/>
                  <w:b w:val="false"/>
                  <w:color w:val="0000FF"/>
                  <w:sz w:val="20"/>
                  <w:u w:val="single"/>
                </w:rPr>
                <w:t>Note 8</w:t>
              </w:r>
            </w:hyperlink>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of net periodic benefit cost relating to pension and other post-retirement benefit plans (see </w:t>
            </w:r>
            <w:hyperlink w:anchor="i742b29d23e2f4a678134a3152628d673_70">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32,020 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48995"/>
                <wp:effectExtent l="0" t="0" r="0" b="0"/>
                <wp:wrapNone/>
                <wp:docPr id="78" name="Frame2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18. SUPPLEMENTAL BALANCE SHEET INFORMATION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certain asset accounts included within our Consolidated Balance Sheets are as follows:</w:t>
      </w:r>
    </w:p>
    <w:tbl>
      <w:tblPr>
        <w:tblW w:w="7332" w:type="dxa"/>
        <w:jc w:val="left"/>
        <w:tblInd w:w="0" w:type="dxa"/>
        <w:tblLayout w:type="fixed"/>
        <w:tblCellMar>
          <w:top w:w="28" w:type="dxa"/>
          <w:left w:w="28" w:type="dxa"/>
          <w:bottom w:w="28" w:type="dxa"/>
          <w:right w:w="28" w:type="dxa"/>
        </w:tblCellMar>
      </w:tblPr>
      <w:tblGrid>
        <w:gridCol w:w="1215"/>
        <w:gridCol w:w="1070"/>
        <w:gridCol w:w="1074"/>
        <w:gridCol w:w="109"/>
        <w:gridCol w:w="109"/>
        <w:gridCol w:w="109"/>
        <w:gridCol w:w="234"/>
        <w:gridCol w:w="1085"/>
        <w:gridCol w:w="121"/>
        <w:gridCol w:w="109"/>
        <w:gridCol w:w="109"/>
        <w:gridCol w:w="109"/>
        <w:gridCol w:w="281"/>
        <w:gridCol w:w="1299"/>
        <w:gridCol w:w="145"/>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at First In First 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1,673,051 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Last In First 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(418,957)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1,467,333 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1,254,094 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974,215 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4,248,792 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4,147,530 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6,860,466 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6,812,811 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(3,353,958)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3,436,981 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3,458,853 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367,087 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1,111,867 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48995"/>
                <wp:effectExtent l="0" t="0" r="0" b="0"/>
                <wp:wrapNone/>
                <wp:docPr id="81" name="Frame2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HERSHEY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 or if otherwise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0"/>
        <w:gridCol w:w="918"/>
        <w:gridCol w:w="844"/>
        <w:gridCol w:w="235"/>
        <w:gridCol w:w="235"/>
        <w:gridCol w:w="235"/>
        <w:gridCol w:w="456"/>
        <w:gridCol w:w="2110"/>
        <w:gridCol w:w="235"/>
        <w:gridCol w:w="235"/>
        <w:gridCol w:w="235"/>
        <w:gridCol w:w="235"/>
        <w:gridCol w:w="456"/>
        <w:gridCol w:w="2110"/>
        <w:gridCol w:w="235"/>
        <w:gridCol w:w="161"/>
      </w:tblGrid>
      <w:tr>
        <w:trPr/>
        <w:tc>
          <w:tcPr>
            <w:tcW w:w="127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5"/>
            <w:tcBorders/>
            <w:shd w:fill="FFFF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certain liability and stockholders’ equity accounts included within our Consolidated Balance Sheets are as follows: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payable—trade</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775,019 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finance program obligations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305,180 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335,261 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1,415,460 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1,159,177 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compensation and benefits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226,774 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promotion and product allowances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359,986 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826,947 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807,341 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benefits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benefits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319,640 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304,767 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241,659 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262,649 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676,257 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688,259 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(177,741)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plans, net of tax</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(119,987)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 net of tax</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loss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(291,299)</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(303,890)</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8995"/>
                <wp:effectExtent l="0" t="0" r="0" b="0"/>
                <wp:wrapNone/>
                <wp:docPr id="84" name="Frame2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March 30, 2025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2024 Annual Report on Form 10-K for information concerning the key risks to achieving future performance goals.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MD&amp;A is organized in the following sections:</w:t>
      </w:r>
    </w:p>
    <w:p>
      <w:pPr>
        <w:pStyle w:val="TextBody"/>
        <w:bidi w:val="0"/>
        <w:spacing w:lineRule="auto" w:line="288" w:before="60" w:after="283"/>
        <w:ind w:left="0" w:right="0" w:hanging="360"/>
        <w:jc w:val="left"/>
        <w:rPr/>
      </w:pPr>
      <w:r>
        <w:rPr>
          <w:color w:val="000000"/>
        </w:rPr>
        <w:t>•</w:t>
      </w:r>
      <w:hyperlink w:anchor="i742b29d23e2f4a678134a3152628d673_100">
        <w:r>
          <w:rPr>
            <w:rStyle w:val="InternetLink"/>
            <w:rFonts w:ascii="Times New Roman;sans-serif" w:hAnsi="Times New Roman;sans-serif"/>
            <w:b w:val="false"/>
            <w:color w:val="0000FF"/>
            <w:sz w:val="20"/>
            <w:u w:val="single"/>
          </w:rPr>
          <w:t>Overview</w:t>
        </w:r>
      </w:hyperlink>
    </w:p>
    <w:p>
      <w:pPr>
        <w:pStyle w:val="TextBody"/>
        <w:bidi w:val="0"/>
        <w:spacing w:lineRule="auto" w:line="288" w:before="60" w:after="283"/>
        <w:ind w:left="0" w:right="0" w:hanging="360"/>
        <w:jc w:val="left"/>
        <w:rPr/>
      </w:pPr>
      <w:r>
        <w:rPr>
          <w:color w:val="000000"/>
        </w:rPr>
        <w:t>•</w:t>
      </w:r>
      <w:hyperlink w:anchor="i742b29d23e2f4a678134a3152628d673_103">
        <w:r>
          <w:rPr>
            <w:rStyle w:val="InternetLink"/>
            <w:rFonts w:ascii="Times New Roman;sans-serif" w:hAnsi="Times New Roman;sans-serif"/>
            <w:b w:val="false"/>
            <w:color w:val="0000FF"/>
            <w:sz w:val="20"/>
            <w:u w:val="single"/>
          </w:rPr>
          <w:t>Trends Affecting Our Business</w:t>
        </w:r>
      </w:hyperlink>
    </w:p>
    <w:p>
      <w:pPr>
        <w:pStyle w:val="TextBody"/>
        <w:bidi w:val="0"/>
        <w:spacing w:lineRule="auto" w:line="288" w:before="60" w:after="283"/>
        <w:ind w:left="0" w:right="0" w:hanging="360"/>
        <w:jc w:val="left"/>
        <w:rPr/>
      </w:pPr>
      <w:r>
        <w:rPr>
          <w:color w:val="000000"/>
        </w:rPr>
        <w:t>•</w:t>
      </w:r>
      <w:hyperlink w:anchor="i742b29d23e2f4a678134a3152628d673_106">
        <w:r>
          <w:rPr>
            <w:rStyle w:val="InternetLink"/>
            <w:rFonts w:ascii="Times New Roman;sans-serif" w:hAnsi="Times New Roman;sans-serif"/>
            <w:b w:val="false"/>
            <w:color w:val="0000FF"/>
            <w:sz w:val="20"/>
            <w:u w:val="single"/>
          </w:rPr>
          <w:t>Consolidated Results of Operations</w:t>
        </w:r>
      </w:hyperlink>
    </w:p>
    <w:p>
      <w:pPr>
        <w:pStyle w:val="TextBody"/>
        <w:bidi w:val="0"/>
        <w:spacing w:lineRule="auto" w:line="288" w:before="60" w:after="283"/>
        <w:ind w:left="0" w:right="0" w:hanging="360"/>
        <w:jc w:val="left"/>
        <w:rPr/>
      </w:pPr>
      <w:r>
        <w:rPr>
          <w:color w:val="000000"/>
        </w:rPr>
        <w:t>•</w:t>
      </w:r>
      <w:hyperlink w:anchor="i742b29d23e2f4a678134a3152628d673_109">
        <w:r>
          <w:rPr>
            <w:rStyle w:val="InternetLink"/>
            <w:rFonts w:ascii="Times New Roman;sans-serif" w:hAnsi="Times New Roman;sans-serif"/>
            <w:b w:val="false"/>
            <w:color w:val="0000FF"/>
            <w:sz w:val="20"/>
            <w:u w:val="single"/>
          </w:rPr>
          <w:t>Segment Results</w:t>
        </w:r>
      </w:hyperlink>
    </w:p>
    <w:p>
      <w:pPr>
        <w:pStyle w:val="TextBody"/>
        <w:bidi w:val="0"/>
        <w:spacing w:lineRule="auto" w:line="288" w:before="60" w:after="283"/>
        <w:ind w:left="0" w:right="0" w:hanging="360"/>
        <w:jc w:val="left"/>
        <w:rPr/>
      </w:pPr>
      <w:r>
        <w:rPr>
          <w:color w:val="000000"/>
        </w:rPr>
        <w:t>•</w:t>
      </w:r>
      <w:hyperlink w:anchor="i742b29d23e2f4a678134a3152628d673_112">
        <w:r>
          <w:rPr>
            <w:rStyle w:val="InternetLink"/>
            <w:rFonts w:ascii="Times New Roman;sans-serif" w:hAnsi="Times New Roman;sans-serif"/>
            <w:b w:val="false"/>
            <w:color w:val="0000FF"/>
            <w:sz w:val="20"/>
            <w:u w:val="single"/>
          </w:rPr>
          <w:t>Liquidity and Capital Resources</w:t>
        </w:r>
      </w:hyperlink>
    </w:p>
    <w:p>
      <w:pPr>
        <w:pStyle w:val="TextBody"/>
        <w:bidi w:val="0"/>
        <w:spacing w:lineRule="auto" w:line="288" w:before="60" w:after="283"/>
        <w:ind w:left="0" w:right="0" w:hanging="360"/>
        <w:jc w:val="left"/>
        <w:rPr/>
      </w:pPr>
      <w:r>
        <w:rPr>
          <w:color w:val="000000"/>
        </w:rPr>
        <w:t>•</w:t>
      </w:r>
      <w:hyperlink w:anchor="i742b29d23e2f4a678134a3152628d673_115">
        <w:r>
          <w:rPr>
            <w:rStyle w:val="InternetLink"/>
            <w:rFonts w:ascii="Times New Roman;sans-serif" w:hAnsi="Times New Roman;sans-serif"/>
            <w:b w:val="false"/>
            <w:color w:val="0000FF"/>
            <w:sz w:val="20"/>
            <w:u w:val="single"/>
          </w:rPr>
          <w:t>Safe Harbor Statement</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70 countries worldwide.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Business Acquisitions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2025, we entered into a Merger Agreement to acquire LesserEvil, LLC, a privately held company that produces and sells organic popcorn and puffed snack products to retailers and distributors in the United States and Canada, which complements Hershey’s existing product portfolio. The Company expects the acquisition to close by mid-2025 pending the waiting period under the Hart-Scott-Rodino Antitrust Improvements Act of 1976.</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2024, we completed the acquisition of the Sour Strips brand from Actual Candy, LLC. Sour Strips is an emerging sour candy brand and is available in a wide range of food distribution channels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8995"/>
                <wp:effectExtent l="0" t="0" r="0" b="0"/>
                <wp:wrapNone/>
                <wp:docPr id="87" name="Frame3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29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lineRule="auto" w:line="288" w:before="180" w:after="283"/>
        <w:jc w:val="left"/>
        <w:rPr/>
      </w:pPr>
      <w:r>
        <w:rPr>
          <w:rFonts w:ascii="Times New Roman;sans-serif" w:hAnsi="Times New Roman;sans-serif"/>
          <w:b w:val="false"/>
          <w:color w:val="000000"/>
          <w:sz w:val="20"/>
        </w:rPr>
        <w:t xml:space="preserve">Throughout the first three months of 2025, we experienced a dynamic macroeconomic environment, including shifts in consumer behavior and continued price volatility related to select commodities, resulting in corresponding incremental costs and gross margin pressures, and net sales and net income declines. Despite specific actions taken to mitigate these gross margin pressures, higher prices for direct materials used to manufacture our products were, and continue to be, the primary incremental cost to our business (see </w:t>
      </w:r>
      <w:hyperlink w:anchor="i742b29d23e2f4a678134a3152628d673_106">
        <w:r>
          <w:rPr>
            <w:rStyle w:val="InternetLink"/>
            <w:rFonts w:ascii="Times New Roman;sans-serif" w:hAnsi="Times New Roman;sans-serif"/>
            <w:b w:val="false"/>
            <w:color w:val="0000FF"/>
            <w:sz w:val="20"/>
            <w:u w:val="single"/>
          </w:rPr>
          <w:t>Consolidated Results of Operations</w:t>
        </w:r>
      </w:hyperlink>
      <w:r>
        <w:rPr>
          <w:color w:val="000000"/>
        </w:rPr>
        <w:t xml:space="preserve"> </w:t>
      </w:r>
      <w:r>
        <w:rPr>
          <w:rFonts w:ascii="Times New Roman;sans-serif" w:hAnsi="Times New Roman;sans-serif"/>
          <w:b w:val="false"/>
          <w:color w:val="000000"/>
          <w:sz w:val="20"/>
        </w:rPr>
        <w:t xml:space="preserve">included in this MD&amp;A). We utilize many exchange traded commodities for our business that are subject to price volatility, specifically cocoa products, which continued to experience elevated market prices compared to historical levels (see </w:t>
      </w:r>
      <w:hyperlink w:anchor="i742b29d23e2f4a678134a3152628d673_118">
        <w:r>
          <w:rPr>
            <w:rStyle w:val="InternetLink"/>
            <w:rFonts w:ascii="Times New Roman;sans-serif" w:hAnsi="Times New Roman;sans-serif"/>
            <w:b w:val="false"/>
            <w:color w:val="0000FF"/>
            <w:sz w:val="20"/>
            <w:u w:val="single"/>
          </w:rPr>
          <w:t>Part I, Item 3 - Quantitative and Qualitative Disclosures about Market Risk</w:t>
        </w:r>
      </w:hyperlink>
      <w:r>
        <w:rPr>
          <w:color w:val="000000"/>
        </w:rPr>
        <w:t xml:space="preserve"> </w:t>
      </w:r>
      <w:r>
        <w:rPr>
          <w:rFonts w:ascii="Times New Roman;sans-serif" w:hAnsi="Times New Roman;sans-serif"/>
          <w:b w:val="false"/>
          <w:color w:val="000000"/>
          <w:sz w:val="20"/>
        </w:rPr>
        <w:t xml:space="preserve">included in this Quarterly Report on Form 10-Q).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certain geopolitical events, specifically changes in global trade policies including recently announced tariffs on U.S. imports and the potential for additional tariffs, have increased global economic and political uncertainty. For the three months ended March 30, 2025, the imposition of tariffs on U.S. imports and retaliatory tariffs, did not have a material impact on our results of operations, commodity prices or supply availability. However, we are continuing to monitor the ongoing negotiations related to tariffs, specifically, goods imported into the U.S. from Canada, Mexico and other countries, as well as export markets, in which we have significant business operations, all of which may result in material adverse effects on our results of operations. The scope and length of tariffs, including their effects on the broader economy and our business, remain uncertain. These outcomes may be influenced by factors such as continued U.S. negotiations with impacted countries, retaliatory measures from other nations, possible tariff exemptions, public sentiment toward U.S. products and companies, and the domestic availability of lower-cost alternatives.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with recent leadership changes at the U.S. Department of Health and Human Services and the U.S. Food and Drug Administration (“FDA”), as well as the Make America Healthy Again movement, the food industry is subject to increasing laws and regulations, including nutrition, food date labeling and traceability recordkeeping requirements, as well as changes in consumer expectations and behavior. For example, in April 2025, it was announced that the FDA intends to phase out the approved use of petroleum-based synthetic dyes in food products. While the Company has historically taken measures to remove certain food dyes from our products, and this did not have a material impact on our consolidated results for the three months ended March 30, 2025, the Company anticipates continued developments in food industry legislation and regulatory requirements, which may result in incremental costs to our business. The significance of the impact remains uncertain at this time, as the Company continues to monitor and evaluate the evolving legal and regulatory landscape.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March 30, 2025,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hyperlink w:anchor="i742b29d23e2f4a678134a3152628d673_112">
        <w:r>
          <w:rPr>
            <w:rStyle w:val="InternetLink"/>
            <w:rFonts w:ascii="Times New Roman;sans-serif" w:hAnsi="Times New Roman;sans-serif"/>
            <w:b w:val="false"/>
            <w:color w:val="0000FF"/>
            <w:sz w:val="20"/>
            <w:u w:val="single"/>
          </w:rPr>
          <w:t>Liquidity and Capital Resources</w:t>
        </w:r>
      </w:hyperlink>
      <w:r>
        <w:rPr>
          <w:color w:val="000000"/>
        </w:rPr>
        <w:t xml:space="preserve"> </w:t>
      </w:r>
      <w:r>
        <w:rPr>
          <w:rFonts w:ascii="Times New Roman;sans-serif" w:hAnsi="Times New Roman;sans-serif"/>
          <w:b w:val="false"/>
          <w:color w:val="000000"/>
          <w:sz w:val="20"/>
        </w:rPr>
        <w:t>included in this MD&amp;A).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length and severity of the fluctuating macroeconomic environment, including price volatility for our commodities, the possibility of a recession, changes in consumer shopping and consumption behavior, and changes in geopolitical events, including the imposition of tariffs and retaliatory tariffs, we may continue to experience increasing supply chain costs, higher inflation and other impacts to our business. We will continue to evaluate the nature and extent of these evolving impacts on our business, consolidated results of operations, segment results,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8995"/>
                <wp:effectExtent l="0" t="0" r="0" b="0"/>
                <wp:wrapNone/>
                <wp:docPr id="90" name="Frame3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tbl>
      <w:tblPr>
        <w:tblW w:w="10205" w:type="dxa"/>
        <w:jc w:val="left"/>
        <w:tblInd w:w="0" w:type="dxa"/>
        <w:tblLayout w:type="fixed"/>
        <w:tblCellMar>
          <w:top w:w="28" w:type="dxa"/>
          <w:left w:w="28" w:type="dxa"/>
          <w:bottom w:w="28" w:type="dxa"/>
          <w:right w:w="28" w:type="dxa"/>
        </w:tblCellMar>
      </w:tblPr>
      <w:tblGrid>
        <w:gridCol w:w="1915"/>
        <w:gridCol w:w="1389"/>
        <w:gridCol w:w="1398"/>
        <w:gridCol w:w="157"/>
        <w:gridCol w:w="157"/>
        <w:gridCol w:w="157"/>
        <w:gridCol w:w="157"/>
        <w:gridCol w:w="157"/>
        <w:gridCol w:w="238"/>
        <w:gridCol w:w="153"/>
        <w:gridCol w:w="153"/>
        <w:gridCol w:w="153"/>
        <w:gridCol w:w="359"/>
        <w:gridCol w:w="250"/>
        <w:gridCol w:w="500"/>
        <w:gridCol w:w="109"/>
        <w:gridCol w:w="109"/>
        <w:gridCol w:w="109"/>
        <w:gridCol w:w="343"/>
        <w:gridCol w:w="249"/>
        <w:gridCol w:w="501"/>
        <w:gridCol w:w="109"/>
        <w:gridCol w:w="109"/>
        <w:gridCol w:w="109"/>
        <w:gridCol w:w="285"/>
        <w:gridCol w:w="244"/>
        <w:gridCol w:w="636"/>
      </w:tblGrid>
      <w:tr>
        <w:trPr/>
        <w:tc>
          <w:tcPr>
            <w:tcW w:w="191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4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6"/>
            <w:tcBorders/>
          </w:tcPr>
          <w:p>
            <w:pPr>
              <w:pStyle w:val="TableContents"/>
              <w:bidi w:val="0"/>
              <w:spacing w:before="0" w:after="283"/>
              <w:jc w:val="left"/>
              <w:rPr>
                <w:sz w:val="4"/>
                <w:szCs w:val="4"/>
              </w:rPr>
            </w:pPr>
            <w:r>
              <w:rPr>
                <w:sz w:val="4"/>
                <w:szCs w:val="4"/>
              </w:rPr>
            </w:r>
          </w:p>
        </w:tc>
      </w:tr>
      <w:tr>
        <w:trPr/>
        <w:tc>
          <w:tcPr>
            <w:tcW w:w="4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470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In millions of dollars except per share amounts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33.7 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51.5 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marketing &amp; administrative (“SM&amp;A”) expenses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SM&amp;A expense as a percent of 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19.9 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realignment activities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profit margin</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13.2 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32.5 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Effective income tax rate</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share—diluted</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Percentage changes may not compute directly as shown due to rounding of amounts presented above.</w:t>
            </w:r>
          </w:p>
        </w:tc>
        <w:tc>
          <w:tcPr>
            <w:tcW w:w="4480" w:type="dxa"/>
            <w:gridSpan w:val="18"/>
            <w:tcBorders/>
          </w:tcPr>
          <w:p>
            <w:pPr>
              <w:pStyle w:val="TableContents"/>
              <w:bidi w:val="0"/>
              <w:spacing w:before="0" w:after="283"/>
              <w:jc w:val="left"/>
              <w:rPr>
                <w:sz w:val="4"/>
                <w:szCs w:val="4"/>
              </w:rPr>
            </w:pPr>
            <w:r>
              <w:rPr>
                <w:sz w:val="4"/>
                <w:szCs w:val="4"/>
              </w:rPr>
            </w:r>
          </w:p>
        </w:tc>
      </w:tr>
      <w:tr>
        <w:trPr/>
        <w:tc>
          <w:tcPr>
            <w:tcW w:w="57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c>
        <w:tc>
          <w:tcPr>
            <w:tcW w:w="4480"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 - First Quarter 2025 vs. First Quarter 2024</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Sales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were $2,805.4 million in the first quarter of 2025 compared to $3,252.7 million in the same period of 2024, a decrease of $447.3 million, or 13.8%. The net sales decrease was driven by a volume decline of approximately 15%, primarily related to everyday core U.S. confection, as a result of accelerated shipments in the first quarter of 2024 in anticipation of our enterprise resource planning (“ERP”) system implementation, which was completed in the beginning of the second quarter of 2024, and declines in our International reportable segment. Foreign currency exchange rates resulted in an unfavorable impact of less than 1%. The net sales decrease was partially offset by a favorable price realization of approximately 2%, driven by higher list prices across our North America Confectionery segment. </w:t>
      </w:r>
    </w:p>
    <w:p>
      <w:pPr>
        <w:pStyle w:val="TextBody"/>
        <w:bidi w:val="0"/>
        <w:spacing w:lineRule="auto" w:line="288" w:before="180" w:after="283"/>
        <w:ind w:left="0" w:right="0" w:hanging="270"/>
        <w:jc w:val="left"/>
        <w:rPr>
          <w:rFonts w:ascii="Times New Roman;sans-serif" w:hAnsi="Times New Roman;sans-serif"/>
          <w:b w:val="false"/>
          <w:i/>
          <w:color w:val="000000"/>
          <w:sz w:val="20"/>
        </w:rPr>
      </w:pPr>
      <w:r>
        <w:rPr>
          <w:rFonts w:ascii="Times New Roman;sans-serif" w:hAnsi="Times New Roman;sans-serif"/>
          <w:b w:val="false"/>
          <w:i/>
          <w:color w:val="000000"/>
          <w:sz w:val="20"/>
        </w:rPr>
        <w:t>Key U.S. Marketplace Metrics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2025, our total U.S. retail takeaway declined 6.7% in the expanded multi-outlet combined plus convenience store channels (Circana MULO + C-Stores), which includes candy, mint, gum, salty snacks and grocery items. Our U.S. candy, mint and gum (“CMG”) consumer takeaway declined 9.0% and experienced a CMG market share decline of 46 basis points. Declines were primarily driven by the timing of Easter, which shifted into mid-April in 2025, compared to March in 2024. Our Salty consumer takeaway increased 9.6% in the first quarter of 2025 and experienced a Salty market share increase of 37 basis points.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48995"/>
                <wp:effectExtent l="0" t="0" r="0" b="0"/>
                <wp:wrapNone/>
                <wp:docPr id="93" name="Frame3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Cost of Sales and Gross Margin </w:t>
      </w:r>
    </w:p>
    <w:p>
      <w:pPr>
        <w:pStyle w:val="TextBody"/>
        <w:bidi w:val="0"/>
        <w:spacing w:lineRule="auto" w:line="288" w:before="100" w:after="283"/>
        <w:jc w:val="left"/>
        <w:rPr/>
      </w:pPr>
      <w:r>
        <w:rPr>
          <w:rFonts w:ascii="Times New Roman;sans-serif" w:hAnsi="Times New Roman;sans-serif"/>
          <w:b w:val="false"/>
          <w:color w:val="000000"/>
          <w:sz w:val="20"/>
        </w:rPr>
        <w:t xml:space="preserve">Cost of sales were $1,861.2 million in the first quarter 2025 compared to $1,576.6 million in the same period 2024, an increase of $284.6 million, or 18.0%. The increase was driven by $618.9 million of higher costs, primarily due to unfavorable commodity costs from cocoa and $251.6 million of unfavorable mark-to-market activity on our commodity derivative instruments intended to economically hedge future years’ commodity purchases (See </w:t>
      </w:r>
      <w:hyperlink w:anchor="i742b29d23e2f4a678134a3152628d673_118">
        <w:r>
          <w:rPr>
            <w:rStyle w:val="InternetLink"/>
            <w:rFonts w:ascii="Times New Roman;sans-serif" w:hAnsi="Times New Roman;sans-serif"/>
            <w:b w:val="false"/>
            <w:color w:val="0000FF"/>
            <w:sz w:val="20"/>
            <w:u w:val="single"/>
          </w:rPr>
          <w:t>Part I, Item 3 - Quantitative and Qualitative Disclosures About Market Risk</w:t>
        </w:r>
      </w:hyperlink>
      <w:r>
        <w:rPr>
          <w:color w:val="000000"/>
        </w:rPr>
        <w:t xml:space="preserve"> </w:t>
      </w:r>
      <w:r>
        <w:rPr>
          <w:rFonts w:ascii="Times New Roman;sans-serif" w:hAnsi="Times New Roman;sans-serif"/>
          <w:b w:val="false"/>
          <w:color w:val="000000"/>
          <w:sz w:val="20"/>
        </w:rPr>
        <w:t xml:space="preserve">included in this Quarterly Report on Form 10-Q for more information). The increase was partially offset by $334.3 million, primarily related to lower sales volume and lower supply chain costs, in line with the declines in net sales noted above.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was 33.7% in the first quarter of 2025 compared to 51.5% in the same period of 2024, a decrease of 1,790 basis points. The decrease was driven by unfavorable activity on our mark-to-market impact from commodity derivative instruments, lower sales volume, unfavorable commodity costs, and unfavorable mix. The decrease was partially offset by lower supply chain costs and favorable price realization.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SM&amp;A Expenses </w:t>
      </w:r>
    </w:p>
    <w:p>
      <w:pPr>
        <w:pStyle w:val="TextBody"/>
        <w:bidi w:val="0"/>
        <w:spacing w:lineRule="auto" w:line="27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SM&amp;A expenses were $558.7 million in the first quarter of 2025 compared to $618.0 million in the same period of 2024, a decrease of $59.3 million, or 9.6%. Total advertising and related consumer marketing expenses decreased 14.2% driven primarily by a decrease in the North America Confectionery segment, partially offset by an increase in North America Salty Snacks. SM&amp;A expenses, excluding advertising and related consumer marketing, decreased 7.0% in the first quarter of 2025 driven by lower compensation costs across our reportable segments, as well as $4.6 million of incremental business realignment costs.</w:t>
      </w:r>
    </w:p>
    <w:p>
      <w:pPr>
        <w:pStyle w:val="TextBody"/>
        <w:bidi w:val="0"/>
        <w:spacing w:lineRule="auto" w:line="276" w:before="180" w:after="283"/>
        <w:jc w:val="left"/>
        <w:rPr>
          <w:rFonts w:ascii="Times New Roman;sans-serif" w:hAnsi="Times New Roman;sans-serif"/>
          <w:b/>
          <w:color w:val="000000"/>
          <w:sz w:val="20"/>
        </w:rPr>
      </w:pPr>
      <w:r>
        <w:rPr>
          <w:rFonts w:ascii="Times New Roman;sans-serif" w:hAnsi="Times New Roman;sans-serif"/>
          <w:b/>
          <w:color w:val="000000"/>
          <w:sz w:val="20"/>
        </w:rPr>
        <w:t>Business Realignment Activities</w:t>
      </w:r>
    </w:p>
    <w:p>
      <w:pPr>
        <w:pStyle w:val="TextBody"/>
        <w:bidi w:val="0"/>
        <w:spacing w:lineRule="auto" w:line="276" w:before="180" w:after="283"/>
        <w:jc w:val="left"/>
        <w:rPr/>
      </w:pPr>
      <w:r>
        <w:rPr>
          <w:rFonts w:ascii="Times New Roman;sans-serif" w:hAnsi="Times New Roman;sans-serif"/>
          <w:b w:val="false"/>
          <w:color w:val="000000"/>
          <w:sz w:val="20"/>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$16.4 million business realignment costs during the first quarter of 2025. The costs in the first quarter of 2025 related to the Advancing Agility &amp; Automation (“AAA”) Initiative, which commenced in 2024, focused on leveraging new technology to improve supply chain and manufacturing-related spend, and optimize selling, general and administrative expenses. There were no business realignments costs in the first quarter of 2024. Costs associated with business realignment activities are classified in our Consolidated Statements of Income as described in </w:t>
      </w:r>
      <w:hyperlink w:anchor="i742b29d23e2f4a678134a3152628d673_64">
        <w:r>
          <w:rPr>
            <w:rStyle w:val="InternetLink"/>
            <w:rFonts w:ascii="Times New Roman;sans-serif" w:hAnsi="Times New Roman;sans-serif"/>
            <w:b w:val="false"/>
            <w:color w:val="0000FF"/>
            <w:sz w:val="20"/>
            <w:u w:val="single"/>
          </w:rPr>
          <w:t>Note 9</w:t>
        </w:r>
      </w:hyperlink>
      <w:r>
        <w:rPr>
          <w:color w:val="000000"/>
        </w:rPr>
        <w:t xml:space="preserve"> </w:t>
      </w:r>
      <w:r>
        <w:rPr>
          <w:rFonts w:ascii="Times New Roman;sans-serif" w:hAnsi="Times New Roman;sans-serif"/>
          <w:b w:val="false"/>
          <w:color w:val="000000"/>
          <w:sz w:val="20"/>
        </w:rPr>
        <w:t xml:space="preserve">to the Unaudited Consolidated Financial Statements.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Profit and Operating Profit Margin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was $369.2 million in the first quarter of 2025 compared to $1,058.1 million in the same period of 2024, a decrease of $688.9 million, or 65.1%. The decrease was primarily due to lower gross profit and higher business realignment costs, partially offset by lower SM&amp;A expenses, as noted above. Operating profit margin decreased to 13.2% in 2025 from 32.5% in 2024 driven by the same factors noted above that resulted in lower gross margin for the period.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expense was $44.6 million in the first quarter of 2025 compared to $39.8 million in the same period of 2024, an increase of $4.8 million, or 12.1%. The increase was primarily due to higher long-term debt balances in 2025 versus 2024, driven by the February 2025 debt issuance.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(Income) Expense, Net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$0.9 million in the first quarter of 2025 versus net expense of $32.0 million in the first quarter of 2024, a decrease of $31.1 million, or 97.0%. The decrease in net expense was primarily driven by $31.4 million of lower write-downs on equity investments qualifying for tax credits in 2025 versus the first quarter of 2024, partially offset by an increase of $0.7 million of non-service cost components of net periodic benefit cost relating to pension and other post-retirement benefit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48995"/>
                <wp:effectExtent l="0" t="0" r="0" b="0"/>
                <wp:wrapNone/>
                <wp:docPr id="96" name="Frame3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Taxes and Effective Tax Rate </w:t>
      </w:r>
    </w:p>
    <w:p>
      <w:pPr>
        <w:pStyle w:val="TextBody"/>
        <w:bidi w:val="0"/>
        <w:spacing w:lineRule="auto" w:line="27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was 30.7% for the first quarter of 2025 compared with 19.1% for the first quarter of 2024. Relative to the 21% statutory rate, the 2025 effective tax rate was primarily impacted by foreign tax differential and state taxes. Relative to the 21% statutory rate, the 2024 effective tax rate was impacted by investment tax credits partially offset by state taxes.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Net Income and Earnings Per Share-diluted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was $224.2 million in the first quarter of 2025 compared to $797.5 million in the same period of 2024, a decrease of $573.3 million, or 71.9%. EPS-diluted was $1.10 in the first quarter of 2025 compared to $3.89 in the first quarter of 2024, a decrease of $2.79, or 71.7%. The decrease in both net income and EPS-diluted was driven by lower gross profit, higher business realignment costs and higher interest expense, partially offset by lower other income and expenses, lower income taxes and lower SM&amp;A expenses. Our 2025 EPS-diluted benefited from lower weighted-average shares outstanding.</w:t>
      </w:r>
    </w:p>
    <w:p>
      <w:pPr>
        <w:pStyle w:val="TextBody"/>
        <w:bidi w:val="0"/>
        <w:spacing w:before="2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48995"/>
                <wp:effectExtent l="0" t="0" r="0" b="0"/>
                <wp:wrapNone/>
                <wp:docPr id="99" name="Frame3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SEGMENT RESULTS </w:t>
      </w:r>
    </w:p>
    <w:p>
      <w:pPr>
        <w:pStyle w:val="TextBody"/>
        <w:bidi w:val="0"/>
        <w:spacing w:lineRule="auto" w:line="268" w:before="100" w:after="283"/>
        <w:jc w:val="left"/>
        <w:rPr/>
      </w:pPr>
      <w:r>
        <w:rPr>
          <w:rFonts w:ascii="Times New Roman;sans-serif" w:hAnsi="Times New Roman;sans-serif"/>
          <w:b w:val="false"/>
          <w:color w:val="000000"/>
          <w:sz w:val="20"/>
        </w:rPr>
        <w:t xml:space="preserve">The summary that follows provides a discussion of the results of operations of our three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our Chief Operating Decision Maker, Michele Buck, Chairman of the Board, President, and Chief Executive Officer,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Refer to </w:t>
      </w:r>
      <w:hyperlink w:anchor="i742b29d23e2f4a678134a3152628d673_76">
        <w:r>
          <w:rPr>
            <w:rStyle w:val="InternetLink"/>
            <w:rFonts w:ascii="Times New Roman;sans-serif" w:hAnsi="Times New Roman;sans-serif"/>
            <w:b w:val="false"/>
            <w:color w:val="0000FF"/>
            <w:sz w:val="20"/>
            <w:u w:val="single"/>
          </w:rPr>
          <w:t>Note 13</w:t>
        </w:r>
      </w:hyperlink>
      <w:r>
        <w:rPr>
          <w:color w:val="000000"/>
        </w:rPr>
        <w:t xml:space="preserve"> </w:t>
      </w:r>
      <w:r>
        <w:rPr>
          <w:rFonts w:ascii="Times New Roman;sans-serif" w:hAnsi="Times New Roman;sans-serif"/>
          <w:b w:val="false"/>
          <w:color w:val="000000"/>
          <w:sz w:val="20"/>
        </w:rPr>
        <w:t>Segment Information in our audited consolidated financial statements for reconciliations of net sales for our reportable segments to consolidated total net sales and of segment operating income to consolidated income before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segment results, including a reconciliation to our consolidated results, were as follows:</w:t>
      </w:r>
    </w:p>
    <w:tbl>
      <w:tblPr>
        <w:tblW w:w="9746" w:type="dxa"/>
        <w:jc w:val="left"/>
        <w:tblInd w:w="0" w:type="dxa"/>
        <w:tblLayout w:type="fixed"/>
        <w:tblCellMar>
          <w:top w:w="28" w:type="dxa"/>
          <w:left w:w="28" w:type="dxa"/>
          <w:bottom w:w="28" w:type="dxa"/>
          <w:right w:w="28" w:type="dxa"/>
        </w:tblCellMar>
      </w:tblPr>
      <w:tblGrid>
        <w:gridCol w:w="2165"/>
        <w:gridCol w:w="1897"/>
        <w:gridCol w:w="1907"/>
        <w:gridCol w:w="109"/>
        <w:gridCol w:w="109"/>
        <w:gridCol w:w="109"/>
        <w:gridCol w:w="125"/>
        <w:gridCol w:w="125"/>
        <w:gridCol w:w="125"/>
        <w:gridCol w:w="125"/>
        <w:gridCol w:w="250"/>
        <w:gridCol w:w="911"/>
        <w:gridCol w:w="128"/>
        <w:gridCol w:w="109"/>
        <w:gridCol w:w="109"/>
        <w:gridCol w:w="109"/>
        <w:gridCol w:w="249"/>
        <w:gridCol w:w="904"/>
        <w:gridCol w:w="181"/>
      </w:tblGrid>
      <w:tr>
        <w:trPr/>
        <w:tc>
          <w:tcPr>
            <w:tcW w:w="2165"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1" w:type="dxa"/>
            <w:gridSpan w:val="6"/>
            <w:tcBorders/>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Confectionery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Salty Snacks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Confectionery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Salty Snacks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mark-to-market losses (gains) on commodity derivatives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business realignment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pStyle w:val="TextBody"/>
        <w:bidi w:val="0"/>
        <w:spacing w:lineRule="auto" w:line="288" w:before="100" w:after="283"/>
        <w:ind w:left="0" w:right="0" w:hanging="360"/>
        <w:jc w:val="left"/>
        <w:rPr/>
      </w:pPr>
      <w:r>
        <w:rPr>
          <w:rFonts w:ascii="Times New Roman;sans-serif" w:hAnsi="Times New Roman;sans-serif"/>
          <w:b w:val="false"/>
          <w:color w:val="000000"/>
          <w:sz w:val="18"/>
        </w:rPr>
        <w:t xml:space="preserve">(2)Net losses (gains) on mark-to-market valuation of commodity derivative positions recognized in unallocated derivative losses (gains). See </w:t>
      </w:r>
      <w:hyperlink w:anchor="i742b29d23e2f4a678134a3152628d673_76">
        <w:r>
          <w:rPr>
            <w:rStyle w:val="InternetLink"/>
            <w:rFonts w:ascii="Times New Roman;sans-serif" w:hAnsi="Times New Roman;sans-serif"/>
            <w:b w:val="false"/>
            <w:color w:val="0000FF"/>
            <w:sz w:val="18"/>
            <w:u w:val="single"/>
          </w:rPr>
          <w:t>Note 13</w:t>
        </w:r>
      </w:hyperlink>
      <w:r>
        <w:rPr>
          <w:color w:val="000000"/>
        </w:rPr>
        <w:t xml:space="preserve"> </w:t>
      </w:r>
      <w:r>
        <w:rPr>
          <w:rFonts w:ascii="Times New Roman;sans-serif" w:hAnsi="Times New Roman;sans-serif"/>
          <w:b w:val="false"/>
          <w:color w:val="000000"/>
          <w:sz w:val="18"/>
        </w:rPr>
        <w:t>to the Unaudited Consolidated Financial Statements.</w:t>
      </w:r>
    </w:p>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North America Confectionery</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82.0% and 83.2% of our net sales for the three months ended March 30, 2025 and March 31, 2024, respectively, were as follows:</w:t>
      </w:r>
    </w:p>
    <w:tbl>
      <w:tblPr>
        <w:tblW w:w="10205" w:type="dxa"/>
        <w:jc w:val="left"/>
        <w:tblInd w:w="0" w:type="dxa"/>
        <w:tblLayout w:type="fixed"/>
        <w:tblCellMar>
          <w:top w:w="28" w:type="dxa"/>
          <w:left w:w="28" w:type="dxa"/>
          <w:bottom w:w="28" w:type="dxa"/>
          <w:right w:w="28" w:type="dxa"/>
        </w:tblCellMar>
      </w:tblPr>
      <w:tblGrid>
        <w:gridCol w:w="1399"/>
        <w:gridCol w:w="1178"/>
        <w:gridCol w:w="1185"/>
        <w:gridCol w:w="275"/>
        <w:gridCol w:w="275"/>
        <w:gridCol w:w="275"/>
        <w:gridCol w:w="275"/>
        <w:gridCol w:w="275"/>
        <w:gridCol w:w="283"/>
        <w:gridCol w:w="111"/>
        <w:gridCol w:w="111"/>
        <w:gridCol w:w="111"/>
        <w:gridCol w:w="216"/>
        <w:gridCol w:w="786"/>
        <w:gridCol w:w="277"/>
        <w:gridCol w:w="109"/>
        <w:gridCol w:w="109"/>
        <w:gridCol w:w="109"/>
        <w:gridCol w:w="215"/>
        <w:gridCol w:w="782"/>
        <w:gridCol w:w="276"/>
        <w:gridCol w:w="109"/>
        <w:gridCol w:w="109"/>
        <w:gridCol w:w="109"/>
        <w:gridCol w:w="287"/>
        <w:gridCol w:w="276"/>
        <w:gridCol w:w="683"/>
      </w:tblGrid>
      <w:tr>
        <w:trPr/>
        <w:tc>
          <w:tcPr>
            <w:tcW w:w="139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3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of dollars</w:t>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30.3 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35.0 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Percentage changes may not compute directly as shown due to rounding of amounts presented above.</w:t>
            </w:r>
          </w:p>
        </w:tc>
        <w:tc>
          <w:tcPr>
            <w:tcW w:w="4785"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 - First Quarter 2025 vs. First Quarter 2024</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our North America Confectionery segment were $2,300.1 million in the first quarter of 2025 compared to $2,707.3 million in the same period of 2024, a decrease of $407.16 million, or 15.0%. The decrease was driven by volume declines of approximately 18%, primarily due to a decrease in everyday core U.S. confection as a result of accelerated shipments in the first quarter of 2024 in anticipation of our ERP system implementation, which was completed in the beginning of the second quarter of 2024. The decrease was partially offset by favorable price realization of approximately 3%, primarily due to list price increases on certain products across our portfolio. </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North America Confectionery segment income was $696.4 million in the first quarter of 2025 compared to $948.2 million in the same period of 2024, a decrease of $251.8 million, or 26.6%. The decrease was predominantly due to lower volume and higher commodity costs, partially offset by lower supply chain costs, favorable price realization, lower advertising and related consumer marketing costs, and net savings from the execution of our AAA Initiative.</w:t>
      </w:r>
    </w:p>
    <w:p>
      <w:pPr>
        <w:pStyle w:val="TextBody"/>
        <w:bidi w:val="0"/>
        <w:spacing w:before="100" w:after="16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North America Salty Snacks</w:t>
      </w:r>
    </w:p>
    <w:p>
      <w:pPr>
        <w:pStyle w:val="TextBody"/>
        <w:bidi w:val="0"/>
        <w:spacing w:lineRule="auto" w:line="268" w:before="18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North America Salty Snacks segment is responsible for our grocery and snacks market positions, including our salty snacking products. North America Salty Snacks results, which accounted for 9.9% and 8.5% of our net sales for the three months ended March 30, 2025 and March 31, 2024, respectively, were as follows:</w:t>
      </w:r>
    </w:p>
    <w:tbl>
      <w:tblPr>
        <w:tblW w:w="10205" w:type="dxa"/>
        <w:jc w:val="left"/>
        <w:tblInd w:w="0" w:type="dxa"/>
        <w:tblLayout w:type="fixed"/>
        <w:tblCellMar>
          <w:top w:w="28" w:type="dxa"/>
          <w:left w:w="28" w:type="dxa"/>
          <w:bottom w:w="28" w:type="dxa"/>
          <w:right w:w="28" w:type="dxa"/>
        </w:tblCellMar>
      </w:tblPr>
      <w:tblGrid>
        <w:gridCol w:w="1429"/>
        <w:gridCol w:w="1206"/>
        <w:gridCol w:w="1213"/>
        <w:gridCol w:w="279"/>
        <w:gridCol w:w="279"/>
        <w:gridCol w:w="279"/>
        <w:gridCol w:w="279"/>
        <w:gridCol w:w="279"/>
        <w:gridCol w:w="312"/>
        <w:gridCol w:w="118"/>
        <w:gridCol w:w="118"/>
        <w:gridCol w:w="118"/>
        <w:gridCol w:w="234"/>
        <w:gridCol w:w="686"/>
        <w:gridCol w:w="301"/>
        <w:gridCol w:w="109"/>
        <w:gridCol w:w="109"/>
        <w:gridCol w:w="109"/>
        <w:gridCol w:w="235"/>
        <w:gridCol w:w="686"/>
        <w:gridCol w:w="301"/>
        <w:gridCol w:w="109"/>
        <w:gridCol w:w="109"/>
        <w:gridCol w:w="109"/>
        <w:gridCol w:w="269"/>
        <w:gridCol w:w="234"/>
        <w:gridCol w:w="696"/>
      </w:tblGrid>
      <w:tr>
        <w:trPr/>
        <w:tc>
          <w:tcPr>
            <w:tcW w:w="142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of dollars</w:t>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Percentage changes may not compute directly as shown due to rounding of amounts presented above.</w:t>
            </w:r>
          </w:p>
        </w:tc>
        <w:tc>
          <w:tcPr>
            <w:tcW w:w="4650"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68" w:before="24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 - First Quarter 2025 vs. First Quarter 2024</w:t>
      </w:r>
    </w:p>
    <w:p>
      <w:pPr>
        <w:pStyle w:val="TextBody"/>
        <w:bidi w:val="0"/>
        <w:spacing w:lineRule="auto" w:line="268" w:before="100" w:after="160"/>
        <w:jc w:val="left"/>
        <w:rPr/>
      </w:pPr>
      <w:r>
        <w:rPr>
          <w:rFonts w:ascii="Times New Roman;sans-serif" w:hAnsi="Times New Roman;sans-serif"/>
          <w:b w:val="false"/>
          <w:color w:val="000000"/>
          <w:sz w:val="20"/>
        </w:rPr>
        <w:t xml:space="preserve">Net sales of our North America Salty Snacks segment were $277.8 million in the first quarter of 2025 compared to $275.1 million in the same period of 2024, an increase of $2.7 million, or 1.0%. The increase was due to volume increases of approximately 4%, primarily driven by </w:t>
      </w:r>
      <w:r>
        <w:rPr>
          <w:rFonts w:ascii="Times New Roman;sans-serif" w:hAnsi="Times New Roman;sans-serif"/>
          <w:b w:val="false"/>
          <w:i/>
          <w:color w:val="000000"/>
          <w:sz w:val="20"/>
        </w:rPr>
        <w:t>Dot’s Homestyle Pretzels</w:t>
      </w:r>
      <w:r>
        <w:rPr>
          <w:rFonts w:ascii="Times New Roman;sans-serif" w:hAnsi="Times New Roman;sans-serif"/>
          <w:b w:val="false"/>
          <w:color w:val="000000"/>
          <w:sz w:val="20"/>
        </w:rPr>
        <w:t>. The increase was partially offset by unfavorable price realization of approximately 3% across our portfolio.</w:t>
      </w:r>
    </w:p>
    <w:p>
      <w:pPr>
        <w:pStyle w:val="TextBody"/>
        <w:bidi w:val="0"/>
        <w:spacing w:lineRule="auto" w:line="26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North America Salty Snacks segment income was $41.9 million in the first quarter of 2025 compared to $38.7 million in the same period of 2024, an increase of $3.2 million, or 8.1%. The increase was predominantly due to volume increases, as noted above, lower supply chain costs, and net savings from the execution of our AAA Initiative, partially offset by unfavorable price realization and increased advertising and related consumer marketing costs.</w:t>
      </w:r>
    </w:p>
    <w:p>
      <w:pPr>
        <w:pStyle w:val="TextBody"/>
        <w:bidi w:val="0"/>
        <w:spacing w:lineRule="auto" w:line="268" w:before="100" w:after="160"/>
        <w:jc w:val="left"/>
        <w:rPr>
          <w:rFonts w:ascii="Times New Roman;sans-serif" w:hAnsi="Times New Roman;sans-serif"/>
          <w:b/>
          <w:color w:val="000000"/>
          <w:sz w:val="20"/>
        </w:rPr>
      </w:pPr>
      <w:r>
        <w:rPr>
          <w:rFonts w:ascii="Times New Roman;sans-serif" w:hAnsi="Times New Roman;sans-serif"/>
          <w:b/>
          <w:color w:val="000000"/>
          <w:sz w:val="20"/>
        </w:rPr>
        <w:t>International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(“MEA”) and other regions. International results, which accounted for 8.1% and 8.3% of our net sales for the three months ended March 30, 2025 and March 31, 2024, respectively, were as follows:</w:t>
      </w:r>
    </w:p>
    <w:tbl>
      <w:tblPr>
        <w:tblW w:w="10205" w:type="dxa"/>
        <w:jc w:val="left"/>
        <w:tblInd w:w="0" w:type="dxa"/>
        <w:tblLayout w:type="fixed"/>
        <w:tblCellMar>
          <w:top w:w="28" w:type="dxa"/>
          <w:left w:w="28" w:type="dxa"/>
          <w:bottom w:w="28" w:type="dxa"/>
          <w:right w:w="28" w:type="dxa"/>
        </w:tblCellMar>
      </w:tblPr>
      <w:tblGrid>
        <w:gridCol w:w="1415"/>
        <w:gridCol w:w="1193"/>
        <w:gridCol w:w="1200"/>
        <w:gridCol w:w="277"/>
        <w:gridCol w:w="277"/>
        <w:gridCol w:w="277"/>
        <w:gridCol w:w="277"/>
        <w:gridCol w:w="277"/>
        <w:gridCol w:w="310"/>
        <w:gridCol w:w="118"/>
        <w:gridCol w:w="118"/>
        <w:gridCol w:w="118"/>
        <w:gridCol w:w="234"/>
        <w:gridCol w:w="685"/>
        <w:gridCol w:w="301"/>
        <w:gridCol w:w="109"/>
        <w:gridCol w:w="109"/>
        <w:gridCol w:w="109"/>
        <w:gridCol w:w="234"/>
        <w:gridCol w:w="685"/>
        <w:gridCol w:w="301"/>
        <w:gridCol w:w="109"/>
        <w:gridCol w:w="109"/>
        <w:gridCol w:w="109"/>
        <w:gridCol w:w="287"/>
        <w:gridCol w:w="277"/>
        <w:gridCol w:w="690"/>
      </w:tblGrid>
      <w:tr>
        <w:trPr/>
        <w:tc>
          <w:tcPr>
            <w:tcW w:w="141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6"/>
            <w:tcBorders/>
          </w:tcPr>
          <w:p>
            <w:pPr>
              <w:pStyle w:val="TableContents"/>
              <w:bidi w:val="0"/>
              <w:spacing w:before="0" w:after="283"/>
              <w:jc w:val="left"/>
              <w:rPr>
                <w:sz w:val="4"/>
                <w:szCs w:val="4"/>
              </w:rPr>
            </w:pPr>
            <w:r>
              <w:rPr>
                <w:sz w:val="4"/>
                <w:szCs w:val="4"/>
              </w:rPr>
            </w:r>
          </w:p>
        </w:tc>
      </w:tr>
      <w:tr>
        <w:trPr/>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3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of dollars</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6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margin</w:t>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Percentage changes may not compute directly as shown due to rounding of amounts presented above.</w:t>
            </w:r>
          </w:p>
        </w:tc>
        <w:tc>
          <w:tcPr>
            <w:tcW w:w="4702"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 - First Quarter 2025 vs. First Quarter 2024</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our International segment were $227.5 million in the first quarter of 2025 compared to $270.3 million in the same period of 2024, a decrease $42.9 million, or 15.9%. The decrease was due to volume declines of approximately 8% across the segment, as well as an unfavorable impact from foreign currency exchange rates of approximately 8%, primarily driven by Mexico, Brazil and Latin America. The decrease was partially offset by favorable price realization of approximately 1%, primarily driven by Mexico, Brazil and Latin America.</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segment generated income of $28.7 million in the first quarter of 2025 compared to $42.8 million in the first quarter of 2024, a decrease of $14.1 million, or 32.9%, driven primarily by volume declines, an unfavorable impact from foreign currency exchange rates, partially offset by lower supply chain costs and net savings from the execution of our AAA Initiative.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Unallocated Corporate Expense</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 </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unallocated corporate expense totaled $160.4 million, as compared to $172.9 million in the first quarter of 2024, a decrease of $12.5 million, or 7.2%. The decrease was primarily driven by lower compensation and benefits costs, decreased investments in capabilities and technology, as a result of the completion of the upgrade of our new ERP system across the enterprise in 2024 and lower acquisition and integration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30, 2025, our cash and cash equivalents totaled $1.5 billion, an increase of $784.5 million compared to the 2024 year-end balance. Additional detail regarding the net uses of cash are outlined in the following discussion. Additionally, at March 30, 2025, we had outstanding short- and long-term debt totaling $5.9 billion, of which $603.6 million was classified as the current portion of long-term debt. Of the $603.6 million, $300 million of 0.900% Notes are due upon maturity on June 1, 2025 and $300 million of 3.200% Notes are due upon maturity on August 21, 2025. We believe we can satisfy these debt obligations with cash generated from our operations, issuing new debt, and/or by borrowing on our unsecured credit facility.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55% of the balance of our cash and cash equivalents at March 30, 2025 was held by subsidiaries domiciled outside of the United States. A majority of our cash and cash equivalents balance is distributable to the United States without material tax implications, such as withholding tax. We intend to continue to reinvest the remainder of this balance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48995"/>
                <wp:effectExtent l="0" t="0" r="0" b="0"/>
                <wp:wrapNone/>
                <wp:docPr id="102" name="Frame3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7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Cash Flow Summary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is derived from our Consolidated Statements of Cash Flows: </w:t>
      </w:r>
    </w:p>
    <w:tbl>
      <w:tblPr>
        <w:tblW w:w="8691" w:type="dxa"/>
        <w:jc w:val="left"/>
        <w:tblInd w:w="0" w:type="dxa"/>
        <w:tblLayout w:type="fixed"/>
        <w:tblCellMar>
          <w:top w:w="28" w:type="dxa"/>
          <w:left w:w="28" w:type="dxa"/>
          <w:bottom w:w="28" w:type="dxa"/>
          <w:right w:w="28" w:type="dxa"/>
        </w:tblCellMar>
      </w:tblPr>
      <w:tblGrid>
        <w:gridCol w:w="1845"/>
        <w:gridCol w:w="1615"/>
        <w:gridCol w:w="1625"/>
        <w:gridCol w:w="109"/>
        <w:gridCol w:w="109"/>
        <w:gridCol w:w="109"/>
        <w:gridCol w:w="291"/>
        <w:gridCol w:w="849"/>
        <w:gridCol w:w="150"/>
        <w:gridCol w:w="109"/>
        <w:gridCol w:w="109"/>
        <w:gridCol w:w="109"/>
        <w:gridCol w:w="291"/>
        <w:gridCol w:w="849"/>
        <w:gridCol w:w="150"/>
        <w:gridCol w:w="109"/>
        <w:gridCol w:w="109"/>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cash of $396.7 million from operating activities in the first three months of 2025, a decrease of $172.5 million compared to $569.2 million in the same period of 2024. This decrease in net cash provided by operating activities was mainly driven by the following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Other assets and liabilities consumed cash of $369.9 million in 2025, compared to $22.3 million in 2024. This $347.6 million fluctuation was primarily driven by the timing of certain prepaid expenses and other current assets.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income tax payments generated cash of $80.2 million in 2025, compared to $147.5 million in 2024. This $67.4 million fluctuation was primarily due to the variance in actual tax expense for 2025 relative to the timing of quarterly estimated tax payments. We paid cash of $38.9 million for income taxes during 2025 compared to $31.3 million in the same period of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Net income adjusted for non-cash charges to operations (including depreciation, amortization, stock-based compensation, deferred income taxes, a write-down of equity investments, unrealized gains and losses on derivative contracts and other charges) resulted in $49.8 million of lower cash flow in 2025 relative to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decrease in cash provided by operating activities was partially offset by the following net cash inflows: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In the aggregate, select net working capital items, specifically, trade accounts receivable, inventory, accounts payable and accrued liabilities, generated cash of $55.4 million in 2025, compared to consumed cash of $237.7 million in 2024. This $293.0 million fluctuation was mainly driven by accounts receivable due to a decrease in sales, a decrease in accounts payable and accrued liabilities due to the timing of vendor and supplier payments, partially offset by higher inventory levels.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used cash of $147.0 million for investing activities in the first three months of 2025, a decrease of $80.6 million compared to $227.6 million in the same period of 2024. This decrease in net cash used in investing activities was mainly driven by the following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Capital spending</w:t>
      </w:r>
      <w:r>
        <w:rPr>
          <w:rFonts w:ascii="Times New Roman;sans-serif" w:hAnsi="Times New Roman;sans-serif"/>
          <w:b w:val="false"/>
          <w:color w:val="000000"/>
          <w:sz w:val="20"/>
        </w:rPr>
        <w:t>. Capital expenditures, including capitalized software, capacity expansion, innovation and cost savings, were $145.5 million in the first three months of 2025 compared to $213.3 million in the same period of 2024. The decrease in our 2025 capital expenditures is largely driven by the wind down of our key strategic initiatives, including completion of the upgrade of a new ERP system across the enterprise in 2024. We expect 2025 capital expenditures, including capitalized software, to approximate $425 million to $450 million, as capital spending as a percentage of sales is expected to return to historical levels. We intend to use our existing cash and internally generated funds to meet our 2025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Investments in partnerships qualifying for tax credits</w:t>
      </w:r>
      <w:r>
        <w:rPr>
          <w:rFonts w:ascii="Times New Roman;sans-serif" w:hAnsi="Times New Roman;sans-serif"/>
          <w:b w:val="false"/>
          <w:color w:val="000000"/>
          <w:sz w:val="20"/>
        </w:rPr>
        <w:t>. We make investments in partnership entities that in turn make equity investments in projects eligible to receive federal historic and renewable energy tax credits. We received payments of approximately $3.6 million in the first three months of 2025, compared to investing $13.9 million in the same period of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Other investing activities</w:t>
      </w:r>
      <w:r>
        <w:rPr>
          <w:rFonts w:ascii="Times New Roman;sans-serif" w:hAnsi="Times New Roman;sans-serif"/>
          <w:b w:val="false"/>
          <w:color w:val="000000"/>
          <w:sz w:val="20"/>
        </w:rPr>
        <w:t>. In the first three months of 2025 and 2024, our other investing activities were minimal.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48995"/>
                <wp:effectExtent l="0" t="0" r="0" b="0"/>
                <wp:wrapNone/>
                <wp:docPr id="105" name="Frame3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cash of $537.1 million for financing activities in the first three months of 2025, a increase of $758.8 million compared to cash used of $221.7 million in the same period of 2024. This increase in net cash generated in financing activities was mainly driven by the following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 xml:space="preserve">Short-term borrowings, net. </w:t>
      </w:r>
      <w:r>
        <w:rPr>
          <w:rFonts w:ascii="Times New Roman;sans-serif" w:hAnsi="Times New Roman;sans-serif"/>
          <w:b w:val="false"/>
          <w:color w:val="000000"/>
          <w:sz w:val="20"/>
        </w:rPr>
        <w:t xml:space="preserve">In addition to utilizing cash on hand, we use short-term borrowings (commercial paper and bank borrowings) to fund seasonal working capital requirements and ongoing business needs. During the first three months of 2025, we used cash of $1.2 billion to reduce short-term commercial paper borrowings and short-term foreign bank borrowings. During the first three months of 2024, we generated cash of $569.9 million predominately through the issuance of short-term commercial paper, as well as an increase in short-term foreign bank borrowings.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Long-term debt borrowings and repayments</w:t>
      </w:r>
      <w:r>
        <w:rPr>
          <w:rFonts w:ascii="Times New Roman;sans-serif" w:hAnsi="Times New Roman;sans-serif"/>
          <w:b w:val="false"/>
          <w:color w:val="000000"/>
          <w:sz w:val="20"/>
        </w:rPr>
        <w:t>. During the first three months of 2025, we issued $500 million of 4.550% Notes due in February 2028, $500 million of 4.750% Notes due in February 2030, $500 million of 4.950% Notes due in February 2032 and $500 million of 5.100% Notes due in February 2035 (together, the “2025 Notes”). Proceeds from the issuance of the 2025 Notes, net of discounts and issuance costs, totaled $2.0 billion. We had minimal repayment activity. During the first three months of 2024, long-term debt borrowings and repayments were minimal.</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Dividend payments</w:t>
      </w:r>
      <w:r>
        <w:rPr>
          <w:rFonts w:ascii="Times New Roman;sans-serif" w:hAnsi="Times New Roman;sans-serif"/>
          <w:b w:val="false"/>
          <w:color w:val="000000"/>
          <w:sz w:val="20"/>
        </w:rPr>
        <w:t>. Total dividend payments to holders of our Common Stock and Class B Common Stock were $271.6 million during the first three months of 2025, a decrease of $1.8 million compared to $273.4 million in the same period of 2024. Details regarding our 2025 cash dividends paid to stockholders are as follows:</w:t>
      </w:r>
    </w:p>
    <w:tbl>
      <w:tblPr>
        <w:tblW w:w="6785" w:type="dxa"/>
        <w:jc w:val="left"/>
        <w:tblInd w:w="0" w:type="dxa"/>
        <w:tblLayout w:type="fixed"/>
        <w:tblCellMar>
          <w:top w:w="28" w:type="dxa"/>
          <w:left w:w="28" w:type="dxa"/>
          <w:bottom w:w="28" w:type="dxa"/>
          <w:right w:w="28" w:type="dxa"/>
        </w:tblCellMar>
      </w:tblPr>
      <w:tblGrid>
        <w:gridCol w:w="1507"/>
        <w:gridCol w:w="1325"/>
        <w:gridCol w:w="1337"/>
        <w:gridCol w:w="109"/>
        <w:gridCol w:w="109"/>
        <w:gridCol w:w="109"/>
        <w:gridCol w:w="358"/>
        <w:gridCol w:w="1048"/>
        <w:gridCol w:w="184"/>
        <w:gridCol w:w="109"/>
        <w:gridCol w:w="109"/>
        <w:gridCol w:w="109"/>
        <w:gridCol w:w="109"/>
        <w:gridCol w:w="109"/>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699" w:type="dxa"/>
            <w:gridSpan w:val="6"/>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of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per share –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per share –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5,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17,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Share repurchases</w:t>
      </w:r>
      <w:r>
        <w:rPr>
          <w:rFonts w:ascii="Times New Roman;sans-serif" w:hAnsi="Times New Roman;sans-serif"/>
          <w:b w:val="false"/>
          <w:color w:val="000000"/>
          <w:sz w:val="20"/>
        </w:rPr>
        <w:t>. We repurchase shares of Common Stock to offset the dilutive impact of treasury shares issued under our equity compensation 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tbl>
      <w:tblPr>
        <w:tblW w:w="10205" w:type="dxa"/>
        <w:jc w:val="left"/>
        <w:tblInd w:w="0" w:type="dxa"/>
        <w:tblLayout w:type="fixed"/>
        <w:tblCellMar>
          <w:top w:w="28" w:type="dxa"/>
          <w:left w:w="28" w:type="dxa"/>
          <w:bottom w:w="28" w:type="dxa"/>
          <w:right w:w="28" w:type="dxa"/>
        </w:tblCellMar>
      </w:tblPr>
      <w:tblGrid>
        <w:gridCol w:w="2611"/>
        <w:gridCol w:w="2276"/>
        <w:gridCol w:w="2306"/>
        <w:gridCol w:w="109"/>
        <w:gridCol w:w="109"/>
        <w:gridCol w:w="109"/>
        <w:gridCol w:w="327"/>
        <w:gridCol w:w="629"/>
        <w:gridCol w:w="168"/>
        <w:gridCol w:w="109"/>
        <w:gridCol w:w="109"/>
        <w:gridCol w:w="109"/>
        <w:gridCol w:w="264"/>
        <w:gridCol w:w="773"/>
        <w:gridCol w:w="197"/>
      </w:tblGrid>
      <w:tr>
        <w:trPr/>
        <w:tc>
          <w:tcPr>
            <w:tcW w:w="261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7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7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in the open market under pre-approved share repurchase programs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in the open market to replace Treasury Stock issued for stock options and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total share repurchases (excluding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 under pre-approved share repurchase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48995"/>
                <wp:effectExtent l="0" t="0" r="0" b="0"/>
                <wp:wrapNone/>
                <wp:docPr id="108" name="Frame3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20"/>
        </w:rPr>
        <w:t>Proceeds from exercised stock options and employee tax withholding.</w:t>
      </w:r>
      <w:r>
        <w:rPr>
          <w:color w:val="000000"/>
        </w:rPr>
        <w:t xml:space="preserve"> </w:t>
      </w:r>
      <w:r>
        <w:rPr>
          <w:rFonts w:ascii="Times New Roman;sans-serif" w:hAnsi="Times New Roman;sans-serif"/>
          <w:b w:val="false"/>
          <w:color w:val="000000"/>
          <w:sz w:val="20"/>
        </w:rPr>
        <w:t>During the first three months of 2025, we received $2.7 million from employee exercises of stock options and paid $12.6 million of employee taxes withheld from share-based awards. During the first three months of 2024, we received $4.1 million from employee exercises of stock options and paid $26.4 million of employee taxes withheld from share-based awards. Variances are driven primarily by the number of shares exercised and the share price at the date of grant.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00" w:after="283"/>
        <w:jc w:val="left"/>
        <w:rPr/>
      </w:pPr>
      <w:r>
        <w:rPr>
          <w:rFonts w:ascii="Times New Roman;sans-serif" w:hAnsi="Times New Roman;sans-serif"/>
          <w:b w:val="false"/>
          <w:color w:val="000000"/>
          <w:sz w:val="20"/>
        </w:rPr>
        <w:t xml:space="preserve">Information on recently adopted and issued accounting standards is included in </w:t>
      </w:r>
      <w:hyperlink w:anchor="i742b29d23e2f4a678134a3152628d673_37">
        <w:r>
          <w:rPr>
            <w:rStyle w:val="InternetLink"/>
            <w:rFonts w:ascii="Times New Roman;sans-serif" w:hAnsi="Times New Roman;sans-serif"/>
            <w:b w:val="false"/>
            <w:color w:val="0000FF"/>
            <w:sz w:val="20"/>
            <w:u w:val="single"/>
          </w:rPr>
          <w:t>Note 1</w:t>
        </w:r>
      </w:hyperlink>
      <w:r>
        <w:rPr>
          <w:color w:val="000000"/>
        </w:rPr>
        <w:t xml:space="preserve"> </w:t>
      </w:r>
      <w:r>
        <w:rPr>
          <w:rFonts w:ascii="Times New Roman;sans-serif" w:hAnsi="Times New Roman;sans-serif"/>
          <w:b w:val="false"/>
          <w:color w:val="000000"/>
          <w:sz w:val="20"/>
        </w:rPr>
        <w:t>to the Unaudited Consolidated Financial Statements.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the Company’s critical accounting estimates, refer to Part II, Item 7, “Management’s Discussion and Analysis of Financial Condition and Results of Operations” of our 2024 Annual Report on Form 10-K. There have been no material changes to the Company’s critical accounting estimates since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48995"/>
                <wp:effectExtent l="0" t="0" r="0" b="0"/>
                <wp:wrapNone/>
                <wp:docPr id="111" name="Frame3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Safe Harbor Statement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factors that could cause our actual results to differ materially from the results projected in our forward-looking statements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Company’s reputation or brand image might be impacted as a result of issues, concerns or regulatory changes relating to the quality and safety of our products, ingredients or packaging, human and workplace rights, and other environmental, social or governance matters, which in turn could result in litigation or otherwise negatively impact our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 to our manufacturing operations or supply chain could impair our ability to produce or deliver finished products, resulting in a negative impact on our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might not be able to hire, engage and retain the talented global human capital we need to drive our growth strategies;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climate change and other environmental impacts, and increased focus and evolving views of our customers, stockholders and other stakeholders on climate change issues, could negatively affect our business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raw material and energy costs along with the availability of adequate supplies of raw materials could continue to affect future financial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Price increases may not be sufficient to offset cost increases and maintain profitability or may result in sales volume declines associated with pricing elasticity;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demand for new and existing products could decline;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marketplace competition could hurt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results may be adversely impacted by the failure to successfully execute or integrate acquisitions, divestitures and joint ventures;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international operations may not achieve projected growth objectives, which could adversely impact our overall business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fully realize the expected cost savings and/or operating efficiencies associated with our strategic initiatives or restructuring programs, which may have an adverse impact on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governmental laws, regulations and policies, including taxes and tariffs, could increase our costs and liabilities or impact demand for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economic and/or financial market conditions, including impacts on our business arising from the ongoing conflict between Russia and Ukraine, could negatively impact our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48995"/>
                <wp:effectExtent l="0" t="0" r="0" b="0"/>
                <wp:wrapNone/>
                <wp:docPr id="114" name="Frame3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failures or security breaches of our information technology infrastructure could have a negative impact on our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Complications with the design or implementation of our new enterprise resource planning system could adversely impact our business and operations;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Such other matters as discussed in our 2024 Annual Report on Form 10-K and this Quarterly Report on Form 10-Q, including Part II, Item 1A, ”Risk Factors.”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undertake no obligation to publicly update or revise any forward-looking statements to reflect actual results, changes in expectations or events or circumstances after the date this Quarterly Report on Form 10-Q is filed.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amount of short-term debt, net of cash, amounted to net cash positions of $1,371 million and net debt of $576 million, at March 30, 2025 and December 31, 2024, respectively. A hypothetical 100 basis point increase in interest rates applied to this variable-rate short-term debt as of March 30, 2025 would have changed interest expense by approximately $3.4 million for the first three months of 2025 and $7.0 million for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March 30, 2025 and December 31, 2024 by approximately $307 million and $169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$29.0 million as of March 30, 2025 and $32.3 million as of December 31, 2024, generally offset by a reduction in foreign exchange associated with our transactional activities.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Commodities—Price Risk Management and Derivative Contracts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2024 Annual Report on Form 10-K are described below.</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48995"/>
                <wp:effectExtent l="0" t="0" r="0" b="0"/>
                <wp:wrapNone/>
                <wp:docPr id="117" name="Frame4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39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8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Cocoa Products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2025, the average cocoa futures contract price was $4.30 per pound, with a trading range of $3.63 to $4.88 per pound, based on the Intercontinental Exchange futures contract. This average cocoa futures contract price represents an increase of approximately 25% compared to the 2024 annual average of $3.45 per pound.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cocoa supply-demand state is improving primarily due to favorable weather conditions, which have enabled the supply in Ghana and Ivory Coast to improve following the unfavorable 2023 – 2024 season. Additionally, supply in the rest of the world continues to expand rapidly; however, the increase in prices have negatively impacted the demand for cocoa. The price outlook for cocoa remains uncertain due to significant liquidity and volatility events in the market, which may have an impact on our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 cocoa liquor, cocoa butter and cocoa powder. We generally hedge commodity price risks for 3- to 24-month periods. As a result, the average market prices are not necessarily indicative of our average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Commodity Sensitivity Analysis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open commodity derivative contracts had a notional value of $274.7 million as of March 30, 2025 and $667.4 million as of December 31, 2024. At the end of the first quarter of 2025, the potential change in fair value of commodity derivative instruments, assuming a 10% decrease in the underlying commodity price, would have increased our net unrealized losses by $53.8 million, generally offset by a reduction in the cost of the underlying commodity purchases.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our market risks, see Item 7A under Part II of our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48995"/>
                <wp:effectExtent l="0" t="0" r="0" b="0"/>
                <wp:wrapNone/>
                <wp:docPr id="120" name="Frame4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4. CONTROLS AND PROCEDURES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80" w:after="180"/>
        <w:jc w:val="left"/>
        <w:rPr/>
      </w:pPr>
      <w:r>
        <w:rPr>
          <w:rFonts w:ascii="Times New Roman;sans-serif" w:hAnsi="Times New Roman;sans-serif"/>
          <w:b w:val="false"/>
          <w:color w:val="000000"/>
          <w:sz w:val="20"/>
        </w:rPr>
        <w:t xml:space="preserve">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w:t>
      </w:r>
      <w:r>
        <w:rPr>
          <w:rFonts w:ascii="Times New Roman;sans-serif" w:hAnsi="Times New Roman;sans-serif"/>
          <w:b w:val="false"/>
          <w:color w:val="000000"/>
          <w:sz w:val="20"/>
          <w:shd w:fill="FFFFFF" w:val="clear"/>
        </w:rPr>
        <w:t>March 30, 2025</w:t>
      </w:r>
      <w:r>
        <w:rPr>
          <w:rFonts w:ascii="Times New Roman;sans-serif" w:hAnsi="Times New Roman;sans-serif"/>
          <w:b w:val="false"/>
          <w:color w:val="000000"/>
          <w:sz w:val="20"/>
        </w:rPr>
        <w:t xml:space="preserve">. Based on this evaluation, our Chief Executive Officer and Chief Financial Officer concluded that our disclosure controls and procedures were effective as of </w:t>
      </w:r>
      <w:r>
        <w:rPr>
          <w:rFonts w:ascii="Times New Roman;sans-serif" w:hAnsi="Times New Roman;sans-serif"/>
          <w:b w:val="false"/>
          <w:color w:val="000000"/>
          <w:sz w:val="20"/>
          <w:shd w:fill="FFFFFF" w:val="clear"/>
        </w:rPr>
        <w:t>March 30, 2025</w:t>
      </w:r>
      <w:r>
        <w:rPr>
          <w:rFonts w:ascii="Times New Roman;sans-serif" w:hAnsi="Times New Roman;sans-serif"/>
          <w:b w:val="false"/>
          <w:color w:val="000000"/>
          <w:sz w:val="20"/>
        </w:rPr>
        <w:t xml:space="preserve">. </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Company’s internal control over financial reporting during the quarter ended March 30, 2025,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48995"/>
                <wp:effectExtent l="0" t="0" r="0" b="0"/>
                <wp:wrapNone/>
                <wp:docPr id="123" name="Frame4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jc w:val="left"/>
        <w:rPr/>
      </w:pPr>
      <w:r>
        <w:rPr>
          <w:rFonts w:ascii="Times New Roman;sans-serif" w:hAnsi="Times New Roman;sans-serif"/>
          <w:b w:val="false"/>
          <w:color w:val="000000"/>
          <w:sz w:val="20"/>
        </w:rPr>
        <w:t xml:space="preserve">Information on legal proceedings is included in </w:t>
      </w:r>
      <w:hyperlink w:anchor="i742b29d23e2f4a678134a3152628d673_82">
        <w:r>
          <w:rPr>
            <w:rStyle w:val="InternetLink"/>
            <w:rFonts w:ascii="Times New Roman;sans-serif" w:hAnsi="Times New Roman;sans-serif"/>
            <w:b w:val="false"/>
            <w:color w:val="0000FF"/>
            <w:sz w:val="20"/>
            <w:u w:val="single"/>
          </w:rPr>
          <w:t>Note 15</w:t>
        </w:r>
      </w:hyperlink>
      <w:r>
        <w:rPr>
          <w:color w:val="000000"/>
        </w:rPr>
        <w:t xml:space="preserve"> </w:t>
      </w:r>
      <w:r>
        <w:rPr>
          <w:rFonts w:ascii="Times New Roman;sans-serif" w:hAnsi="Times New Roman;sans-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evaluating an investment in our Common Stock, investors should consider carefully, among other things, the risk factors previously disclosed in Part I, Item 1A, “Risk Factors,” of our 2024 Annual Report on Form 10-K (the "2024 Form 10-K") and the information contained in this Quarterly Report on Form 10-Q and our other reports and registration statements filed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purchases of our Common Stock made by or on behalf of Hershey, or any “affiliated purchaser” (as defined in Rule 10b-18(a)(3) under the Securities Exchange Act of 1934, as amended, of Hershey, during the three months ended March 30, 2025.</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30, 2025,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our Board of Directors approved a $500 million share repurchase authorization, which was completed as of March 31, 2024. In December 2023, our Board of Directors approved an additional $500 million share repurchase authorization. This program commenced after the existing May 2021 authorization was completed and is to be utilized at management’s discretion.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48995"/>
                <wp:effectExtent l="0" t="0" r="0" b="0"/>
                <wp:wrapNone/>
                <wp:docPr id="126" name="Frame4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Director and Executive Officer Trading</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 </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contracts, instructions or written plans for the purchase or sale of securities adopted by our directors or officers (as defined in Rule 16a-1(f) under the Exchange Act) during the three months ended March 30, 2025, that are intended to satisfy the affirmative defense conditions of Rule 10b5-1(c). No other Rule 10b5-1 trading arrangements or “non-Rule 10b5–1 trading arrangements” (as defined by S-K Item 408(c)) were entered into or terminated by our directors or officers during such period.</w:t>
      </w:r>
    </w:p>
    <w:tbl>
      <w:tblPr>
        <w:tblW w:w="10205" w:type="dxa"/>
        <w:jc w:val="left"/>
        <w:tblInd w:w="0" w:type="dxa"/>
        <w:tblLayout w:type="fixed"/>
        <w:tblCellMar>
          <w:top w:w="28" w:type="dxa"/>
          <w:left w:w="28" w:type="dxa"/>
          <w:bottom w:w="28" w:type="dxa"/>
          <w:right w:w="28" w:type="dxa"/>
        </w:tblCellMar>
      </w:tblPr>
      <w:tblGrid>
        <w:gridCol w:w="1149"/>
        <w:gridCol w:w="814"/>
        <w:gridCol w:w="816"/>
        <w:gridCol w:w="109"/>
        <w:gridCol w:w="109"/>
        <w:gridCol w:w="109"/>
        <w:gridCol w:w="618"/>
        <w:gridCol w:w="618"/>
        <w:gridCol w:w="620"/>
        <w:gridCol w:w="109"/>
        <w:gridCol w:w="109"/>
        <w:gridCol w:w="109"/>
        <w:gridCol w:w="532"/>
        <w:gridCol w:w="532"/>
        <w:gridCol w:w="534"/>
        <w:gridCol w:w="109"/>
        <w:gridCol w:w="109"/>
        <w:gridCol w:w="109"/>
        <w:gridCol w:w="873"/>
        <w:gridCol w:w="873"/>
        <w:gridCol w:w="1245"/>
      </w:tblGrid>
      <w:tr>
        <w:trPr/>
        <w:tc>
          <w:tcPr>
            <w:tcW w:w="114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2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Adoption of 10b5-1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Duration of 10b5-1 Plan</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to be Sold or Purchased</w:t>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Rohit Grover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4,000 shares</w:t>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L. McCalman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974 shares</w:t>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Turoff</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3,900 shares</w:t>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48995"/>
                <wp:effectExtent l="0" t="0" r="0" b="0"/>
                <wp:wrapNone/>
                <wp:docPr id="129" name="Frame4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366"/>
        <w:gridCol w:w="323"/>
        <w:gridCol w:w="324"/>
        <w:gridCol w:w="109"/>
        <w:gridCol w:w="109"/>
        <w:gridCol w:w="109"/>
        <w:gridCol w:w="2648"/>
        <w:gridCol w:w="2568"/>
        <w:gridCol w:w="3649"/>
      </w:tblGrid>
      <w:tr>
        <w:trPr/>
        <w:tc>
          <w:tcPr>
            <w:tcW w:w="3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89">
              <w:r>
                <w:rPr>
                  <w:rStyle w:val="InternetLink"/>
                  <w:rFonts w:ascii="Times New Roman;sans-serif" w:hAnsi="Times New Roman;sans-serif"/>
                  <w:b w:val="false"/>
                  <w:color w:val="0000FF"/>
                  <w:sz w:val="18"/>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18"/>
                  <w:u w:val="single"/>
                </w:rPr>
                <w:t>The Company’s Restated Certificate of Incorporation, as amended, is incorporated by reference from Exhibit 3 to the Company’s Quarterly Report on Form 10-Q for the quarter ended April 3, 2005.</w:t>
              </w:r>
            </w:hyperlink>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1">
              <w:r>
                <w:rPr>
                  <w:rStyle w:val="InternetLink"/>
                  <w:rFonts w:ascii="Times New Roman;sans-serif" w:hAnsi="Times New Roman;sans-serif"/>
                  <w:b w:val="false"/>
                  <w:color w:val="0000FF"/>
                  <w:sz w:val="18"/>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80"/>
                  <w:sz w:val="18"/>
                  <w:u w:val="single"/>
                </w:rPr>
                <w:t>The Company's By-laws, as amended and restated as of March 4, 2025, are incorporated by reference from Exhibit 3.1 to the Company's Current Report on Form 8-K</w:t>
              </w:r>
            </w:hyperlink>
            <w:hyperlink r:id="rId93">
              <w:r>
                <w:rPr>
                  <w:rStyle w:val="InternetLink"/>
                  <w:rFonts w:ascii="Times New Roman;sans-serif" w:hAnsi="Times New Roman;sans-serif"/>
                  <w:b w:val="false"/>
                  <w:color w:val="000080"/>
                  <w:sz w:val="18"/>
                  <w:u w:val="single"/>
                </w:rPr>
                <w:t xml:space="preserve"> filed </w:t>
              </w:r>
            </w:hyperlink>
            <w:hyperlink r:id="rId94">
              <w:r>
                <w:rPr>
                  <w:rStyle w:val="InternetLink"/>
                  <w:rFonts w:ascii="Times New Roman;sans-serif" w:hAnsi="Times New Roman;sans-serif"/>
                  <w:b w:val="false"/>
                  <w:color w:val="000080"/>
                  <w:sz w:val="18"/>
                  <w:u w:val="single"/>
                </w:rPr>
                <w:t xml:space="preserve">March </w:t>
              </w:r>
            </w:hyperlink>
            <w:hyperlink r:id="rId95">
              <w:r>
                <w:rPr>
                  <w:rStyle w:val="InternetLink"/>
                  <w:rFonts w:ascii="Times New Roman;sans-serif" w:hAnsi="Times New Roman;sans-serif"/>
                  <w:b w:val="false"/>
                  <w:color w:val="000080"/>
                  <w:sz w:val="18"/>
                  <w:u w:val="single"/>
                </w:rPr>
                <w:t>10</w:t>
              </w:r>
            </w:hyperlink>
            <w:hyperlink r:id="rId96">
              <w:r>
                <w:rPr>
                  <w:rStyle w:val="InternetLink"/>
                  <w:rFonts w:ascii="Times New Roman;sans-serif" w:hAnsi="Times New Roman;sans-serif"/>
                  <w:b w:val="false"/>
                  <w:color w:val="000080"/>
                  <w:sz w:val="18"/>
                  <w:u w:val="single"/>
                </w:rPr>
                <w:t>, 202</w:t>
              </w:r>
            </w:hyperlink>
            <w:hyperlink r:id="rId97">
              <w:r>
                <w:rPr>
                  <w:rStyle w:val="InternetLink"/>
                  <w:rFonts w:ascii="Times New Roman;sans-serif" w:hAnsi="Times New Roman;sans-serif"/>
                  <w:b w:val="false"/>
                  <w:color w:val="000080"/>
                  <w:sz w:val="18"/>
                  <w:u w:val="single"/>
                </w:rPr>
                <w:t>5.</w:t>
              </w:r>
            </w:hyperlink>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8">
              <w:r>
                <w:rPr>
                  <w:rStyle w:val="InternetLink"/>
                  <w:rFonts w:ascii="Times New Roman;sans-serif" w:hAnsi="Times New Roman;sans-serif"/>
                  <w:b w:val="false"/>
                  <w:color w:val="0000FF"/>
                  <w:sz w:val="18"/>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ans-serif" w:hAnsi="Times New Roman;sans-serif"/>
                  <w:b w:val="false"/>
                  <w:color w:val="0000FF"/>
                  <w:sz w:val="18"/>
                  <w:u w:val="single"/>
                </w:rPr>
                <w:t>Indenture between The Hershey Company and U.S. Bank National Association, as Trustee, dated as of May 14, 2009 (incorporated by reference from Exhibit 4.1 to the Registration Statement on Form S-3 of The Hershey Company (File No. 333-159246), filed on May 14, 2009).</w:t>
              </w:r>
            </w:hyperlink>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has issued certain long-term debt instruments, no one class of which creates indebtedness exceeding 10% of the total assets of the Company and its subsidiaries on a consolidated basis. These classes consist of the following:</w:t>
            </w:r>
          </w:p>
          <w:p>
            <w:pPr>
              <w:pStyle w:val="TableContents"/>
              <w:bidi w:val="0"/>
              <w:spacing w:lineRule="auto" w:line="240" w:before="0" w:after="0"/>
              <w:jc w:val="left"/>
              <w:rPr/>
            </w:pPr>
            <w:r>
              <w:rPr>
                <w:rFonts w:ascii="Times New Roman;sans-serif" w:hAnsi="Times New Roman;sans-serif"/>
                <w:b w:val="false"/>
                <w:color w:val="000000"/>
                <w:sz w:val="18"/>
              </w:rPr>
              <w:t xml:space="preserve">1) </w:t>
            </w:r>
            <w:hyperlink r:id="rId100">
              <w:r>
                <w:rPr>
                  <w:rStyle w:val="InternetLink"/>
                  <w:rFonts w:ascii="Times New Roman;sans-serif" w:hAnsi="Times New Roman;sans-serif"/>
                  <w:b w:val="false"/>
                  <w:color w:val="0000FF"/>
                  <w:sz w:val="18"/>
                  <w:u w:val="single"/>
                </w:rPr>
                <w:t>4.550% Notes due 2028 (incorporated by reference from Exhibit 4.1 to the Company's Current Report on Form 8-K, dated February 24, 2025).</w:t>
              </w:r>
            </w:hyperlink>
          </w:p>
          <w:p>
            <w:pPr>
              <w:pStyle w:val="TableContents"/>
              <w:bidi w:val="0"/>
              <w:spacing w:lineRule="auto" w:line="240" w:before="0" w:after="0"/>
              <w:jc w:val="left"/>
              <w:rPr/>
            </w:pPr>
            <w:r>
              <w:rPr>
                <w:rFonts w:ascii="Times New Roman;sans-serif" w:hAnsi="Times New Roman;sans-serif"/>
                <w:b w:val="false"/>
                <w:color w:val="000000"/>
                <w:sz w:val="18"/>
              </w:rPr>
              <w:t xml:space="preserve">2) </w:t>
            </w:r>
            <w:hyperlink r:id="rId101">
              <w:r>
                <w:rPr>
                  <w:rStyle w:val="InternetLink"/>
                  <w:rFonts w:ascii="Times New Roman;sans-serif" w:hAnsi="Times New Roman;sans-serif"/>
                  <w:b w:val="false"/>
                  <w:color w:val="0000FF"/>
                  <w:sz w:val="18"/>
                  <w:u w:val="single"/>
                </w:rPr>
                <w:t>4.750% Notes due 2030 (incorporated by reference from Exhibit 4.2 to the Company's Current Report on Form 8-K, dated February 24, 2025).</w:t>
              </w:r>
            </w:hyperlink>
          </w:p>
          <w:p>
            <w:pPr>
              <w:pStyle w:val="TableContents"/>
              <w:bidi w:val="0"/>
              <w:spacing w:lineRule="auto" w:line="240" w:before="0" w:after="0"/>
              <w:jc w:val="left"/>
              <w:rPr/>
            </w:pPr>
            <w:r>
              <w:rPr>
                <w:rFonts w:ascii="Times New Roman;sans-serif" w:hAnsi="Times New Roman;sans-serif"/>
                <w:b w:val="false"/>
                <w:color w:val="000000"/>
                <w:sz w:val="18"/>
              </w:rPr>
              <w:t xml:space="preserve">3) </w:t>
            </w:r>
            <w:hyperlink r:id="rId102">
              <w:r>
                <w:rPr>
                  <w:rStyle w:val="InternetLink"/>
                  <w:rFonts w:ascii="Times New Roman;sans-serif" w:hAnsi="Times New Roman;sans-serif"/>
                  <w:b w:val="false"/>
                  <w:color w:val="0000FF"/>
                  <w:sz w:val="18"/>
                  <w:u w:val="single"/>
                </w:rPr>
                <w:t>4.950% Notes due 2032 (incorporated by reference from Exhibit 4.3 to the Company's Current Report on Form 8-K, dated February 24, 2025).</w:t>
              </w:r>
            </w:hyperlink>
          </w:p>
          <w:p>
            <w:pPr>
              <w:pStyle w:val="TableContents"/>
              <w:bidi w:val="0"/>
              <w:spacing w:lineRule="auto" w:line="240" w:before="0" w:after="0"/>
              <w:jc w:val="left"/>
              <w:rPr/>
            </w:pPr>
            <w:r>
              <w:rPr>
                <w:rFonts w:ascii="Times New Roman;sans-serif" w:hAnsi="Times New Roman;sans-serif"/>
                <w:b w:val="false"/>
                <w:color w:val="000000"/>
                <w:sz w:val="18"/>
              </w:rPr>
              <w:t xml:space="preserve">4) </w:t>
            </w:r>
            <w:hyperlink r:id="rId103">
              <w:r>
                <w:rPr>
                  <w:rStyle w:val="InternetLink"/>
                  <w:rFonts w:ascii="Times New Roman;sans-serif" w:hAnsi="Times New Roman;sans-serif"/>
                  <w:b w:val="false"/>
                  <w:color w:val="0000FF"/>
                  <w:sz w:val="18"/>
                  <w:u w:val="single"/>
                </w:rPr>
                <w:t>5.100% Notes due 2035 (incorporated by reference from Exhibit 4.4 to the Company's Current Report on Form 8-K, dated February 24, 2025).</w:t>
              </w:r>
            </w:hyperlink>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undertakes to furnish copies of the agreements governing these debt instruments to the Securities and Exchange Commission upon its request.</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4">
              <w:r>
                <w:rPr>
                  <w:rStyle w:val="InternetLink"/>
                  <w:rFonts w:ascii="Times New Roman;sans-serif" w:hAnsi="Times New Roman;sans-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ans-serif" w:hAnsi="Times New Roman;sans-serif"/>
                  <w:b w:val="false"/>
                  <w:color w:val="000080"/>
                  <w:sz w:val="18"/>
                  <w:u w:val="single"/>
                </w:rPr>
                <w:t>Executive Employment Agreement</w:t>
              </w:r>
            </w:hyperlink>
            <w:hyperlink r:id="rId106">
              <w:r>
                <w:rPr>
                  <w:rStyle w:val="InternetLink"/>
                  <w:rFonts w:ascii="Times New Roman;sans-serif" w:hAnsi="Times New Roman;sans-serif"/>
                  <w:b w:val="false"/>
                  <w:color w:val="000080"/>
                  <w:sz w:val="18"/>
                  <w:u w:val="single"/>
                </w:rPr>
                <w:t>, Amended and Restated as of January 9, 2025,</w:t>
              </w:r>
            </w:hyperlink>
            <w:hyperlink r:id="rId107">
              <w:r>
                <w:rPr>
                  <w:rStyle w:val="InternetLink"/>
                  <w:rFonts w:ascii="Times New Roman;sans-serif" w:hAnsi="Times New Roman;sans-serif"/>
                  <w:b w:val="false"/>
                  <w:color w:val="000080"/>
                  <w:sz w:val="18"/>
                  <w:u w:val="single"/>
                </w:rPr>
                <w:t xml:space="preserve"> by and between The Hershey Company and Mich</w:t>
              </w:r>
            </w:hyperlink>
            <w:hyperlink r:id="rId108">
              <w:r>
                <w:rPr>
                  <w:rStyle w:val="InternetLink"/>
                  <w:rFonts w:ascii="Times New Roman;sans-serif" w:hAnsi="Times New Roman;sans-serif"/>
                  <w:b w:val="false"/>
                  <w:color w:val="000080"/>
                  <w:sz w:val="18"/>
                  <w:u w:val="single"/>
                </w:rPr>
                <w:t>e</w:t>
              </w:r>
            </w:hyperlink>
            <w:hyperlink r:id="rId109">
              <w:r>
                <w:rPr>
                  <w:rStyle w:val="InternetLink"/>
                  <w:rFonts w:ascii="Times New Roman;sans-serif" w:hAnsi="Times New Roman;sans-serif"/>
                  <w:b w:val="false"/>
                  <w:color w:val="000080"/>
                  <w:sz w:val="18"/>
                  <w:u w:val="single"/>
                </w:rPr>
                <w:t xml:space="preserve">le </w:t>
              </w:r>
            </w:hyperlink>
            <w:hyperlink r:id="rId110">
              <w:r>
                <w:rPr>
                  <w:rStyle w:val="InternetLink"/>
                  <w:rFonts w:ascii="Times New Roman;sans-serif" w:hAnsi="Times New Roman;sans-serif"/>
                  <w:b w:val="false"/>
                  <w:color w:val="000080"/>
                  <w:sz w:val="18"/>
                  <w:u w:val="single"/>
                </w:rPr>
                <w:t>G. Buck,</w:t>
              </w:r>
            </w:hyperlink>
            <w:hyperlink r:id="rId111">
              <w:r>
                <w:rPr>
                  <w:rStyle w:val="InternetLink"/>
                  <w:rFonts w:ascii="Times New Roman;sans-serif" w:hAnsi="Times New Roman;sans-serif"/>
                  <w:b w:val="false"/>
                  <w:color w:val="000080"/>
                  <w:sz w:val="18"/>
                  <w:u w:val="single"/>
                </w:rPr>
                <w:t xml:space="preserve"> is incorporated by reference from </w:t>
              </w:r>
            </w:hyperlink>
            <w:hyperlink r:id="rId112">
              <w:r>
                <w:rPr>
                  <w:rStyle w:val="InternetLink"/>
                  <w:rFonts w:ascii="Times New Roman;sans-serif" w:hAnsi="Times New Roman;sans-serif"/>
                  <w:b w:val="false"/>
                  <w:color w:val="000080"/>
                  <w:sz w:val="18"/>
                  <w:u w:val="single"/>
                </w:rPr>
                <w:t>Exhibit 10.</w:t>
              </w:r>
            </w:hyperlink>
            <w:hyperlink r:id="rId113">
              <w:r>
                <w:rPr>
                  <w:rStyle w:val="InternetLink"/>
                  <w:rFonts w:ascii="Times New Roman;sans-serif" w:hAnsi="Times New Roman;sans-serif"/>
                  <w:b w:val="false"/>
                  <w:color w:val="000080"/>
                  <w:sz w:val="18"/>
                  <w:u w:val="single"/>
                </w:rPr>
                <w:t>1 to the Company</w:t>
              </w:r>
            </w:hyperlink>
            <w:hyperlink r:id="rId114">
              <w:r>
                <w:rPr>
                  <w:rStyle w:val="InternetLink"/>
                  <w:rFonts w:ascii="Times New Roman;sans-serif" w:hAnsi="Times New Roman;sans-serif"/>
                  <w:b w:val="false"/>
                  <w:color w:val="000080"/>
                  <w:sz w:val="18"/>
                  <w:u w:val="single"/>
                </w:rPr>
                <w:t>’</w:t>
              </w:r>
            </w:hyperlink>
            <w:hyperlink r:id="rId115">
              <w:r>
                <w:rPr>
                  <w:rStyle w:val="InternetLink"/>
                  <w:rFonts w:ascii="Times New Roman;sans-serif" w:hAnsi="Times New Roman;sans-serif"/>
                  <w:b w:val="false"/>
                  <w:color w:val="000080"/>
                  <w:sz w:val="18"/>
                  <w:u w:val="single"/>
                </w:rPr>
                <w:t xml:space="preserve">s Current Report on Form </w:t>
              </w:r>
            </w:hyperlink>
            <w:hyperlink r:id="rId116">
              <w:r>
                <w:rPr>
                  <w:rStyle w:val="InternetLink"/>
                  <w:rFonts w:ascii="Times New Roman;sans-serif" w:hAnsi="Times New Roman;sans-serif"/>
                  <w:b w:val="false"/>
                  <w:color w:val="000080"/>
                  <w:sz w:val="18"/>
                  <w:u w:val="single"/>
                </w:rPr>
                <w:t>8-K filed January 1</w:t>
              </w:r>
            </w:hyperlink>
            <w:hyperlink r:id="rId117">
              <w:r>
                <w:rPr>
                  <w:rStyle w:val="InternetLink"/>
                  <w:rFonts w:ascii="Times New Roman;sans-serif" w:hAnsi="Times New Roman;sans-serif"/>
                  <w:b w:val="false"/>
                  <w:color w:val="000080"/>
                  <w:sz w:val="18"/>
                  <w:u w:val="single"/>
                </w:rPr>
                <w:t>5, 2025.</w:t>
              </w:r>
            </w:hyperlink>
            <w:r>
              <w:rPr>
                <w:rFonts w:ascii="Times New Roman;sans-serif" w:hAnsi="Times New Roman;sans-serif"/>
                <w:b w:val="false"/>
                <w:color w:val="000000"/>
                <w:sz w:val="18"/>
              </w:rPr>
              <w:t>+</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18">
              <w:r>
                <w:rPr>
                  <w:rStyle w:val="InternetLink"/>
                  <w:rFonts w:ascii="Times New Roman;sans-serif" w:hAnsi="Times New Roman;sans-serif"/>
                  <w:b w:val="false"/>
                  <w:color w:val="0000FF"/>
                  <w:sz w:val="18"/>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ans-serif" w:hAnsi="Times New Roman;sans-serif"/>
                  <w:b w:val="false"/>
                  <w:color w:val="0000FF"/>
                  <w:sz w:val="18"/>
                  <w:u w:val="single"/>
                </w:rPr>
                <w:t>Form of Notice of Special Award of Restricted Stock Units (Retention Equity), is incorporated by reference from Exhibit 10.1 to the Company’s Current Report on Form 8-K filed February 25, 2025.</w:t>
              </w:r>
            </w:hyperlink>
            <w:r>
              <w:rPr>
                <w:rFonts w:ascii="Times New Roman;sans-serif" w:hAnsi="Times New Roman;sans-serif"/>
                <w:b w:val="false"/>
                <w:color w:val="000000"/>
                <w:sz w:val="18"/>
              </w:rPr>
              <w:t>+</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sy_20250501exhibit103.htm">
              <w:r>
                <w:rPr>
                  <w:rStyle w:val="InternetLink"/>
                  <w:rFonts w:ascii="Times New Roman;sans-serif" w:hAnsi="Times New Roman;sans-serif"/>
                  <w:b w:val="false"/>
                  <w:color w:val="0000FF"/>
                  <w:sz w:val="18"/>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sy_20250501exhibit103.htm">
              <w:r>
                <w:rPr>
                  <w:rStyle w:val="InternetLink"/>
                  <w:rFonts w:ascii="Times New Roman;sans-serif" w:hAnsi="Times New Roman;sans-serif"/>
                  <w:b w:val="false"/>
                  <w:color w:val="0000FF"/>
                  <w:sz w:val="18"/>
                  <w:u w:val="single"/>
                </w:rPr>
                <w:t>Form of Notice of Special Award of Restricted Stock Units (Replacement Equity).</w:t>
              </w:r>
            </w:hyperlink>
            <w:r>
              <w:rPr>
                <w:rFonts w:ascii="Times New Roman;sans-serif" w:hAnsi="Times New Roman;sans-serif"/>
                <w:b w:val="false"/>
                <w:color w:val="000000"/>
                <w:sz w:val="18"/>
              </w:rPr>
              <w:t>*+</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hsy_20250501exhibit311.htm">
              <w:r>
                <w:rPr>
                  <w:rStyle w:val="InternetLink"/>
                  <w:rFonts w:ascii="Times New Roman;sans-serif" w:hAnsi="Times New Roman;sans-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sy_20250501exhibit311.htm">
              <w:r>
                <w:rPr>
                  <w:rStyle w:val="InternetLink"/>
                  <w:rFonts w:ascii="Times New Roman;sans-serif" w:hAnsi="Times New Roman;sans-serif"/>
                  <w:b w:val="false"/>
                  <w:color w:val="0000FF"/>
                  <w:sz w:val="18"/>
                  <w:u w:val="single"/>
                </w:rPr>
                <w:t>Certification of Michele G. Buck, Chief Executive Officer, pursuant to Section 302 of the Sarbanes-Oxley Act of 2002.</w:t>
              </w:r>
            </w:hyperlink>
            <w:r>
              <w:rPr>
                <w:rFonts w:ascii="Times New Roman;sans-serif" w:hAnsi="Times New Roman;sans-serif"/>
                <w:b w:val="false"/>
                <w:color w:val="000000"/>
                <w:sz w:val="18"/>
              </w:rPr>
              <w:t>*</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sy_20250501exhibit312.htm">
              <w:r>
                <w:rPr>
                  <w:rStyle w:val="InternetLink"/>
                  <w:rFonts w:ascii="Times New Roman;sans-serif" w:hAnsi="Times New Roman;sans-serif"/>
                  <w:b w:val="false"/>
                  <w:color w:val="0000FF"/>
                  <w:sz w:val="18"/>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sy_20250501exhibit312.htm">
              <w:r>
                <w:rPr>
                  <w:rStyle w:val="InternetLink"/>
                  <w:rFonts w:ascii="Times New Roman;sans-serif" w:hAnsi="Times New Roman;sans-serif"/>
                  <w:b w:val="false"/>
                  <w:color w:val="0000FF"/>
                  <w:sz w:val="18"/>
                  <w:u w:val="single"/>
                </w:rPr>
                <w:t>Certification of Steven E. Voskuil, Chief Financial Officer, pursuant to Section 302 of the Sarbanes-Oxley Act of 2002.</w:t>
              </w:r>
            </w:hyperlink>
            <w:r>
              <w:rPr>
                <w:rFonts w:ascii="Times New Roman;sans-serif" w:hAnsi="Times New Roman;sans-serif"/>
                <w:b w:val="false"/>
                <w:color w:val="000000"/>
                <w:sz w:val="18"/>
              </w:rPr>
              <w:t>*</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hsy_20250501exhibit321.htm">
              <w:r>
                <w:rPr>
                  <w:rStyle w:val="InternetLink"/>
                  <w:rFonts w:ascii="Times New Roman;sans-serif" w:hAnsi="Times New Roman;sans-serif"/>
                  <w:b w:val="false"/>
                  <w:color w:val="0000FF"/>
                  <w:sz w:val="18"/>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sy_20250501exhibit321.htm">
              <w:r>
                <w:rPr>
                  <w:rStyle w:val="InternetLink"/>
                  <w:rFonts w:ascii="Times New Roman;sans-serif" w:hAnsi="Times New Roman;sans-serif"/>
                  <w:b w:val="false"/>
                  <w:color w:val="0000FF"/>
                  <w:sz w:val="18"/>
                  <w:u w:val="single"/>
                </w:rPr>
                <w:t>Certification of Michele G. Buck, Chief Executive Officer, and Steven E. Voskuil, Chief Financial Officer, pursuant to Section 906 of the Sarbanes-Oxley Act of 2002.</w:t>
              </w:r>
            </w:hyperlink>
            <w:r>
              <w:rPr>
                <w:rFonts w:ascii="Times New Roman;sans-serif" w:hAnsi="Times New Roman;sans-serif"/>
                <w:b w:val="false"/>
                <w:color w:val="000000"/>
                <w:sz w:val="18"/>
              </w:rPr>
              <w:t>**</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 </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the Company's Quarterly Report on Form 10-Q for the quarterly period ended March 30, 2025, formatted in Inline XBRL and contained in Exhibit 101.</w:t>
            </w:r>
          </w:p>
        </w:tc>
      </w:tr>
      <w:tr>
        <w:trPr/>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r>
        <w:trPr/>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Management contract, compensatory plan or arrangement</w:t>
            </w:r>
          </w:p>
        </w:tc>
      </w:tr>
    </w:tbl>
    <w:p>
      <w:pPr>
        <w:pStyle w:val="TextBody"/>
        <w:bidi w:val="0"/>
        <w:spacing w:before="100" w:after="283"/>
        <w:ind w:left="0" w:right="0" w:hanging="180"/>
        <w:jc w:val="center"/>
        <w:rPr/>
      </w:pPr>
      <w:r>
        <w:rPr/>
      </w:r>
    </w:p>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48995"/>
                <wp:effectExtent l="0" t="0" r="0" b="0"/>
                <wp:wrapNone/>
                <wp:docPr id="132" name="Frame4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left"/>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12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left"/>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12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Company has duly caused this report to be signed on its behalf by the undersigned thereunto duly authorized.</w:t>
      </w:r>
    </w:p>
    <w:tbl>
      <w:tblPr>
        <w:tblW w:w="6188"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264"/>
        <w:gridCol w:w="1264"/>
        <w:gridCol w:w="126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 xml:space="preserve">THE HERSHEY COMPANY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ans-serif" w:hAnsi="Times New Roman;sans-serif"/>
                <w:b/>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i/>
                <w:color w:val="000000"/>
                <w:sz w:val="20"/>
              </w:rPr>
            </w:pPr>
            <w:r>
              <w:rPr>
                <w:rFonts w:ascii="Times New Roman;sans-serif" w:hAnsi="Times New Roman;sans-serif"/>
                <w:b w:val="false"/>
                <w:i/>
                <w:color w:val="000000"/>
                <w:sz w:val="20"/>
              </w:rPr>
              <w:t>/s/ Steven E. Voskuil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Steven E. Voskuil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Jennifer L. McCalman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L. McCalman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10.3</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48995"/>
                <wp:effectExtent l="0" t="0" r="0" b="0"/>
                <wp:wrapNone/>
                <wp:docPr id="135" name="Frame4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12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b29d23e2f4a678134a3152628d673_7">
                              <w:r>
                                <w:rPr>
                                  <w:rStyle w:val="InternetLink"/>
                                  <w:rFonts w:ascii="Times New Roman;sans-serif" w:hAnsi="Times New Roman;sans-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Page 45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123"/>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tbl>
      <w:tblPr>
        <w:tblW w:w="7524" w:type="dxa"/>
        <w:jc w:val="left"/>
        <w:tblInd w:w="0" w:type="dxa"/>
        <w:tblLayout w:type="fixed"/>
        <w:tblCellMar>
          <w:top w:w="28" w:type="dxa"/>
          <w:left w:w="28" w:type="dxa"/>
          <w:bottom w:w="28" w:type="dxa"/>
          <w:right w:w="28" w:type="dxa"/>
        </w:tblCellMar>
      </w:tblPr>
      <w:tblGrid>
        <w:gridCol w:w="889"/>
        <w:gridCol w:w="781"/>
        <w:gridCol w:w="781"/>
        <w:gridCol w:w="781"/>
        <w:gridCol w:w="781"/>
        <w:gridCol w:w="781"/>
        <w:gridCol w:w="781"/>
        <w:gridCol w:w="781"/>
        <w:gridCol w:w="796"/>
        <w:gridCol w:w="109"/>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9"/>
            <w:tcBorders>
              <w:top w:val="single" w:sz="12" w:space="0" w:color="000000"/>
            </w:tcBorders>
            <w:tcMar>
              <w:left w:w="0" w:type="dxa"/>
              <w:bottom w:w="0" w:type="dxa"/>
              <w:right w:w="0" w:type="dxa"/>
            </w:tcMar>
            <w:vAlign w:val="center"/>
          </w:tcPr>
          <w:p>
            <w:pPr>
              <w:pStyle w:val="TableContents"/>
              <w:bidi w:val="0"/>
              <w:spacing w:before="0" w:after="240"/>
              <w:jc w:val="left"/>
              <w:rPr/>
            </w:pPr>
            <w:r>
              <w:rPr/>
            </w:r>
          </w:p>
        </w:tc>
      </w:tr>
      <w:tr>
        <w:trPr/>
        <w:tc>
          <w:tcPr>
            <w:tcW w:w="7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Notice of Special Award of Restricted Stock Units (Replacement Equity)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9"/>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#ParticipantName#</w:t>
            </w:r>
          </w:p>
        </w:tc>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Plan: HSYRU</w:t>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EICP</w:t>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Fidelity Employee ID:</w:t>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Hershey Employee ID:</w:t>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#EmployeeID#</w:t>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#GrantCustom4#</w:t>
            </w:r>
          </w:p>
        </w:tc>
      </w:tr>
      <w:tr>
        <w:trPr/>
        <w:tc>
          <w:tcPr>
            <w:tcW w:w="2451"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EFFECTIVE DATE AND LEVEL OF AWARD</w:t>
      </w:r>
      <w:r>
        <w:rPr>
          <w:rFonts w:ascii="Times New Roman;sans-serif" w:hAnsi="Times New Roman;sans-serif"/>
          <w:b w:val="false"/>
          <w:color w:val="000000"/>
          <w:sz w:val="20"/>
        </w:rPr>
        <w:t xml:space="preserve">. Effective </w:t>
      </w:r>
      <w:r>
        <w:rPr>
          <w:rFonts w:ascii="Times New Roman;sans-serif" w:hAnsi="Times New Roman;sans-serif"/>
          <w:b/>
          <w:color w:val="000000"/>
          <w:sz w:val="19"/>
        </w:rPr>
        <w:t>#GrantDate#</w:t>
      </w:r>
      <w:r>
        <w:rPr>
          <w:color w:val="000000"/>
        </w:rPr>
        <w:t xml:space="preserve"> </w:t>
      </w:r>
      <w:r>
        <w:rPr>
          <w:rFonts w:ascii="Times New Roman;sans-serif" w:hAnsi="Times New Roman;sans-serif"/>
          <w:b w:val="false"/>
          <w:color w:val="000000"/>
          <w:sz w:val="20"/>
        </w:rPr>
        <w:t xml:space="preserve">(the “Grant Date”), Grantee has been awarded Restricted Stock Units (“RSUs”) representing </w:t>
      </w:r>
      <w:r>
        <w:rPr>
          <w:rFonts w:ascii="Times New Roman;sans-serif" w:hAnsi="Times New Roman;sans-serif"/>
          <w:b/>
          <w:color w:val="000000"/>
          <w:sz w:val="19"/>
        </w:rPr>
        <w:t>#QuantityGranted#</w:t>
      </w:r>
      <w:r>
        <w:rPr>
          <w:color w:val="000000"/>
        </w:rPr>
        <w:t xml:space="preserve"> </w:t>
      </w:r>
      <w:r>
        <w:rPr>
          <w:rFonts w:ascii="Times New Roman;sans-serif" w:hAnsi="Times New Roman;sans-serif"/>
          <w:b w:val="false"/>
          <w:color w:val="000000"/>
          <w:sz w:val="20"/>
        </w:rPr>
        <w:t>shares of Common Stock of The Hershey Company (“Hershey”). Each RSU represents the right to receive a share of Hershey’s Common Stock, $1.00 par value, at a future date and time, subject to the terms of this Notice of Special Award of Restricted Stock Units (Replacement Equity) (the “Notice of Special Award”).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Grantee will have forty-five (45) days to accept the terms of this Notice of Special Award. By accepting the award of RSUs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2. </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xml:space="preserve">. Wherever used herein, the following terms shall have the meanings set forth below. </w:t>
      </w:r>
      <w:r>
        <w:rPr>
          <w:rFonts w:ascii="Times New Roman;sans-serif" w:hAnsi="Times New Roman;sans-serif"/>
          <w:b/>
          <w:i/>
          <w:color w:val="000000"/>
          <w:sz w:val="20"/>
        </w:rPr>
        <w:t>Capitalized terms not otherwise defined in this Notice of Special Award shall have the same meanings as set forth in the EICP</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w:t>
      </w:r>
      <w:r>
        <w:rPr>
          <w:color w:val="000000"/>
        </w:rPr>
        <w:t>“</w:t>
      </w:r>
      <w:r>
        <w:rPr>
          <w:rFonts w:ascii="Times New Roman;sans-serif" w:hAnsi="Times New Roman;sans-serif"/>
          <w:b w:val="false"/>
          <w:color w:val="000000"/>
          <w:sz w:val="20"/>
        </w:rPr>
        <w:t>Business Relationships” means the Company’s relationships with customers, suppliers, agents, licensees, licensors and others that likewise give the Company a competitive advantage.</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w:t>
      </w:r>
      <w:r>
        <w:rPr>
          <w:color w:val="000000"/>
        </w:rPr>
        <w:t>“</w:t>
      </w:r>
      <w:r>
        <w:rPr>
          <w:rFonts w:ascii="Times New Roman;sans-serif" w:hAnsi="Times New Roman;sans-serif"/>
          <w:b w:val="false"/>
          <w:color w:val="000000"/>
          <w:sz w:val="20"/>
        </w:rPr>
        <w:t>Committee” means the Compensation and Executive Organization Committee of the Board of Directors.</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20"/>
        </w:rPr>
        <w:t>(C)</w:t>
      </w:r>
      <w:r>
        <w:rPr>
          <w:color w:val="000000"/>
        </w:rPr>
        <w:t>“</w:t>
      </w:r>
      <w:r>
        <w:rPr>
          <w:rFonts w:ascii="Times New Roman;sans-serif" w:hAnsi="Times New Roman;sans-serif"/>
          <w:b w:val="false"/>
          <w:color w:val="000000"/>
          <w:sz w:val="20"/>
        </w:rPr>
        <w:t xml:space="preserve">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13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w:t>
      </w:r>
      <w:r>
        <w:rPr>
          <w:color w:val="000000"/>
        </w:rPr>
        <w:t>“</w:t>
      </w:r>
      <w:r>
        <w:rPr>
          <w:rFonts w:ascii="Times New Roman;sans-serif" w:hAnsi="Times New Roman;sans-serif"/>
          <w:b w:val="false"/>
          <w:color w:val="000000"/>
          <w:sz w:val="20"/>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w:t>
      </w:r>
      <w:r>
        <w:rPr>
          <w:color w:val="000000"/>
        </w:rPr>
        <w:t>“</w:t>
      </w:r>
      <w:r>
        <w:rPr>
          <w:rFonts w:ascii="Times New Roman;sans-serif" w:hAnsi="Times New Roman;sans-serif"/>
          <w:b w:val="false"/>
          <w:color w:val="000000"/>
          <w:sz w:val="20"/>
        </w:rPr>
        <w:t>Deferred Compensation Plan” means The Hershey Company Deferred Compensation Plan and any successor or replacement plan thereof.</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w:t>
      </w:r>
      <w:r>
        <w:rPr>
          <w:color w:val="000000"/>
        </w:rPr>
        <w:t>“</w:t>
      </w:r>
      <w:r>
        <w:rPr>
          <w:rFonts w:ascii="Times New Roman;sans-serif" w:hAnsi="Times New Roman;sans-serif"/>
          <w:b w:val="false"/>
          <w:color w:val="000000"/>
          <w:sz w:val="20"/>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(G)</w:t>
      </w:r>
      <w:r>
        <w:rPr>
          <w:color w:val="000000"/>
        </w:rPr>
        <w:t>“</w:t>
      </w:r>
      <w:r>
        <w:rPr>
          <w:rFonts w:ascii="Times New Roman;sans-serif" w:hAnsi="Times New Roman;sans-serif"/>
          <w:b w:val="false"/>
          <w:color w:val="000000"/>
          <w:sz w:val="20"/>
        </w:rPr>
        <w:t>EICP” means The Hershey Company Equity and Incentive Compensation Plan, as in effect from time to time and any successor or replacement plan thereof.</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(H)</w:t>
      </w:r>
      <w:r>
        <w:rPr>
          <w:color w:val="000000"/>
        </w:rPr>
        <w:t>“</w:t>
      </w:r>
      <w:r>
        <w:rPr>
          <w:rFonts w:ascii="Times New Roman;sans-serif" w:hAnsi="Times New Roman;sans-serif"/>
          <w:b w:val="false"/>
          <w:color w:val="000000"/>
          <w:sz w:val="20"/>
        </w:rPr>
        <w:t xml:space="preserve">Material Contact” means contact for the purpose of furthering the Company’s business.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3. </w:t>
      </w:r>
      <w:r>
        <w:rPr>
          <w:rFonts w:ascii="Times New Roman;sans-serif" w:hAnsi="Times New Roman;sans-serif"/>
          <w:b w:val="false"/>
          <w:color w:val="000000"/>
          <w:sz w:val="20"/>
          <w:u w:val="single"/>
        </w:rPr>
        <w:t>VESTING DATES</w:t>
      </w:r>
      <w:r>
        <w:rPr>
          <w:rFonts w:ascii="Times New Roman;sans-serif" w:hAnsi="Times New Roman;sans-serif"/>
          <w:b w:val="false"/>
          <w:color w:val="000000"/>
          <w:sz w:val="20"/>
        </w:rPr>
        <w:t>. The Grantee shall vest in the number of RSUs corresponding with each date shown below (each a “Vesting Date”); provided that the Grantee has remained in continuous employment with the Company from the Grant Date through such Vesting Date and has accepted and agreed to all terms and conditions in this agreement.</w:t>
      </w:r>
    </w:p>
    <w:p>
      <w:pPr>
        <w:pStyle w:val="TextBody"/>
        <w:bidi w:val="0"/>
        <w:spacing w:before="0" w:after="0"/>
        <w:jc w:val="left"/>
        <w:rPr/>
      </w:pPr>
      <w:r>
        <w:rPr/>
      </w:r>
    </w:p>
    <w:p>
      <w:pPr>
        <w:pStyle w:val="TextBody"/>
        <w:bidi w:val="0"/>
        <w:spacing w:before="0" w:after="0"/>
        <w:jc w:val="left"/>
        <w:rPr/>
      </w:pPr>
      <w:r>
        <w:rPr/>
      </w:r>
    </w:p>
    <w:tbl>
      <w:tblPr>
        <w:tblW w:w="3187" w:type="dxa"/>
        <w:jc w:val="left"/>
        <w:tblInd w:w="0" w:type="dxa"/>
        <w:tblLayout w:type="fixed"/>
        <w:tblCellMar>
          <w:top w:w="28" w:type="dxa"/>
          <w:left w:w="28" w:type="dxa"/>
          <w:bottom w:w="28" w:type="dxa"/>
          <w:right w:w="28" w:type="dxa"/>
        </w:tblCellMar>
      </w:tblPr>
      <w:tblGrid>
        <w:gridCol w:w="439"/>
        <w:gridCol w:w="384"/>
        <w:gridCol w:w="391"/>
        <w:gridCol w:w="109"/>
        <w:gridCol w:w="109"/>
        <w:gridCol w:w="109"/>
        <w:gridCol w:w="109"/>
        <w:gridCol w:w="109"/>
        <w:gridCol w:w="109"/>
        <w:gridCol w:w="385"/>
        <w:gridCol w:w="385"/>
        <w:gridCol w:w="549"/>
      </w:tblGrid>
      <w:tr>
        <w:trPr/>
        <w:tc>
          <w:tcPr>
            <w:tcW w:w="4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Vesting Date</w:t>
            </w:r>
          </w:p>
        </w:tc>
      </w:tr>
      <w:tr>
        <w:trPr/>
        <w:tc>
          <w:tcPr>
            <w:tcW w:w="121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#VestQty_1#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#VestDate_1#</w:t>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#VestQty_2#</w:t>
            </w:r>
          </w:p>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#VestQty_3#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#VestDate_2#</w:t>
            </w:r>
          </w:p>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#VestDate_3#</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prior to a Vesting Date, the Grantee’s employment with the Company is terminated by the Company without Cause, or the Grantee terminates employment with Good Reason, then the unvested RSUs (and any related Dividend Equivalent Rights) subject to this Notice of Special Award shall vest in full upon the date of such termination of the Grantee’s employment; provided, however, that any such vesting is contingent upon Grantee executing and delivering to the Company, in a form acceptable to the Company, a separation agreement containing a valid and enforceable waiver and release of all claims, which is not revoked.</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If prior to a Vesting Date, the Grantee’s employment with the Company terminates for any reason other than by the Company without Cause or by the Grantee with Good Reason, then the unvested RSUs (and any related Dividend Equivalent Rights) subject to this Notice of Special Award shall terminate and be completely forfeited on the date of such termination of the Grantee’s employment unless the Grantee is entitled to any accelerated vesting of the unvested RSUs under the terms of the EICP or other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1155"/>
                <wp:effectExtent l="0" t="0" r="0" b="0"/>
                <wp:wrapNone/>
                <wp:docPr id="13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sponsored plan or agreement or as described in paragraph 11(F) below, in which case such accelerated vesting of the unvested RSUs will be in accordance with the terms of this Notice of Special Award or the applicable plan, agreement or local law. Under the terms of the EICP, the Grantee or the Grantee's estate is entitled to accelerated vesting of the unvested RSUs upon the Grantee's termination due to total disability or death. In the event of a Change in Control, accelerated vesting of the unvested RSUs, if any, shall be determined in accordance with paragraph 15 of the EICP. Notwithstanding anything in the EICP or this Notice of Special Award to the contrary, if the Grantee is terminated for Cause from the Company prior to payment pursuant to paragraph 4, all of the RSUs will immediately and automatically, without any action on the part of the Grantee or the Company, be forfeited by the Grantee.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4. </w:t>
      </w:r>
      <w:r>
        <w:rPr>
          <w:rFonts w:ascii="Times New Roman;sans-serif" w:hAnsi="Times New Roman;sans-serif"/>
          <w:b w:val="false"/>
          <w:color w:val="000000"/>
          <w:sz w:val="20"/>
          <w:u w:val="single"/>
        </w:rPr>
        <w:t>PAYMENT OF AWARD</w:t>
      </w:r>
      <w:r>
        <w:rPr>
          <w:rFonts w:ascii="Times New Roman;sans-serif" w:hAnsi="Times New Roman;sans-serif"/>
          <w:b w:val="false"/>
          <w:color w:val="000000"/>
          <w:sz w:val="20"/>
        </w:rPr>
        <w:t>. Unless deferred under the Deferred Compensation Plan, an RSU that has vested (“Vested Unit”) shall be paid in the form of a share of Common Stock, unless prohibited by applicable local law, in which case the Vested Unit will be paid in the cash equivalent, as soon as practicable following each Vesting Date or, if earlier, any accelerated vesting event in accordance with the terms of the EICP or other Company-sponsored plan or agreement, but in no event later than March 15 following the calendar year in which such RSUs vest. In addition, the Grantee shall be entitled to receive a lump sum cash payment equal to the Dividend Equivalent Rights with respect to any Vested Units at the same time as the payment for such underlying Vested Units.</w:t>
      </w:r>
    </w:p>
    <w:p>
      <w:pPr>
        <w:pStyle w:val="TextBody"/>
        <w:bidi w:val="0"/>
        <w:spacing w:lineRule="auto" w:line="288" w:before="240" w:after="283"/>
        <w:jc w:val="left"/>
        <w:rPr/>
      </w:pPr>
      <w:r>
        <w:rPr>
          <w:rFonts w:ascii="Times New Roman;sans-serif" w:hAnsi="Times New Roman;sans-serif"/>
          <w:b w:val="false"/>
          <w:color w:val="000000"/>
          <w:sz w:val="20"/>
        </w:rPr>
        <w:t xml:space="preserve">5. </w:t>
      </w:r>
      <w:r>
        <w:rPr>
          <w:rFonts w:ascii="Times New Roman;sans-serif" w:hAnsi="Times New Roman;sans-serif"/>
          <w:b w:val="false"/>
          <w:color w:val="000000"/>
          <w:sz w:val="20"/>
          <w:u w:val="single"/>
        </w:rPr>
        <w:t>NON-COMPETITION</w:t>
      </w:r>
      <w:r>
        <w:rPr>
          <w:rFonts w:ascii="Times New Roman;sans-serif" w:hAnsi="Times New Roman;sans-serif"/>
          <w:b w:val="false"/>
          <w:color w:val="000000"/>
          <w:sz w:val="20"/>
        </w:rPr>
        <w:t xml:space="preserve">.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 </w:t>
      </w:r>
    </w:p>
    <w:p>
      <w:pPr>
        <w:pStyle w:val="TextBody"/>
        <w:bidi w:val="0"/>
        <w:spacing w:lineRule="auto" w:line="288" w:before="240" w:after="283"/>
        <w:jc w:val="left"/>
        <w:rPr/>
      </w:pPr>
      <w:r>
        <w:rPr>
          <w:rFonts w:ascii="Times New Roman;sans-serif" w:hAnsi="Times New Roman;sans-serif"/>
          <w:b w:val="false"/>
          <w:color w:val="000000"/>
          <w:sz w:val="20"/>
        </w:rPr>
        <w:t xml:space="preserve">6. </w:t>
      </w:r>
      <w:r>
        <w:rPr>
          <w:rFonts w:ascii="Times New Roman;sans-serif" w:hAnsi="Times New Roman;sans-serif"/>
          <w:b w:val="false"/>
          <w:color w:val="000000"/>
          <w:sz w:val="20"/>
          <w:u w:val="single"/>
        </w:rPr>
        <w:t>NON-SOLICITATION</w:t>
      </w:r>
      <w:r>
        <w:rPr>
          <w:rFonts w:ascii="Times New Roman;sans-serif" w:hAnsi="Times New Roman;sans-serif"/>
          <w:b w:val="false"/>
          <w:color w:val="000000"/>
          <w:sz w:val="20"/>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1155"/>
                <wp:effectExtent l="0" t="0" r="0" b="0"/>
                <wp:wrapNone/>
                <wp:docPr id="14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pStyle w:val="TextBody"/>
        <w:bidi w:val="0"/>
        <w:spacing w:lineRule="auto" w:line="288" w:before="240" w:after="283"/>
        <w:jc w:val="left"/>
        <w:rPr/>
      </w:pPr>
      <w:r>
        <w:rPr>
          <w:rFonts w:ascii="Times New Roman;sans-serif" w:hAnsi="Times New Roman;sans-serif"/>
          <w:b w:val="false"/>
          <w:color w:val="000000"/>
          <w:sz w:val="20"/>
        </w:rPr>
        <w:t xml:space="preserve">7. </w:t>
      </w:r>
      <w:r>
        <w:rPr>
          <w:rFonts w:ascii="Times New Roman;sans-serif" w:hAnsi="Times New Roman;sans-serif"/>
          <w:b w:val="false"/>
          <w:color w:val="000000"/>
          <w:sz w:val="20"/>
          <w:u w:val="single"/>
        </w:rPr>
        <w:t>NON-DISCLOSURE OF CONFIDENTIAL INFORMATION</w:t>
      </w:r>
      <w:r>
        <w:rPr>
          <w:rFonts w:ascii="Times New Roman;sans-serif" w:hAnsi="Times New Roman;sans-serif"/>
          <w:b w:val="false"/>
          <w:color w:val="000000"/>
          <w:sz w:val="20"/>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7, Grantee may disclose or use any such information (i) when such disclosure or use may be required or appropriate in the good faith judgment of Grantee in the course of performing his/her duties to the Company and in accordance with Company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8. </w:t>
      </w:r>
      <w:r>
        <w:rPr>
          <w:rFonts w:ascii="Times New Roman;sans-serif" w:hAnsi="Times New Roman;sans-serif"/>
          <w:b w:val="false"/>
          <w:color w:val="000000"/>
          <w:sz w:val="20"/>
          <w:u w:val="single"/>
        </w:rPr>
        <w:t>ADDITIONAL RESTRICTIONS AND LIMITATIONS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(B)Upon each issuance or transfer of shares of Common Stock in accordance with this Notice of Special Award, a number of RSUs equal to the number of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41"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or transferred to the Grantee shall be extinguished and such number of RSUs will not be considered to be held by the Grantee for any purpose.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9. </w:t>
      </w:r>
      <w:r>
        <w:rPr>
          <w:rFonts w:ascii="Times New Roman;sans-serif" w:hAnsi="Times New Roman;sans-serif"/>
          <w:b w:val="false"/>
          <w:color w:val="000000"/>
          <w:sz w:val="20"/>
          <w:u w:val="single"/>
        </w:rPr>
        <w:t>WITHHOLDING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(A)The Company’s obligation to deliver shares of Common Stock or cash to settle the Vested Units and Dividend Equivalent Rights shall be subject to the satisfaction of applicable tax withholding requirements. The Grantee must pay to the Company any withholding tax due as a result of such payment.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(B)The Company shall have the right to reduce the number of shares of Common Stock issued to the Grantee to satisfy the minimum applicable tax withholding requirements.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10. </w:t>
      </w:r>
      <w:r>
        <w:rPr>
          <w:rFonts w:ascii="Times New Roman;sans-serif" w:hAnsi="Times New Roman;sans-serif"/>
          <w:b w:val="false"/>
          <w:color w:val="000000"/>
          <w:sz w:val="20"/>
          <w:u w:val="single"/>
        </w:rPr>
        <w:t>OTHER LAWS</w:t>
      </w:r>
      <w:r>
        <w:rPr>
          <w:rFonts w:ascii="Times New Roman;sans-serif" w:hAnsi="Times New Roman;sans-serif"/>
          <w:b w:val="false"/>
          <w:color w:val="000000"/>
          <w:sz w:val="20"/>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11. </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(B)(i)Grantee acknowledges and agrees that in addition to the relief described in paragraph 11(A), if the Committee determines, in its sole discretion, that Grantee has violated or threatened to violate the terms of this Notice of Award or the EICP, or that the Grantee has engaged in any intentional misconduct that caused the Company material financial or reputational harm, then Hershey may cancel any part of the grant that has not vested. In addition, upon the request or direction of the Committee, Grantee shall also immediately deliver to Hershey, the cash equivalent of any RSUs that have vested under this Notice of Award , inclusive of any dividends paid on any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1155"/>
                <wp:effectExtent l="0" t="0" r="0" b="0"/>
                <wp:wrapNone/>
                <wp:docPr id="142"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shares.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(C)Notwithstanding anything in the EICP or this Notice of Special Award to the contrary, Grantee acknowledges that the Company may be entitled or required by law or Company policy, to recoup compensation paid to Grantee pursuant to the EICP, and Grantee agrees to comply with any Company request or demand for recoupment.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Special Award to be construed so as to foster the intent of this award and the EICP.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Special Award.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(G)The award of RSUs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20"/>
        </w:rPr>
        <w:t xml:space="preserve">12. </w:t>
      </w:r>
      <w:r>
        <w:rPr>
          <w:rFonts w:ascii="Times New Roman;sans-serif" w:hAnsi="Times New Roman;sans-serif"/>
          <w:b w:val="false"/>
          <w:color w:val="000000"/>
          <w:sz w:val="20"/>
          <w:u w:val="single"/>
        </w:rPr>
        <w:t>CONTACT INFORMATION</w:t>
      </w:r>
      <w:r>
        <w:rPr>
          <w:rFonts w:ascii="Times New Roman;sans-serif" w:hAnsi="Times New Roman;sans-serif"/>
          <w:b w:val="false"/>
          <w:color w:val="000000"/>
          <w:sz w:val="20"/>
        </w:rPr>
        <w:t>. Copies of the EICP and the Information Statement (Prospectus) for the EICP Plan are available upon request from the myHR Support Center by calling 1-800-878-0440 or by email to myHR@hersheys.com.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1155"/>
                <wp:effectExtent l="0" t="0" r="0" b="0"/>
                <wp:wrapNone/>
                <wp:docPr id="143"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Michele G. Buck,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The Hershey Company;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ind w:left="0" w:right="0" w:hanging="180"/>
        <w:jc w:val="left"/>
        <w:rPr>
          <w:color w:val="000000"/>
        </w:rPr>
      </w:pPr>
      <w:r>
        <w:rPr>
          <w:color w:val="000000"/>
        </w:rPr>
        <w:t> </w:t>
      </w:r>
    </w:p>
    <w:tbl>
      <w:tblPr>
        <w:tblW w:w="2265" w:type="dxa"/>
        <w:jc w:val="left"/>
        <w:tblInd w:w="0" w:type="dxa"/>
        <w:tblLayout w:type="fixed"/>
        <w:tblCellMar>
          <w:top w:w="28" w:type="dxa"/>
          <w:left w:w="28" w:type="dxa"/>
          <w:bottom w:w="28" w:type="dxa"/>
          <w:right w:w="28" w:type="dxa"/>
        </w:tblCellMar>
      </w:tblPr>
      <w:tblGrid>
        <w:gridCol w:w="722"/>
        <w:gridCol w:w="634"/>
        <w:gridCol w:w="90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100" w:after="100"/>
              <w:ind w:left="0" w:right="0" w:hanging="180"/>
              <w:jc w:val="center"/>
              <w:rPr/>
            </w:pPr>
            <w:r>
              <w:rPr/>
            </w:r>
          </w:p>
          <w:p>
            <w:pPr>
              <w:pStyle w:val="TableContents"/>
              <w:bidi w:val="0"/>
              <w:spacing w:before="100" w:after="100"/>
              <w:ind w:left="0" w:right="0" w:hanging="180"/>
              <w:jc w:val="center"/>
              <w:rPr/>
            </w:pPr>
            <w:r>
              <w:rPr/>
            </w:r>
          </w:p>
          <w:p>
            <w:pPr>
              <w:pStyle w:val="TableContents"/>
              <w:bidi w:val="0"/>
              <w:spacing w:lineRule="auto" w:line="240" w:before="100" w:after="100"/>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/s/ MICHELE G. BUCK</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Michele G. Buck</w:t>
            </w:r>
          </w:p>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Chief Executive Officer</w:t>
            </w:r>
          </w:p>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 2025</w:t>
            </w:r>
          </w:p>
        </w:tc>
      </w:tr>
    </w:tbl>
    <w:p>
      <w:pPr>
        <w:pStyle w:val="TextBody"/>
        <w:bidi w:val="0"/>
        <w:spacing w:before="0" w:after="20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48995"/>
                <wp:effectExtent l="0" t="0" r="0" b="0"/>
                <wp:wrapNone/>
                <wp:docPr id="144" name="Frame5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Exhibit 31.1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7" descr=""/>
                                                <pic:cNvPicPr>
                                                  <a:picLocks noChangeAspect="1" noChangeArrowheads="1"/>
                                                </pic:cNvPicPr>
                                              </pic:nvPicPr>
                                              <pic:blipFill>
                                                <a:blip r:embed="rId124"/>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Exhibit 31.1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7" descr=""/>
                                          <pic:cNvPicPr>
                                            <a:picLocks noChangeAspect="1" noChangeArrowheads="1"/>
                                          </pic:cNvPicPr>
                                        </pic:nvPicPr>
                                        <pic:blipFill>
                                          <a:blip r:embed="rId125"/>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Steven E. Voskuil,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The Hershey Company;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ind w:left="0" w:right="0" w:hanging="180"/>
        <w:jc w:val="left"/>
        <w:rPr>
          <w:color w:val="000000"/>
        </w:rPr>
      </w:pPr>
      <w:r>
        <w:rPr>
          <w:color w:val="000000"/>
        </w:rPr>
        <w:t> </w:t>
      </w:r>
    </w:p>
    <w:tbl>
      <w:tblPr>
        <w:tblW w:w="2234" w:type="dxa"/>
        <w:jc w:val="left"/>
        <w:tblInd w:w="0" w:type="dxa"/>
        <w:tblLayout w:type="fixed"/>
        <w:tblCellMar>
          <w:top w:w="28" w:type="dxa"/>
          <w:left w:w="28" w:type="dxa"/>
          <w:bottom w:w="28" w:type="dxa"/>
          <w:right w:w="28" w:type="dxa"/>
        </w:tblCellMar>
      </w:tblPr>
      <w:tblGrid>
        <w:gridCol w:w="716"/>
        <w:gridCol w:w="629"/>
        <w:gridCol w:w="889"/>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/S/ STEVEN E. VOSKUIL</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Steven E. Voskuil</w:t>
            </w:r>
          </w:p>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Chief Financial Officer</w:t>
            </w:r>
          </w:p>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 2025</w:t>
            </w:r>
          </w:p>
        </w:tc>
      </w:tr>
    </w:tbl>
    <w:p>
      <w:pPr>
        <w:pStyle w:val="TextBody"/>
        <w:bidi w:val="0"/>
        <w:spacing w:before="0" w:after="20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73735"/>
                <wp:effectExtent l="0" t="0" r="0" b="0"/>
                <wp:wrapNone/>
                <wp:docPr id="147" name="Frame54"/>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Exhibit 31.2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8" descr=""/>
                                                <pic:cNvPicPr>
                                                  <a:picLocks noChangeAspect="1" noChangeArrowheads="1"/>
                                                </pic:cNvPicPr>
                                              </pic:nvPicPr>
                                              <pic:blipFill>
                                                <a:blip r:embed="rId126"/>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Exhibit 31.2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8" descr=""/>
                                          <pic:cNvPicPr>
                                            <a:picLocks noChangeAspect="1" noChangeArrowheads="1"/>
                                          </pic:cNvPicPr>
                                        </pic:nvPicPr>
                                        <pic:blipFill>
                                          <a:blip r:embed="rId12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officers of The Hershey Company (the “Company”) hereby certify, to the best of their knowledge, that the Company’s Quarterly Report on Form 10-Q for the quarterly period ended March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8" w:before="0" w:after="0"/>
        <w:ind w:left="0" w:right="0" w:hanging="180"/>
        <w:jc w:val="left"/>
        <w:rPr>
          <w:color w:val="000000"/>
        </w:rPr>
      </w:pPr>
      <w:r>
        <w:rPr>
          <w:color w:val="000000"/>
        </w:rPr>
        <w:t> </w:t>
      </w:r>
    </w:p>
    <w:tbl>
      <w:tblPr>
        <w:tblW w:w="4331" w:type="dxa"/>
        <w:jc w:val="left"/>
        <w:tblInd w:w="0" w:type="dxa"/>
        <w:tblLayout w:type="fixed"/>
        <w:tblCellMar>
          <w:top w:w="28" w:type="dxa"/>
          <w:left w:w="28" w:type="dxa"/>
          <w:bottom w:w="28" w:type="dxa"/>
          <w:right w:w="28" w:type="dxa"/>
        </w:tblCellMar>
      </w:tblPr>
      <w:tblGrid>
        <w:gridCol w:w="201"/>
        <w:gridCol w:w="177"/>
        <w:gridCol w:w="177"/>
        <w:gridCol w:w="379"/>
        <w:gridCol w:w="379"/>
        <w:gridCol w:w="381"/>
        <w:gridCol w:w="109"/>
        <w:gridCol w:w="109"/>
        <w:gridCol w:w="109"/>
        <w:gridCol w:w="675"/>
        <w:gridCol w:w="675"/>
        <w:gridCol w:w="960"/>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MICHELE G. BUCK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Michele G. Buck </w:t>
              <w:br/>
              <w:t>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STEVEN E. VOSKUIL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Steven E. Voskuil</w:t>
              <w:br/>
              <w:t>Chief Financial Officer</w:t>
              <w:br/>
              <w:t>(Principal Financial Officer)</w:t>
            </w:r>
          </w:p>
        </w:tc>
      </w:tr>
    </w:tbl>
    <w:p>
      <w:pPr>
        <w:pStyle w:val="TextBody"/>
        <w:bidi w:val="0"/>
        <w:spacing w:lineRule="auto" w:line="288" w:before="18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w:t>
      </w:r>
    </w:p>
    <w:p>
      <w:pPr>
        <w:pStyle w:val="TextBody"/>
        <w:bidi w:val="0"/>
        <w:spacing w:before="180" w:after="283"/>
        <w:jc w:val="left"/>
        <w:rPr/>
      </w:pPr>
      <w:r>
        <w:rPr/>
      </w:r>
    </w:p>
    <w:p>
      <w:pPr>
        <w:pStyle w:val="TextBody"/>
        <w:bidi w:val="0"/>
        <w:spacing w:before="180" w:after="283"/>
        <w:ind w:left="0" w:right="0" w:firstLine="495"/>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73735"/>
                <wp:effectExtent l="0" t="0" r="0" b="0"/>
                <wp:wrapNone/>
                <wp:docPr id="150" name="Frame55"/>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Exhibit 32.1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9" descr=""/>
                                                <pic:cNvPicPr>
                                                  <a:picLocks noChangeAspect="1" noChangeArrowheads="1"/>
                                                </pic:cNvPicPr>
                                              </pic:nvPicPr>
                                              <pic:blipFill>
                                                <a:blip r:embed="rId12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Hershey Company | Q1 2025 Form 10-Q | Exhibit 32.1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9" descr=""/>
                                          <pic:cNvPicPr>
                                            <a:picLocks noChangeAspect="1" noChangeArrowheads="1"/>
                                          </pic:cNvPicPr>
                                        </pic:nvPicPr>
                                        <pic:blipFill>
                                          <a:blip r:embed="rId12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hyperlink" Target="https://www.sec.gov/Archives/edgar/data/47111/000004711105000159/exhibit3.htm?_sm_byp=iVV7PRrr5tFtD2T5" TargetMode="External"/><Relationship Id="rId90" Type="http://schemas.openxmlformats.org/officeDocument/2006/relationships/hyperlink" Target="https://www.sec.gov/Archives/edgar/data/47111/000004711105000159/exhibit3.htm?_sm_byp=iVV7PRrr5tFtD2T5" TargetMode="External"/><Relationship Id="rId91" Type="http://schemas.openxmlformats.org/officeDocument/2006/relationships/hyperlink" Target="https://www.sec.gov/Archives/edgar/data/47111/000004711125000026/ex31-amendedbyxlawsxeffect.htm" TargetMode="External"/><Relationship Id="rId92" Type="http://schemas.openxmlformats.org/officeDocument/2006/relationships/hyperlink" Target="https://www.sec.gov/Archives/edgar/data/0000047111/000004711125000026/ex31-amendedbyxlawsxeffect.htm" TargetMode="External"/><Relationship Id="rId93" Type="http://schemas.openxmlformats.org/officeDocument/2006/relationships/hyperlink" Target="https://www.sec.gov/Archives/edgar/data/0000047111/000004711125000026/ex31-amendedbyxlawsxeffect.htm" TargetMode="External"/><Relationship Id="rId94" Type="http://schemas.openxmlformats.org/officeDocument/2006/relationships/hyperlink" Target="https://www.sec.gov/Archives/edgar/data/0000047111/000004711125000026/ex31-amendedbyxlawsxeffect.htm" TargetMode="External"/><Relationship Id="rId95" Type="http://schemas.openxmlformats.org/officeDocument/2006/relationships/hyperlink" Target="https://www.sec.gov/Archives/edgar/data/0000047111/000004711125000026/ex31-amendedbyxlawsxeffect.htm" TargetMode="External"/><Relationship Id="rId96" Type="http://schemas.openxmlformats.org/officeDocument/2006/relationships/hyperlink" Target="https://www.sec.gov/Archives/edgar/data/0000047111/000004711125000026/ex31-amendedbyxlawsxeffect.htm" TargetMode="External"/><Relationship Id="rId97" Type="http://schemas.openxmlformats.org/officeDocument/2006/relationships/hyperlink" Target="https://www.sec.gov/Archives/edgar/data/0000047111/000004711125000026/ex31-amendedbyxlawsxeffect.htm" TargetMode="External"/><Relationship Id="rId98" Type="http://schemas.openxmlformats.org/officeDocument/2006/relationships/hyperlink" Target="https://www.sec.gov/Archives/edgar/data/47111/000119312509111396/dex41.htm" TargetMode="External"/><Relationship Id="rId99" Type="http://schemas.openxmlformats.org/officeDocument/2006/relationships/hyperlink" Target="https://www.sec.gov/Archives/edgar/data/47111/000119312509111396/dex41.htm" TargetMode="External"/><Relationship Id="rId100" Type="http://schemas.openxmlformats.org/officeDocument/2006/relationships/hyperlink" Target="https://www.sec.gov/Archives/edgar/data/47111/000162828025007386/exhibit41-closing8xk.htm" TargetMode="External"/><Relationship Id="rId101" Type="http://schemas.openxmlformats.org/officeDocument/2006/relationships/hyperlink" Target="https://www.sec.gov/Archives/edgar/data/47111/000162828025007386/exhibit42-closing8xk.htm" TargetMode="External"/><Relationship Id="rId102" Type="http://schemas.openxmlformats.org/officeDocument/2006/relationships/hyperlink" Target="https://www.sec.gov/Archives/edgar/data/47111/000162828025007386/exhibit43-closing8xk.htm" TargetMode="External"/><Relationship Id="rId103" Type="http://schemas.openxmlformats.org/officeDocument/2006/relationships/hyperlink" Target="https://www.sec.gov/Archives/edgar/data/47111/000162828025007386/exhibit44-closing8xk.htm" TargetMode="External"/><Relationship Id="rId104" Type="http://schemas.openxmlformats.org/officeDocument/2006/relationships/hyperlink" Target="https://www.sec.gov/Archives/edgar/data/47111/000004711125000008/exhibit101-buckexecutiveem.htm" TargetMode="External"/><Relationship Id="rId105" Type="http://schemas.openxmlformats.org/officeDocument/2006/relationships/hyperlink" Target="https://www.sec.gov/Archives/edgar/data/47111/000004711125000008/exhibit101-buckexecutiveem.htm" TargetMode="External"/><Relationship Id="rId106" Type="http://schemas.openxmlformats.org/officeDocument/2006/relationships/hyperlink" Target="https://www.sec.gov/Archives/edgar/data/47111/000004711125000008/exhibit101-buckexecutiveem.htm" TargetMode="External"/><Relationship Id="rId107" Type="http://schemas.openxmlformats.org/officeDocument/2006/relationships/hyperlink" Target="https://www.sec.gov/Archives/edgar/data/47111/000004711125000008/exhibit101-buckexecutiveem.htm" TargetMode="External"/><Relationship Id="rId108" Type="http://schemas.openxmlformats.org/officeDocument/2006/relationships/hyperlink" Target="https://www.sec.gov/Archives/edgar/data/47111/000004711125000008/exhibit101-buckexecutiveem.htm" TargetMode="External"/><Relationship Id="rId109" Type="http://schemas.openxmlformats.org/officeDocument/2006/relationships/hyperlink" Target="https://www.sec.gov/Archives/edgar/data/47111/000004711125000008/exhibit101-buckexecutiveem.htm" TargetMode="External"/><Relationship Id="rId110" Type="http://schemas.openxmlformats.org/officeDocument/2006/relationships/hyperlink" Target="https://www.sec.gov/Archives/edgar/data/47111/000004711125000008/exhibit101-buckexecutiveem.htm" TargetMode="External"/><Relationship Id="rId111" Type="http://schemas.openxmlformats.org/officeDocument/2006/relationships/hyperlink" Target="https://www.sec.gov/Archives/edgar/data/47111/000004711125000008/exhibit101-buckexecutiveem.htm" TargetMode="External"/><Relationship Id="rId112" Type="http://schemas.openxmlformats.org/officeDocument/2006/relationships/hyperlink" Target="https://www.sec.gov/Archives/edgar/data/47111/000004711125000008/exhibit101-buckexecutiveem.htm" TargetMode="External"/><Relationship Id="rId113" Type="http://schemas.openxmlformats.org/officeDocument/2006/relationships/hyperlink" Target="https://www.sec.gov/Archives/edgar/data/47111/000004711125000008/exhibit101-buckexecutiveem.htm" TargetMode="External"/><Relationship Id="rId114" Type="http://schemas.openxmlformats.org/officeDocument/2006/relationships/hyperlink" Target="https://www.sec.gov/Archives/edgar/data/47111/000004711125000008/exhibit101-buckexecutiveem.htm" TargetMode="External"/><Relationship Id="rId115" Type="http://schemas.openxmlformats.org/officeDocument/2006/relationships/hyperlink" Target="https://www.sec.gov/Archives/edgar/data/47111/000004711125000008/exhibit101-buckexecutiveem.htm" TargetMode="External"/><Relationship Id="rId116" Type="http://schemas.openxmlformats.org/officeDocument/2006/relationships/hyperlink" Target="https://www.sec.gov/Archives/edgar/data/47111/000004711125000008/exhibit101-buckexecutiveem.htm" TargetMode="External"/><Relationship Id="rId117" Type="http://schemas.openxmlformats.org/officeDocument/2006/relationships/hyperlink" Target="https://www.sec.gov/Archives/edgar/data/47111/000004711125000008/exhibit101-buckexecutiveem.htm" TargetMode="External"/><Relationship Id="rId118" Type="http://schemas.openxmlformats.org/officeDocument/2006/relationships/hyperlink" Target="https://www.sec.gov/Archives/edgar/data/47111/000004711125000019/ex101-noticeofspecialaward.htm" TargetMode="External"/><Relationship Id="rId119" Type="http://schemas.openxmlformats.org/officeDocument/2006/relationships/hyperlink" Target="https://www.sec.gov/Archives/edgar/data/47111/000004711125000019/ex101-noticeofspecialaward.htm" TargetMode="External"/><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fontTable" Target="fontTable.xml"/><Relationship Id="rId1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25275</Words>
  <Characters>140933</Characters>
  <CharactersWithSpaces>164341</CharactersWithSpaces>
  <Paragraphs>2893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