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7728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772858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44"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HERSHEY TRUST CO TRUSTEE IN</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TRUST FOR MILTON HERSHEY</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SCHOOL</w:t>
        </w:r>
      </w:hyperlink>
    </w:p>
    <w:p>
      <w:pPr>
        <w:spacing w:after="0" w:line="278" w:lineRule="exact"/>
        <w:rPr>
          <w:rFonts w:ascii="Times New Roman" w:cs="Times New Roman" w:eastAsia="Times New Roman" w:hAnsi="Times New Roman"/>
          <w:sz w:val="20"/>
          <w:szCs w:val="20"/>
          <w:u w:val="single" w:color="auto"/>
          <w:color w:val="0000EE"/>
        </w:rPr>
      </w:pPr>
    </w:p>
    <w:tbl>
      <w:tblPr>
        <w:tblLayout w:type="fixed"/>
        <w:tblInd w:w="80" w:type="dxa"/>
        <w:tblCellMar>
          <w:top w:w="0" w:type="dxa"/>
          <w:left w:w="0" w:type="dxa"/>
          <w:bottom w:w="0" w:type="dxa"/>
          <w:right w:w="0" w:type="dxa"/>
        </w:tblCellMar>
      </w:tblPr>
      <w:tr>
        <w:trPr>
          <w:trHeight w:val="167"/>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24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4"/>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 EAST CHOCOLATE AVENUE</w:t>
            </w:r>
          </w:p>
        </w:tc>
        <w:tc>
          <w:tcPr>
            <w:tcW w:w="560" w:type="dxa"/>
            <w:vAlign w:val="bottom"/>
          </w:tcPr>
          <w:p>
            <w:pPr>
              <w:spacing w:after="0"/>
              <w:rPr>
                <w:sz w:val="22"/>
                <w:szCs w:val="22"/>
                <w:color w:val="auto"/>
              </w:rPr>
            </w:pPr>
          </w:p>
        </w:tc>
      </w:tr>
      <w:tr>
        <w:trPr>
          <w:trHeight w:val="254"/>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400</w:t>
            </w:r>
          </w:p>
        </w:tc>
        <w:tc>
          <w:tcPr>
            <w:tcW w:w="13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421"/>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5"/>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HERSHEY</w:t>
            </w:r>
          </w:p>
        </w:tc>
        <w:tc>
          <w:tcPr>
            <w:tcW w:w="136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w:t>
            </w:r>
          </w:p>
        </w:tc>
        <w:tc>
          <w:tcPr>
            <w:tcW w:w="5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17033</w:t>
            </w:r>
          </w:p>
        </w:tc>
      </w:tr>
      <w:tr>
        <w:trPr>
          <w:trHeight w:val="459"/>
        </w:trPr>
        <w:tc>
          <w:tcPr>
            <w:tcW w:w="102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24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rFonts w:ascii="Times New Roman" w:cs="Times New Roman" w:eastAsia="Times New Roman" w:hAnsi="Times New Roman"/>
          <w:sz w:val="20"/>
          <w:szCs w:val="20"/>
          <w:u w:val="single" w:color="auto"/>
          <w:color w:val="0000EE"/>
        </w:rPr>
      </w:pPr>
      <w:r>
        <w:rPr>
          <w:rFonts w:ascii="Times New Roman" w:cs="Times New Roman" w:eastAsia="Times New Roman" w:hAnsi="Times New Roman"/>
          <w:sz w:val="20"/>
          <w:szCs w:val="20"/>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HERSHEY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HSY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0" w:type="dxa"/>
            <w:vAlign w:val="bottom"/>
            <w:gridSpan w:val="2"/>
            <w:vMerge w:val="continue"/>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06/04/2026</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Person</w:t>
      </w:r>
    </w:p>
    <w:p>
      <w:pPr>
        <w:spacing w:after="0" w:line="699" w:lineRule="exact"/>
        <w:rPr>
          <w:rFonts w:ascii="Times New Roman" w:cs="Times New Roman" w:eastAsia="Times New Roman" w:hAnsi="Times New Roman"/>
          <w:sz w:val="20"/>
          <w:szCs w:val="20"/>
          <w:u w:val="single" w:color="auto"/>
          <w:color w:val="0000EE"/>
        </w:rPr>
      </w:pPr>
    </w:p>
    <w:p>
      <w:pPr>
        <w:sectPr>
          <w:pgSz w:w="11900" w:h="16838" w:orient="portrait"/>
          <w:cols w:equalWidth="0" w:num="2">
            <w:col w:w="3280" w:space="56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rFonts w:ascii="Times New Roman" w:cs="Times New Roman" w:eastAsia="Times New Roman" w:hAnsi="Times New Roman"/>
          <w:sz w:val="20"/>
          <w:szCs w:val="20"/>
          <w:u w:val="single" w:color="auto"/>
          <w:color w:val="0000EE"/>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40" w:type="dxa"/>
            <w:vAlign w:val="bottom"/>
            <w:gridSpan w:val="2"/>
          </w:tcPr>
          <w:p>
            <w:pPr>
              <w:ind w:left="4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220" w:type="dxa"/>
            <w:vAlign w:val="bottom"/>
            <w:gridSpan w:val="3"/>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20" w:type="dxa"/>
            <w:vAlign w:val="bottom"/>
          </w:tcPr>
          <w:p>
            <w:pPr>
              <w:spacing w:after="0"/>
              <w:rPr>
                <w:sz w:val="12"/>
                <w:szCs w:val="12"/>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400"/>
              <w:spacing w:after="0"/>
              <w:rPr>
                <w:sz w:val="20"/>
                <w:szCs w:val="20"/>
                <w:color w:val="auto"/>
              </w:rPr>
            </w:pPr>
            <w:r>
              <w:rPr>
                <w:rFonts w:ascii="Arial" w:cs="Arial" w:eastAsia="Arial" w:hAnsi="Arial"/>
                <w:sz w:val="11"/>
                <w:szCs w:val="11"/>
                <w:b w:val="1"/>
                <w:bCs w:val="1"/>
                <w:color w:val="auto"/>
              </w:rPr>
              <w:t>Date</w:t>
            </w:r>
          </w:p>
        </w:tc>
        <w:tc>
          <w:tcPr>
            <w:tcW w:w="380" w:type="dxa"/>
            <w:vAlign w:val="bottom"/>
          </w:tcPr>
          <w:p>
            <w:pPr>
              <w:spacing w:after="0"/>
              <w:rPr>
                <w:sz w:val="11"/>
                <w:szCs w:val="11"/>
                <w:color w:val="auto"/>
              </w:rPr>
            </w:pP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 3, 4 and 5)</w:t>
            </w: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Form: Direct</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40" w:type="dxa"/>
            <w:vAlign w:val="bottom"/>
            <w:gridSpan w:val="2"/>
          </w:tcPr>
          <w:p>
            <w:pPr>
              <w:ind w:left="4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jc w:val="center"/>
              <w:ind w:left="223"/>
              <w:spacing w:after="0"/>
              <w:rPr>
                <w:sz w:val="20"/>
                <w:szCs w:val="20"/>
                <w:color w:val="auto"/>
              </w:rPr>
            </w:pPr>
            <w:r>
              <w:rPr>
                <w:rFonts w:ascii="Arial" w:cs="Arial" w:eastAsia="Arial" w:hAnsi="Arial"/>
                <w:sz w:val="11"/>
                <w:szCs w:val="11"/>
                <w:b w:val="1"/>
                <w:bCs w:val="1"/>
                <w:color w:val="auto"/>
              </w:rPr>
              <w:t>(D) or Indirect</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Owned Following   (I) (Instr. 4)</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jc w:val="center"/>
              <w:ind w:right="11"/>
              <w:spacing w:after="0"/>
              <w:rPr>
                <w:sz w:val="20"/>
                <w:szCs w:val="20"/>
                <w:color w:val="auto"/>
              </w:rPr>
            </w:pPr>
            <w:r>
              <w:rPr>
                <w:rFonts w:ascii="Arial" w:cs="Arial" w:eastAsia="Arial" w:hAnsi="Arial"/>
                <w:sz w:val="11"/>
                <w:szCs w:val="11"/>
                <w:b w:val="1"/>
                <w:bCs w:val="1"/>
                <w:color w:val="auto"/>
              </w:rPr>
              <w:t>(A) or</w:t>
            </w:r>
          </w:p>
        </w:tc>
        <w:tc>
          <w:tcPr>
            <w:tcW w:w="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9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06/04/2026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2,309</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180.7063</w:t>
            </w:r>
            <w:r>
              <w:rPr>
                <w:rFonts w:ascii="Times New Roman" w:cs="Times New Roman" w:eastAsia="Times New Roman" w:hAnsi="Times New Roman"/>
                <w:sz w:val="21"/>
                <w:szCs w:val="21"/>
                <w:color w:val="008000"/>
                <w:w w:val="96"/>
                <w:vertAlign w:val="superscript"/>
              </w:rPr>
              <w:t>(1)</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1,503,810</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06/04/2026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1,458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181.4861</w:t>
            </w:r>
            <w:r>
              <w:rPr>
                <w:rFonts w:ascii="Times New Roman" w:cs="Times New Roman" w:eastAsia="Times New Roman" w:hAnsi="Times New Roman"/>
                <w:sz w:val="21"/>
                <w:szCs w:val="21"/>
                <w:color w:val="008000"/>
                <w:w w:val="96"/>
                <w:vertAlign w:val="superscript"/>
              </w:rPr>
              <w:t>(2)</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1,502,352</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06/04/2026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3,527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182.6368</w:t>
            </w:r>
            <w:r>
              <w:rPr>
                <w:rFonts w:ascii="Times New Roman" w:cs="Times New Roman" w:eastAsia="Times New Roman" w:hAnsi="Times New Roman"/>
                <w:sz w:val="21"/>
                <w:szCs w:val="21"/>
                <w:color w:val="008000"/>
                <w:w w:val="96"/>
                <w:vertAlign w:val="superscript"/>
              </w:rPr>
              <w:t>(3)</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1,498,825</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06/04/2026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1,774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183.449</w:t>
            </w:r>
            <w:r>
              <w:rPr>
                <w:rFonts w:ascii="Times New Roman" w:cs="Times New Roman" w:eastAsia="Times New Roman" w:hAnsi="Times New Roman"/>
                <w:sz w:val="21"/>
                <w:szCs w:val="21"/>
                <w:color w:val="008000"/>
                <w:w w:val="95"/>
                <w:vertAlign w:val="superscript"/>
              </w:rPr>
              <w:t>(4)</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1,497,051</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06/04/2026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821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184.4117</w:t>
            </w:r>
            <w:r>
              <w:rPr>
                <w:rFonts w:ascii="Times New Roman" w:cs="Times New Roman" w:eastAsia="Times New Roman" w:hAnsi="Times New Roman"/>
                <w:sz w:val="21"/>
                <w:szCs w:val="21"/>
                <w:color w:val="008000"/>
                <w:w w:val="96"/>
                <w:vertAlign w:val="superscript"/>
              </w:rPr>
              <w:t>(5)</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1,496,230</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06/04/2026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1"/>
              </w:rPr>
              <w:t>111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185.7005</w:t>
            </w:r>
            <w:r>
              <w:rPr>
                <w:rFonts w:ascii="Times New Roman" w:cs="Times New Roman" w:eastAsia="Times New Roman" w:hAnsi="Times New Roman"/>
                <w:sz w:val="21"/>
                <w:szCs w:val="21"/>
                <w:color w:val="008000"/>
                <w:w w:val="96"/>
                <w:vertAlign w:val="superscript"/>
              </w:rPr>
              <w:t>(6)</w:t>
            </w:r>
          </w:p>
        </w:tc>
        <w:tc>
          <w:tcPr>
            <w:tcW w:w="1480" w:type="dxa"/>
            <w:vAlign w:val="bottom"/>
            <w:tcBorders>
              <w:bottom w:val="single" w:sz="8" w:color="2C2C2C"/>
            </w:tcBorders>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1,496,119</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06/05/2026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242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183.7699</w:t>
            </w:r>
            <w:r>
              <w:rPr>
                <w:rFonts w:ascii="Times New Roman" w:cs="Times New Roman" w:eastAsia="Times New Roman" w:hAnsi="Times New Roman"/>
                <w:sz w:val="21"/>
                <w:szCs w:val="21"/>
                <w:color w:val="008000"/>
                <w:w w:val="96"/>
                <w:vertAlign w:val="superscript"/>
              </w:rPr>
              <w:t>(7)</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1,495,877</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06/05/2026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5,055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184.5232</w:t>
            </w:r>
            <w:r>
              <w:rPr>
                <w:rFonts w:ascii="Times New Roman" w:cs="Times New Roman" w:eastAsia="Times New Roman" w:hAnsi="Times New Roman"/>
                <w:sz w:val="21"/>
                <w:szCs w:val="21"/>
                <w:color w:val="008000"/>
                <w:w w:val="96"/>
                <w:vertAlign w:val="superscript"/>
              </w:rPr>
              <w:t>(8)</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1,490,822</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06/05/2026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2,982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185.4145</w:t>
            </w:r>
            <w:r>
              <w:rPr>
                <w:rFonts w:ascii="Times New Roman" w:cs="Times New Roman" w:eastAsia="Times New Roman" w:hAnsi="Times New Roman"/>
                <w:sz w:val="21"/>
                <w:szCs w:val="21"/>
                <w:color w:val="008000"/>
                <w:w w:val="96"/>
                <w:vertAlign w:val="superscript"/>
              </w:rPr>
              <w:t>(9)</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1,487,840</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06/05/2026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1,240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186.3233</w:t>
            </w:r>
            <w:r>
              <w:rPr>
                <w:rFonts w:ascii="Times New Roman" w:cs="Times New Roman" w:eastAsia="Times New Roman" w:hAnsi="Times New Roman"/>
                <w:sz w:val="21"/>
                <w:szCs w:val="21"/>
                <w:color w:val="008000"/>
                <w:w w:val="95"/>
                <w:vertAlign w:val="superscript"/>
              </w:rPr>
              <w:t>(10)</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1,486,600</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06/05/2026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481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187.2494</w:t>
            </w:r>
            <w:r>
              <w:rPr>
                <w:rFonts w:ascii="Times New Roman" w:cs="Times New Roman" w:eastAsia="Times New Roman" w:hAnsi="Times New Roman"/>
                <w:sz w:val="21"/>
                <w:szCs w:val="21"/>
                <w:color w:val="008000"/>
                <w:w w:val="95"/>
                <w:vertAlign w:val="superscript"/>
              </w:rPr>
              <w:t>(11)</w:t>
            </w:r>
          </w:p>
        </w:tc>
        <w:tc>
          <w:tcPr>
            <w:tcW w:w="1480" w:type="dxa"/>
            <w:vAlign w:val="bottom"/>
            <w:tcBorders>
              <w:bottom w:val="single" w:sz="8" w:color="2C2C2C"/>
            </w:tcBorders>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1,486,119</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 Hershey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80" w:type="dxa"/>
            <w:vAlign w:val="bottom"/>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39,630</w:t>
            </w:r>
          </w:p>
        </w:tc>
        <w:tc>
          <w:tcPr>
            <w:tcW w:w="580" w:type="dxa"/>
            <w:vAlign w:val="bottom"/>
          </w:tcPr>
          <w:p>
            <w:pPr>
              <w:jc w:val="center"/>
              <w:ind w:right="327"/>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6"/>
                <w:szCs w:val="16"/>
                <w:color w:val="0000FF"/>
              </w:rPr>
              <w:t>Company</w:t>
            </w:r>
            <w:r>
              <w:rPr>
                <w:rFonts w:ascii="Times New Roman" w:cs="Times New Roman" w:eastAsia="Times New Roman" w:hAnsi="Times New Roman"/>
                <w:sz w:val="21"/>
                <w:szCs w:val="21"/>
                <w:color w:val="008000"/>
                <w:vertAlign w:val="superscript"/>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jc w:val="right"/>
              <w:ind w:right="163"/>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380" w:type="dxa"/>
            <w:vAlign w:val="bottom"/>
          </w:tcPr>
          <w:p>
            <w:pPr>
              <w:jc w:val="right"/>
              <w:ind w:right="143"/>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ind w:left="20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980" w:type="dxa"/>
            <w:vAlign w:val="bottom"/>
          </w:tcPr>
          <w:p>
            <w:pPr>
              <w:ind w:left="200"/>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jc w:val="center"/>
              <w:ind w:right="31"/>
              <w:spacing w:after="0"/>
              <w:rPr>
                <w:sz w:val="20"/>
                <w:szCs w:val="20"/>
                <w:color w:val="auto"/>
              </w:rPr>
            </w:pPr>
            <w:r>
              <w:rPr>
                <w:rFonts w:ascii="Arial" w:cs="Arial" w:eastAsia="Arial" w:hAnsi="Arial"/>
                <w:sz w:val="11"/>
                <w:szCs w:val="11"/>
                <w:b w:val="1"/>
                <w:bCs w:val="1"/>
                <w:color w:val="auto"/>
              </w:rPr>
              <w:t>Title</w:t>
            </w:r>
          </w:p>
        </w:tc>
        <w:tc>
          <w:tcPr>
            <w:tcW w:w="98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vMerge w:val="restart"/>
          </w:tcPr>
          <w:p>
            <w:pPr>
              <w:ind w:left="160"/>
              <w:spacing w:after="0" w:line="127" w:lineRule="exact"/>
              <w:rPr>
                <w:sz w:val="20"/>
                <w:szCs w:val="20"/>
                <w:color w:val="auto"/>
              </w:rPr>
            </w:pPr>
            <w:r>
              <w:rPr>
                <w:rFonts w:ascii="Times New Roman" w:cs="Times New Roman" w:eastAsia="Times New Roman" w:hAnsi="Times New Roman"/>
                <w:sz w:val="13"/>
                <w:szCs w:val="13"/>
                <w:color w:val="0000FF"/>
                <w:w w:val="97"/>
              </w:rPr>
              <w:t>Stock,</w:t>
            </w: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Stock,</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restart"/>
          </w:tcPr>
          <w:p>
            <w:pPr>
              <w:ind w:left="120"/>
              <w:spacing w:after="0" w:line="102" w:lineRule="exact"/>
              <w:rPr>
                <w:sz w:val="20"/>
                <w:szCs w:val="20"/>
                <w:color w:val="auto"/>
              </w:rPr>
            </w:pPr>
            <w:r>
              <w:rPr>
                <w:rFonts w:ascii="Times New Roman" w:cs="Times New Roman" w:eastAsia="Times New Roman" w:hAnsi="Times New Roman"/>
                <w:sz w:val="11"/>
                <w:szCs w:val="11"/>
                <w:color w:val="0000FF"/>
              </w:rPr>
              <w:t>54,612,012</w:t>
            </w:r>
          </w:p>
        </w:tc>
        <w:tc>
          <w:tcPr>
            <w:tcW w:w="580" w:type="dxa"/>
            <w:vAlign w:val="bottom"/>
            <w:vMerge w:val="restart"/>
          </w:tcPr>
          <w:p>
            <w:pPr>
              <w:ind w:left="460"/>
              <w:spacing w:after="0" w:line="102" w:lineRule="exact"/>
              <w:rPr>
                <w:sz w:val="20"/>
                <w:szCs w:val="20"/>
                <w:color w:val="auto"/>
              </w:rPr>
            </w:pPr>
            <w:r>
              <w:rPr>
                <w:rFonts w:ascii="Times New Roman" w:cs="Times New Roman" w:eastAsia="Times New Roman" w:hAnsi="Times New Roman"/>
                <w:sz w:val="11"/>
                <w:szCs w:val="11"/>
                <w:color w:val="0000FF"/>
              </w:rPr>
              <w:t>D</w:t>
            </w: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restart"/>
          </w:tcPr>
          <w:p>
            <w:pPr>
              <w:ind w:left="300"/>
              <w:spacing w:after="0" w:line="103" w:lineRule="exact"/>
              <w:rPr>
                <w:sz w:val="20"/>
                <w:szCs w:val="20"/>
                <w:color w:val="auto"/>
              </w:rPr>
            </w:pPr>
            <w:r>
              <w:rPr>
                <w:rFonts w:ascii="Times New Roman" w:cs="Times New Roman" w:eastAsia="Times New Roman" w:hAnsi="Times New Roman"/>
                <w:sz w:val="11"/>
                <w:szCs w:val="11"/>
                <w:color w:val="008000"/>
              </w:rPr>
              <w:t>(14)</w:t>
            </w: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vMerge w:val="restart"/>
          </w:tcPr>
          <w:p>
            <w:pPr>
              <w:ind w:left="360"/>
              <w:spacing w:after="0" w:line="103" w:lineRule="exact"/>
              <w:rPr>
                <w:sz w:val="20"/>
                <w:szCs w:val="20"/>
                <w:color w:val="auto"/>
              </w:rPr>
            </w:pPr>
            <w:r>
              <w:rPr>
                <w:rFonts w:ascii="Times New Roman" w:cs="Times New Roman" w:eastAsia="Times New Roman" w:hAnsi="Times New Roman"/>
                <w:sz w:val="11"/>
                <w:szCs w:val="11"/>
                <w:color w:val="008000"/>
              </w:rPr>
              <w:t>(13)</w:t>
            </w:r>
          </w:p>
        </w:tc>
        <w:tc>
          <w:tcPr>
            <w:tcW w:w="740" w:type="dxa"/>
            <w:vAlign w:val="bottom"/>
            <w:vMerge w:val="restart"/>
          </w:tcPr>
          <w:p>
            <w:pPr>
              <w:ind w:left="320"/>
              <w:spacing w:after="0" w:line="103" w:lineRule="exact"/>
              <w:rPr>
                <w:sz w:val="20"/>
                <w:szCs w:val="20"/>
                <w:color w:val="auto"/>
              </w:rPr>
            </w:pPr>
            <w:r>
              <w:rPr>
                <w:rFonts w:ascii="Times New Roman" w:cs="Times New Roman" w:eastAsia="Times New Roman" w:hAnsi="Times New Roman"/>
                <w:sz w:val="11"/>
                <w:szCs w:val="11"/>
                <w:color w:val="008000"/>
              </w:rPr>
              <w:t>(13)</w:t>
            </w:r>
          </w:p>
        </w:tc>
        <w:tc>
          <w:tcPr>
            <w:tcW w:w="1480" w:type="dxa"/>
            <w:vAlign w:val="bottom"/>
            <w:gridSpan w:val="2"/>
          </w:tcPr>
          <w:p>
            <w:pPr>
              <w:ind w:left="80"/>
              <w:spacing w:after="0" w:line="51" w:lineRule="exact"/>
              <w:rPr>
                <w:sz w:val="20"/>
                <w:szCs w:val="20"/>
                <w:color w:val="auto"/>
              </w:rPr>
            </w:pPr>
            <w:r>
              <w:rPr>
                <w:rFonts w:ascii="Times New Roman" w:cs="Times New Roman" w:eastAsia="Times New Roman" w:hAnsi="Times New Roman"/>
                <w:sz w:val="5"/>
                <w:szCs w:val="5"/>
                <w:color w:val="0000FF"/>
                <w:vertAlign w:val="subscript"/>
              </w:rPr>
              <w:t>$1.00 par</w:t>
            </w:r>
            <w:r>
              <w:rPr>
                <w:rFonts w:ascii="Times New Roman" w:cs="Times New Roman" w:eastAsia="Times New Roman" w:hAnsi="Times New Roman"/>
                <w:sz w:val="3"/>
                <w:szCs w:val="3"/>
                <w:color w:val="0000FF"/>
              </w:rPr>
              <w:t xml:space="preserve">  54,612,012</w:t>
            </w: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rFonts w:ascii="Times New Roman" w:cs="Times New Roman" w:eastAsia="Times New Roman" w:hAnsi="Times New Roman"/>
          <w:sz w:val="20"/>
          <w:szCs w:val="20"/>
          <w:u w:val="single" w:color="auto"/>
          <w:color w:val="0000EE"/>
        </w:rPr>
      </w:pPr>
    </w:p>
    <w:tbl>
      <w:tblPr>
        <w:tblLayout w:type="fixed"/>
        <w:tblInd w:w="80" w:type="dxa"/>
        <w:tblCellMar>
          <w:top w:w="0" w:type="dxa"/>
          <w:left w:w="0" w:type="dxa"/>
          <w:bottom w:w="0" w:type="dxa"/>
          <w:right w:w="0" w:type="dxa"/>
        </w:tblCellMar>
      </w:tblPr>
      <w:tr>
        <w:trPr>
          <w:trHeight w:val="125"/>
        </w:trPr>
        <w:tc>
          <w:tcPr>
            <w:tcW w:w="3560" w:type="dxa"/>
            <w:vAlign w:val="bottom"/>
          </w:tcPr>
          <w:p>
            <w:pPr>
              <w:spacing w:after="0" w:line="126" w:lineRule="exact"/>
              <w:rPr>
                <w:sz w:val="20"/>
                <w:szCs w:val="20"/>
                <w:color w:val="auto"/>
              </w:rPr>
            </w:pPr>
            <w:r>
              <w:rPr>
                <w:rFonts w:ascii="Times New Roman" w:cs="Times New Roman" w:eastAsia="Times New Roman" w:hAnsi="Times New Roman"/>
                <w:sz w:val="13"/>
                <w:szCs w:val="13"/>
                <w:color w:val="0000FF"/>
              </w:rPr>
              <w:t>$1.00 par</w:t>
            </w:r>
          </w:p>
        </w:tc>
        <w:tc>
          <w:tcPr>
            <w:tcW w:w="3340" w:type="dxa"/>
            <w:vAlign w:val="bottom"/>
            <w:vMerge w:val="restart"/>
          </w:tcPr>
          <w:p>
            <w:pPr>
              <w:ind w:left="3060"/>
              <w:spacing w:after="0"/>
              <w:rPr>
                <w:sz w:val="20"/>
                <w:szCs w:val="20"/>
                <w:color w:val="auto"/>
              </w:rPr>
            </w:pPr>
            <w:r>
              <w:rPr>
                <w:rFonts w:ascii="Times New Roman" w:cs="Times New Roman" w:eastAsia="Times New Roman" w:hAnsi="Times New Roman"/>
                <w:sz w:val="13"/>
                <w:szCs w:val="13"/>
                <w:color w:val="0000FF"/>
                <w:w w:val="92"/>
              </w:rPr>
              <w:t>value</w:t>
            </w:r>
          </w:p>
        </w:tc>
        <w:tc>
          <w:tcPr>
            <w:tcW w:w="0" w:type="dxa"/>
            <w:vAlign w:val="bottom"/>
          </w:tcPr>
          <w:p>
            <w:pPr>
              <w:spacing w:after="0"/>
              <w:rPr>
                <w:sz w:val="1"/>
                <w:szCs w:val="1"/>
                <w:color w:val="auto"/>
              </w:rPr>
            </w:pPr>
          </w:p>
        </w:tc>
      </w:tr>
      <w:tr>
        <w:trPr>
          <w:trHeight w:val="89"/>
        </w:trPr>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value</w:t>
            </w: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3560" w:type="dxa"/>
            <w:vAlign w:val="bottom"/>
            <w:vMerge w:val="continue"/>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rFonts w:ascii="Times New Roman" w:cs="Times New Roman" w:eastAsia="Times New Roman" w:hAnsi="Times New Roman"/>
          <w:sz w:val="20"/>
          <w:szCs w:val="20"/>
          <w:u w:val="single" w:color="auto"/>
          <w:color w:val="0000EE"/>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rFonts w:ascii="Times New Roman" w:cs="Times New Roman" w:eastAsia="Times New Roman" w:hAnsi="Times New Roman"/>
          <w:sz w:val="20"/>
          <w:szCs w:val="20"/>
          <w:u w:val="single" w:color="auto"/>
          <w:color w:val="0000EE"/>
        </w:rPr>
      </w:pPr>
    </w:p>
    <w:p>
      <w:pPr>
        <w:ind w:left="40" w:right="24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$180.2171 to 180.9977,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$181.0077 to $181.9900,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89"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 shares were sold in multiple transactions at price a ranging from $182.0200 to $182.9840, inclusive. The reporting person undertakes to provide to the staff of the Securities and Exchange Commission, to any security holder of The Hershey Company, or to The Hershey Company, upon request, full information regarding the number of shares sold at each</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
        <w:spacing w:after="0"/>
        <w:rPr>
          <w:sz w:val="20"/>
          <w:szCs w:val="20"/>
          <w:color w:val="auto"/>
        </w:rPr>
      </w:pPr>
      <w:r>
        <w:rPr>
          <w:rFonts w:ascii="Times New Roman" w:cs="Times New Roman" w:eastAsia="Times New Roman" w:hAnsi="Times New Roman"/>
          <w:sz w:val="13"/>
          <w:szCs w:val="13"/>
          <w:color w:val="008000"/>
        </w:rPr>
        <w:t>separate price within the range set forth above.</w:t>
      </w:r>
    </w:p>
    <w:p>
      <w:pPr>
        <w:spacing w:after="0" w:line="41" w:lineRule="exact"/>
        <w:rPr>
          <w:sz w:val="20"/>
          <w:szCs w:val="20"/>
          <w:color w:val="auto"/>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$183.0030 to $183.9961,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$184.0143 to $184.9616,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right="20"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$185.6977 to $185.7113,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$183.4276 to $183.9563,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$184.0058 to $184.9926,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$185.0013 to $185.9983,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right="80" w:hanging="1"/>
        <w:spacing w:after="0" w:line="237"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$186.0000 to $186.9900,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right="80" w:hanging="1"/>
        <w:spacing w:after="0" w:line="237" w:lineRule="auto"/>
        <w:tabs>
          <w:tab w:leader="none" w:pos="18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$187.0100 to $187.4700,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Hershey Trust Company is wholly owned by Milton Hershey School Trust and is trustee for the Milton Hershey School Trust.</w:t>
      </w:r>
    </w:p>
    <w:p>
      <w:pPr>
        <w:spacing w:after="0" w:line="40" w:lineRule="exact"/>
        <w:rPr>
          <w:rFonts w:ascii="Times New Roman" w:cs="Times New Roman" w:eastAsia="Times New Roman" w:hAnsi="Times New Roman"/>
          <w:sz w:val="13"/>
          <w:szCs w:val="13"/>
          <w:color w:val="008000"/>
        </w:rPr>
      </w:pPr>
    </w:p>
    <w:p>
      <w:pPr>
        <w:ind w:left="1" w:right="500" w:hanging="1"/>
        <w:spacing w:after="0" w:line="248"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of Class B common stock, $1.00 par value convertible share-for-share into common stock, $1.00 par value, at any time, and without payment other than for the fact of conversion. There is no expiration date.</w:t>
      </w:r>
    </w:p>
    <w:p>
      <w:pPr>
        <w:spacing w:after="0" w:line="2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conversion price is the market price of the Common Stock on the previous business day.</w:t>
      </w:r>
    </w:p>
    <w:p>
      <w:pPr>
        <w:spacing w:after="0" w:line="60"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Joshua D. Shannon, Deputy</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06/08/2026</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4"/>
              </w:rPr>
              <w:t>CIO</w:t>
            </w:r>
          </w:p>
        </w:tc>
        <w:tc>
          <w:tcPr>
            <w:tcW w:w="17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3560" w:hanging="1"/>
        <w:spacing w:after="0" w:line="330"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1"/>
      </w:cols>
      <w:pgMar w:left="499"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0938543" TargetMode="External"/><Relationship Id="rId14" Type="http://schemas.openxmlformats.org/officeDocument/2006/relationships/hyperlink" Target="http://www.sec.gov/cgi-bin/browse-edgar?action=getcompany&amp;CIK=00000471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2026-06-08T15:06:43Z</dcterms:created>
  <dcterms:modified xsi:type="dcterms:W3CDTF">2026-06-08T15:06:43Z</dcterms:modified>
</cp:coreProperties>
</file>